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2849" w:rsidRDefault="00173222" w:rsidP="007E2849">
      <w:pPr>
        <w:pStyle w:val="Heading1"/>
      </w:pPr>
      <w:bookmarkStart w:id="0" w:name="_Toc414885593"/>
      <w:r>
        <w:t>Evaluation of the impact of GP led commissioning on secondary care activity</w:t>
      </w:r>
    </w:p>
    <w:p w:rsidR="007E2849" w:rsidRPr="007E2849" w:rsidRDefault="007E2849" w:rsidP="007E2849"/>
    <w:p w:rsidR="007E2849" w:rsidRDefault="007E2849" w:rsidP="00A72AF5">
      <w:pPr>
        <w:pStyle w:val="Heading2"/>
      </w:pPr>
      <w:r>
        <w:t>Background:</w:t>
      </w:r>
    </w:p>
    <w:p w:rsidR="00173222" w:rsidRDefault="007E2849" w:rsidP="00173222">
      <w:r w:rsidRPr="00D052C7">
        <w:t>Clinical Commissioning Groups (CCGs) were created following the Health and Social Care Act 2012</w:t>
      </w:r>
      <w:r>
        <w:t xml:space="preserve"> (HSCA)</w:t>
      </w:r>
      <w:r w:rsidR="00173D1B">
        <w:t>,</w:t>
      </w:r>
      <w:hyperlink w:anchor="_ENREF_1" w:tooltip="Health and Social Care Act, 2012 #11" w:history="1">
        <w:r w:rsidR="00F93448">
          <w:fldChar w:fldCharType="begin"/>
        </w:r>
        <w:r w:rsidR="00173D1B">
          <w:instrText xml:space="preserve"> ADDIN EN.CITE &lt;EndNote&gt;&lt;Cite&gt;&lt;Author&gt;Health and Social Care Act&lt;/Author&gt;&lt;Year&gt;2012&lt;/Year&gt;&lt;RecNum&gt;11&lt;/RecNum&gt;&lt;DisplayText&gt;&lt;style face="superscript"&gt;1&lt;/style&gt;&lt;/DisplayText&gt;&lt;record&gt;&lt;rec-number&gt;11&lt;/rec-number&gt;&lt;foreign-keys&gt;&lt;key app="EN" db-id="9xas092t3ap0pketrwovs0soat099zat9rxw"&gt;11&lt;/key&gt;&lt;/foreign-keys&gt;&lt;ref-type name="Government Document"&gt;46&lt;/ref-type&gt;&lt;contributors&gt;&lt;authors&gt;&lt;author&gt;Health and Social Care Act,&lt;/author&gt;&lt;/authors&gt;&lt;/contributors&gt;&lt;titles&gt;&lt;title&gt;Health and Social Care Act&lt;/title&gt;&lt;/titles&gt;&lt;number&gt;Chapter 7&lt;/number&gt;&lt;dates&gt;&lt;year&gt;2012&lt;/year&gt;&lt;/dates&gt;&lt;urls&gt;&lt;related-urls&gt;&lt;url&gt;http://www.legislation.gov.uk/ukpga/2012/7/pdfs/ukpga_20120007_en.pdf&lt;/url&gt;&lt;/related-urls&gt;&lt;/urls&gt;&lt;/record&gt;&lt;/Cite&gt;&lt;/EndNote&gt;</w:instrText>
        </w:r>
        <w:r w:rsidR="00F93448">
          <w:fldChar w:fldCharType="separate"/>
        </w:r>
        <w:r w:rsidR="00173D1B" w:rsidRPr="00173D1B">
          <w:rPr>
            <w:noProof/>
            <w:vertAlign w:val="superscript"/>
          </w:rPr>
          <w:t>1</w:t>
        </w:r>
        <w:r w:rsidR="00F93448">
          <w:fldChar w:fldCharType="end"/>
        </w:r>
      </w:hyperlink>
      <w:r w:rsidRPr="00D052C7">
        <w:t xml:space="preserve"> and replaced Primary Care Trusts on 1 April 2013</w:t>
      </w:r>
      <w:r>
        <w:t xml:space="preserve"> as the main budget holders and commissioners of NHS services in England. CCGs are led by a board, primarily made up of General Practitioners (GPs), and represent all GP practices in the local area. Each is responsible for a population of 100,000-900,000. The theory behind GP led commissioning is, firstly, that GPs understand their patients’ needs best so are best placed to commission specialist services on their behalf, and secondly, that by holding the budgets and being given the freedom to reinvest any savings they are incentivized to ration spending.</w:t>
      </w:r>
      <w:r w:rsidR="00173222" w:rsidRPr="00173222">
        <w:t xml:space="preserve"> </w:t>
      </w:r>
      <w:r w:rsidR="00173222">
        <w:t>It has been hypothesized that, given the incentive to minimize costs, GP budget holding may lead to a shift away from expensive secondary care activity towards a more community based approach.</w:t>
      </w:r>
      <w:hyperlink w:anchor="_ENREF_2" w:tooltip="Dusheiko, 2006 #1" w:history="1">
        <w:r w:rsidR="00F93448">
          <w:fldChar w:fldCharType="begin">
            <w:fldData xml:space="preserve">PEVuZE5vdGU+PENpdGU+PEF1dGhvcj5EdXNoZWlrbzwvQXV0aG9yPjxZZWFyPjIwMDY8L1llYXI+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</w:fldData>
          </w:fldChar>
        </w:r>
        <w:r w:rsidR="00173D1B">
          <w:instrText xml:space="preserve"> ADDIN EN.CITE </w:instrText>
        </w:r>
        <w:r w:rsidR="00F93448">
          <w:fldChar w:fldCharType="begin">
            <w:fldData xml:space="preserve">PEVuZE5vdGU+PENpdGU+PEF1dGhvcj5EdXNoZWlrbzwvQXV0aG9yPjxZZWFyPjIwMDY8L1llYXI+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</w:fldData>
          </w:fldChar>
        </w:r>
        <w:r w:rsidR="00173D1B">
          <w:instrText xml:space="preserve"> ADDIN EN.CITE.DATA </w:instrText>
        </w:r>
        <w:r w:rsidR="00F93448">
          <w:fldChar w:fldCharType="end"/>
        </w:r>
        <w:r w:rsidR="00F93448">
          <w:fldChar w:fldCharType="separate"/>
        </w:r>
        <w:r w:rsidR="00173D1B" w:rsidRPr="00173D1B">
          <w:rPr>
            <w:noProof/>
            <w:vertAlign w:val="superscript"/>
          </w:rPr>
          <w:t>2-4</w:t>
        </w:r>
        <w:r w:rsidR="00F93448">
          <w:fldChar w:fldCharType="end"/>
        </w:r>
      </w:hyperlink>
      <w:r w:rsidR="00173222">
        <w:t xml:space="preserve"> GP commissioning may also influence patient experience of secondary care services as it could incentivize hospitals to reduce waiting times and work to improve patient satisfaction given the threat that commissioners may switch contract to providers that provide a better patient experience.</w:t>
      </w:r>
      <w:hyperlink w:anchor="_ENREF_4" w:tooltip="Mannion, 2011 #5" w:history="1">
        <w:r w:rsidR="00F93448">
          <w:fldChar w:fldCharType="begin"/>
        </w:r>
        <w:r w:rsidR="00173D1B">
          <w:instrText xml:space="preserve"> ADDIN EN.CITE &lt;EndNote&gt;&lt;Cite&gt;&lt;Author&gt;Mannion&lt;/Author&gt;&lt;Year&gt;2011&lt;/Year&gt;&lt;RecNum&gt;5&lt;/RecNum&gt;&lt;DisplayText&gt;&lt;style face="superscript"&gt;4&lt;/style&gt;&lt;/DisplayText&gt;&lt;record&gt;&lt;rec-number&gt;5&lt;/rec-number&gt;&lt;foreign-keys&gt;&lt;key app="EN" db-id="9xas092t3ap0pketrwovs0soat099zat9rxw"&gt;5&lt;/key&gt;&lt;/foreign-keys&gt;&lt;ref-type name="Journal Article"&gt;17&lt;/ref-type&gt;&lt;contributors&gt;&lt;authors&gt;&lt;author&gt;Mannion, Russell&lt;/author&gt;&lt;/authors&gt;&lt;/contributors&gt;&lt;titles&gt;&lt;title&gt;General practitioner-led commissioning in the NHS: progress, prospects and pitfalls&lt;/title&gt;&lt;secondary-title&gt;British Medical Bulletin&lt;/secondary-title&gt;&lt;/titles&gt;&lt;periodical&gt;&lt;full-title&gt;British Medical Bulletin&lt;/full-title&gt;&lt;/periodical&gt;&lt;pages&gt;7-15&lt;/pages&gt;&lt;volume&gt;97&lt;/volume&gt;&lt;number&gt;1&lt;/number&gt;&lt;dates&gt;&lt;year&gt;2011&lt;/year&gt;&lt;pub-dates&gt;&lt;date&gt;March 1, 2011&lt;/date&gt;&lt;/pub-dates&gt;&lt;/dates&gt;&lt;urls&gt;&lt;related-urls&gt;&lt;url&gt;http://bmb.oxfordjournals.org/content/97/1/7.abstract&lt;/url&gt;&lt;/related-urls&gt;&lt;/urls&gt;&lt;electronic-resource-num&gt;10.1093/bmb/ldq042&lt;/electronic-resource-num&gt;&lt;/record&gt;&lt;/Cite&gt;&lt;/EndNote&gt;</w:instrText>
        </w:r>
        <w:r w:rsidR="00F93448">
          <w:fldChar w:fldCharType="separate"/>
        </w:r>
        <w:r w:rsidR="00173D1B" w:rsidRPr="00173D1B">
          <w:rPr>
            <w:noProof/>
            <w:vertAlign w:val="superscript"/>
          </w:rPr>
          <w:t>4</w:t>
        </w:r>
        <w:r w:rsidR="00F93448">
          <w:fldChar w:fldCharType="end"/>
        </w:r>
      </w:hyperlink>
      <w:r w:rsidR="00173222">
        <w:t xml:space="preserve"> Nevertheless, </w:t>
      </w:r>
      <w:r w:rsidR="00786BA1">
        <w:t xml:space="preserve">unintended consequences are also possible, for example, there may be inappropriate reductions in care that should have been in hospital and patient </w:t>
      </w:r>
      <w:r w:rsidR="00A47AF1">
        <w:t>satisfaction</w:t>
      </w:r>
      <w:r w:rsidR="00786BA1">
        <w:t xml:space="preserve"> could suffer if </w:t>
      </w:r>
      <w:r w:rsidR="00173222">
        <w:t>GPs, as budget holders, prioritize cost over patient experience.</w:t>
      </w:r>
    </w:p>
    <w:p w:rsidR="007E2849" w:rsidRPr="007E2849" w:rsidRDefault="007E2849" w:rsidP="007E2849"/>
    <w:p w:rsidR="00A72AF5" w:rsidRDefault="00A72AF5" w:rsidP="00A72AF5">
      <w:pPr>
        <w:pStyle w:val="Heading2"/>
      </w:pPr>
      <w:r>
        <w:t>Aim:</w:t>
      </w:r>
    </w:p>
    <w:p w:rsidR="00A72AF5" w:rsidRDefault="00A72AF5" w:rsidP="00A72AF5">
      <w:r>
        <w:t>To evaluate the impact of GP led commissioning on secondary care activity</w:t>
      </w:r>
    </w:p>
    <w:p w:rsidR="007E2849" w:rsidRDefault="007E2849" w:rsidP="009C67C9">
      <w:pPr>
        <w:pStyle w:val="Heading2"/>
      </w:pPr>
    </w:p>
    <w:p w:rsidR="007E2849" w:rsidRPr="007E2849" w:rsidRDefault="007E2849" w:rsidP="007E2849">
      <w:pPr>
        <w:pStyle w:val="Heading2"/>
      </w:pPr>
      <w:r>
        <w:t>Questions</w:t>
      </w:r>
    </w:p>
    <w:p w:rsidR="002B443F" w:rsidRDefault="007E2849" w:rsidP="007E2849">
      <w:pPr>
        <w:pStyle w:val="ListParagraph"/>
        <w:numPr>
          <w:ilvl w:val="0"/>
          <w:numId w:val="7"/>
        </w:numPr>
        <w:spacing w:after="200" w:line="276" w:lineRule="auto"/>
      </w:pPr>
      <w:r>
        <w:t>Has the introduction of GP led commissioning been associated with a change in rates of hospital admissions?</w:t>
      </w:r>
    </w:p>
    <w:p w:rsidR="007E2849" w:rsidRDefault="007E2849" w:rsidP="007E2849">
      <w:pPr>
        <w:pStyle w:val="ListParagraph"/>
        <w:numPr>
          <w:ilvl w:val="0"/>
          <w:numId w:val="7"/>
        </w:numPr>
        <w:spacing w:after="200" w:line="276" w:lineRule="auto"/>
      </w:pPr>
      <w:r>
        <w:t>Has the introduction of GP led commissioning been associated with a change in patients’ experience of secondary care in the NHS?</w:t>
      </w:r>
    </w:p>
    <w:p w:rsidR="00A47AF1" w:rsidRDefault="00A47AF1" w:rsidP="00A47AF1">
      <w:pPr>
        <w:spacing w:after="200" w:line="276" w:lineRule="auto"/>
      </w:pPr>
    </w:p>
    <w:p w:rsidR="007B138B" w:rsidRDefault="007B138B" w:rsidP="00264367">
      <w:pPr>
        <w:pStyle w:val="Heading2"/>
      </w:pPr>
      <w:r>
        <w:t>Outcome</w:t>
      </w:r>
      <w:r w:rsidR="00A47AF1">
        <w:t>s</w:t>
      </w:r>
    </w:p>
    <w:p w:rsidR="004951FB" w:rsidRDefault="000E5108" w:rsidP="00BD69F5">
      <w:pPr>
        <w:pStyle w:val="Heading5"/>
      </w:pPr>
      <w:r>
        <w:t>Primary outcome</w:t>
      </w:r>
      <w:r w:rsidR="004951FB">
        <w:t>s</w:t>
      </w:r>
      <w:r>
        <w:t xml:space="preserve">: </w:t>
      </w:r>
    </w:p>
    <w:p w:rsidR="000E5108" w:rsidRDefault="00BD69F5" w:rsidP="00BD69F5">
      <w:pPr>
        <w:spacing w:after="200" w:line="276" w:lineRule="auto"/>
      </w:pPr>
      <w:r>
        <w:lastRenderedPageBreak/>
        <w:t>Secondary</w:t>
      </w:r>
      <w:r w:rsidR="000E5108">
        <w:t xml:space="preserve"> care activity, including:</w:t>
      </w:r>
    </w:p>
    <w:p w:rsidR="00974736" w:rsidRDefault="00974736" w:rsidP="004951FB">
      <w:pPr>
        <w:pStyle w:val="ListParagraph"/>
        <w:numPr>
          <w:ilvl w:val="0"/>
          <w:numId w:val="4"/>
        </w:numPr>
        <w:spacing w:after="200" w:line="276" w:lineRule="auto"/>
      </w:pPr>
      <w:r>
        <w:t>GP referrals made</w:t>
      </w:r>
    </w:p>
    <w:p w:rsidR="00974736" w:rsidRDefault="00974736" w:rsidP="004951FB">
      <w:pPr>
        <w:pStyle w:val="ListParagraph"/>
        <w:numPr>
          <w:ilvl w:val="0"/>
          <w:numId w:val="4"/>
        </w:numPr>
        <w:spacing w:after="200" w:line="276" w:lineRule="auto"/>
      </w:pPr>
      <w:r>
        <w:t>GP referrals seen</w:t>
      </w:r>
    </w:p>
    <w:p w:rsidR="00690850" w:rsidRDefault="00690850" w:rsidP="004951FB">
      <w:pPr>
        <w:pStyle w:val="ListParagraph"/>
        <w:numPr>
          <w:ilvl w:val="0"/>
          <w:numId w:val="4"/>
        </w:numPr>
        <w:spacing w:after="200" w:line="276" w:lineRule="auto"/>
      </w:pPr>
      <w:r>
        <w:t>Total admissions</w:t>
      </w:r>
    </w:p>
    <w:p w:rsidR="004951FB" w:rsidRDefault="004951FB" w:rsidP="004951FB">
      <w:pPr>
        <w:pStyle w:val="ListParagraph"/>
        <w:numPr>
          <w:ilvl w:val="0"/>
          <w:numId w:val="4"/>
        </w:numPr>
        <w:spacing w:after="200" w:line="276" w:lineRule="auto"/>
      </w:pPr>
      <w:r>
        <w:t>elective admissi</w:t>
      </w:r>
      <w:r w:rsidR="00BD69F5">
        <w:t>ons</w:t>
      </w:r>
    </w:p>
    <w:p w:rsidR="004951FB" w:rsidRDefault="004951FB" w:rsidP="004951FB">
      <w:pPr>
        <w:pStyle w:val="ListParagraph"/>
        <w:numPr>
          <w:ilvl w:val="0"/>
          <w:numId w:val="4"/>
        </w:numPr>
        <w:spacing w:after="200" w:line="276" w:lineRule="auto"/>
      </w:pPr>
      <w:r>
        <w:t>outpatient appointments</w:t>
      </w:r>
    </w:p>
    <w:p w:rsidR="004951FB" w:rsidRDefault="004951FB" w:rsidP="004951FB">
      <w:pPr>
        <w:pStyle w:val="ListParagraph"/>
        <w:numPr>
          <w:ilvl w:val="0"/>
          <w:numId w:val="4"/>
        </w:numPr>
        <w:spacing w:after="200" w:line="276" w:lineRule="auto"/>
      </w:pPr>
      <w:r>
        <w:t>emergency admissions</w:t>
      </w:r>
    </w:p>
    <w:p w:rsidR="000E5108" w:rsidRDefault="000E5108" w:rsidP="00BD69F5">
      <w:pPr>
        <w:pStyle w:val="Heading5"/>
      </w:pPr>
      <w:r>
        <w:t>Secondary outcomes:</w:t>
      </w:r>
    </w:p>
    <w:p w:rsidR="004951FB" w:rsidRDefault="00BD69F5" w:rsidP="00BD69F5">
      <w:pPr>
        <w:spacing w:after="200" w:line="276" w:lineRule="auto"/>
      </w:pPr>
      <w:r>
        <w:t>P</w:t>
      </w:r>
      <w:r w:rsidR="004951FB">
        <w:t>atient experience, including</w:t>
      </w:r>
    </w:p>
    <w:p w:rsidR="004951FB" w:rsidRDefault="004951FB" w:rsidP="00BD69F5">
      <w:pPr>
        <w:pStyle w:val="ListParagraph"/>
        <w:numPr>
          <w:ilvl w:val="0"/>
          <w:numId w:val="4"/>
        </w:numPr>
        <w:spacing w:after="200" w:line="276" w:lineRule="auto"/>
      </w:pPr>
      <w:r>
        <w:t>waiting times</w:t>
      </w:r>
    </w:p>
    <w:p w:rsidR="004951FB" w:rsidRDefault="004951FB" w:rsidP="00BD69F5">
      <w:pPr>
        <w:pStyle w:val="ListParagraph"/>
        <w:numPr>
          <w:ilvl w:val="0"/>
          <w:numId w:val="4"/>
        </w:numPr>
        <w:spacing w:after="200" w:line="276" w:lineRule="auto"/>
      </w:pPr>
      <w:r>
        <w:t>patient satisfaction</w:t>
      </w:r>
    </w:p>
    <w:p w:rsidR="00201CDC" w:rsidRDefault="00201CDC" w:rsidP="00A96118"/>
    <w:p w:rsidR="00A96118" w:rsidRDefault="00A96118" w:rsidP="00A96118"/>
    <w:p w:rsidR="00A96118" w:rsidRDefault="00A96118" w:rsidP="00A96118"/>
    <w:p w:rsidR="00A96118" w:rsidRDefault="00A96118" w:rsidP="00A96118">
      <w:pPr>
        <w:pStyle w:val="Heading2"/>
      </w:pPr>
      <w:r>
        <w:t>Analysis</w:t>
      </w:r>
    </w:p>
    <w:p w:rsidR="006D2D71" w:rsidRDefault="006204F7" w:rsidP="00A96118">
      <w:r>
        <w:t xml:space="preserve">An interrupted time series (ITS) design </w:t>
      </w:r>
      <w:r w:rsidR="006D2D71">
        <w:t xml:space="preserve">with segmented regression analysis </w:t>
      </w:r>
      <w:r>
        <w:t xml:space="preserve">will be used to evaluate the effect of GP led commissioning on secondary care activity. The intervention was </w:t>
      </w:r>
      <w:r w:rsidR="00504ABF">
        <w:t>fully implemented in April 2013, yet there was a phase in period during which many CCGs were present in shadow form prior to April 2013 and after full implementation c</w:t>
      </w:r>
      <w:r w:rsidR="00504ABF" w:rsidRPr="00594DA4">
        <w:t xml:space="preserve">hanges to commissioning </w:t>
      </w:r>
      <w:r w:rsidR="00504ABF">
        <w:t>are likely to only have manifested gradually (</w:t>
      </w:r>
      <w:r w:rsidR="00504ABF" w:rsidRPr="00594DA4">
        <w:t>existing contracts may have taken some time to expire and CCGs may have chosen to simply renew existing contracts in the early stages before they became well established</w:t>
      </w:r>
      <w:r w:rsidR="00504ABF">
        <w:t>). This “intervention phase” and gradual change should therefore be reflected in the chosen impact model</w:t>
      </w:r>
      <w:r w:rsidR="006D2D71">
        <w:t>. P</w:t>
      </w:r>
      <w:r w:rsidR="00504ABF">
        <w:t xml:space="preserve">ossible impact models are outlined in Figure 1, ultimately one of these will be chosen a priori based on </w:t>
      </w:r>
      <w:r w:rsidR="000536F7">
        <w:t xml:space="preserve">further consideration of </w:t>
      </w:r>
      <w:r w:rsidR="00504ABF">
        <w:t>existing knowledge of the intervention and/or secondary data, other impact models will be used in a sensitivity analysis.</w:t>
      </w:r>
    </w:p>
    <w:p w:rsidR="006D2D71" w:rsidRDefault="006D2D71" w:rsidP="00A96118">
      <w:r>
        <w:t xml:space="preserve">The greatest limitation of the ITS design is the potential for confounding by events concurrent to the intervention. In order to strengthen the validity of the design we will incorporate control series to exclude effects from possible confounding events. Geographical control groups will include secondary care activity in </w:t>
      </w:r>
      <w:bookmarkStart w:id="1" w:name="_GoBack"/>
      <w:r>
        <w:t>Scotland</w:t>
      </w:r>
      <w:bookmarkEnd w:id="1"/>
      <w:r>
        <w:t>, Wales and Northern Ireland (where the HSCA was not implemented).</w:t>
      </w:r>
      <w:r w:rsidR="008C1B3B">
        <w:t xml:space="preserve"> Control outcomes such as critical care activity (a service that would be unlikely to be substituted by changes to community care) will also be included in the analyses.</w:t>
      </w:r>
    </w:p>
    <w:p w:rsidR="006D2D71" w:rsidRDefault="006D2D71" w:rsidP="00A96118">
      <w:r>
        <w:t>Stratified analyses</w:t>
      </w:r>
      <w:r w:rsidR="00967D39">
        <w:t xml:space="preserve"> by</w:t>
      </w:r>
      <w:r>
        <w:t xml:space="preserve"> different ty</w:t>
      </w:r>
      <w:r w:rsidR="00967D39">
        <w:t>pes of secondary care activity (</w:t>
      </w:r>
      <w:r>
        <w:t>elective, emergency, outpatient</w:t>
      </w:r>
      <w:r w:rsidR="00967D39">
        <w:t>)</w:t>
      </w:r>
      <w:r w:rsidR="00734A9B">
        <w:t xml:space="preserve"> and by </w:t>
      </w:r>
      <w:r w:rsidR="00967D39">
        <w:t>specialty will be undertaken in order to establish the nature of any effect.</w:t>
      </w:r>
    </w:p>
    <w:p w:rsidR="00967D39" w:rsidRDefault="00967D39" w:rsidP="00A96118"/>
    <w:p w:rsidR="000536F7" w:rsidRDefault="000536F7" w:rsidP="000536F7">
      <w:pPr>
        <w:keepNext/>
      </w:pPr>
      <w:r>
        <w:rPr>
          <w:noProof/>
          <w:lang w:bidi="ar-SA"/>
        </w:rPr>
        <w:lastRenderedPageBreak/>
        <w:drawing>
          <wp:inline distT="0" distB="0" distL="0" distR="0">
            <wp:extent cx="5767070" cy="499300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7070" cy="4993005"/>
                    </a:xfrm>
                    <a:prstGeom prst="rect">
                      <a:avLst/>
                    </a:prstGeom>
                    <a:noFill/>
                  </pic:spPr>
                </pic:pic>
              </a:graphicData>
            </a:graphic>
          </wp:inline>
        </w:drawing>
      </w:r>
    </w:p>
    <w:p w:rsidR="00504ABF" w:rsidRDefault="000536F7" w:rsidP="000536F7">
      <w:pPr>
        <w:pStyle w:val="Caption"/>
      </w:pPr>
      <w:r>
        <w:t xml:space="preserve">Figure </w:t>
      </w:r>
      <w:r w:rsidR="00F93448">
        <w:fldChar w:fldCharType="begin"/>
      </w:r>
      <w:r w:rsidR="00F65B89">
        <w:instrText xml:space="preserve"> SEQ Figure \* ARABIC </w:instrText>
      </w:r>
      <w:r w:rsidR="00F93448">
        <w:fldChar w:fldCharType="separate"/>
      </w:r>
      <w:r>
        <w:rPr>
          <w:noProof/>
        </w:rPr>
        <w:t>1</w:t>
      </w:r>
      <w:r w:rsidR="00F93448">
        <w:rPr>
          <w:noProof/>
        </w:rPr>
        <w:fldChar w:fldCharType="end"/>
      </w:r>
      <w:r>
        <w:t>: possible impact models</w:t>
      </w:r>
    </w:p>
    <w:p w:rsidR="000536F7" w:rsidRDefault="000536F7" w:rsidP="000536F7">
      <w:pPr>
        <w:pStyle w:val="ListParagraph"/>
        <w:numPr>
          <w:ilvl w:val="0"/>
          <w:numId w:val="8"/>
        </w:numPr>
        <w:rPr>
          <w:sz w:val="18"/>
          <w:szCs w:val="18"/>
        </w:rPr>
      </w:pPr>
      <w:r>
        <w:rPr>
          <w:sz w:val="18"/>
          <w:szCs w:val="18"/>
        </w:rPr>
        <w:t>gradual slope change beginning during the phase in of the intervention</w:t>
      </w:r>
    </w:p>
    <w:p w:rsidR="000536F7" w:rsidRDefault="000536F7" w:rsidP="000536F7">
      <w:pPr>
        <w:pStyle w:val="ListParagraph"/>
        <w:numPr>
          <w:ilvl w:val="0"/>
          <w:numId w:val="8"/>
        </w:numPr>
        <w:rPr>
          <w:sz w:val="18"/>
          <w:szCs w:val="18"/>
        </w:rPr>
      </w:pPr>
      <w:r>
        <w:rPr>
          <w:sz w:val="18"/>
          <w:szCs w:val="18"/>
        </w:rPr>
        <w:t>gradual slope change during the “intervention period” followed by a step change</w:t>
      </w:r>
    </w:p>
    <w:p w:rsidR="000536F7" w:rsidRDefault="000536F7" w:rsidP="000536F7">
      <w:pPr>
        <w:pStyle w:val="ListParagraph"/>
        <w:numPr>
          <w:ilvl w:val="0"/>
          <w:numId w:val="8"/>
        </w:numPr>
        <w:rPr>
          <w:sz w:val="18"/>
          <w:szCs w:val="18"/>
        </w:rPr>
      </w:pPr>
      <w:r>
        <w:rPr>
          <w:sz w:val="18"/>
          <w:szCs w:val="18"/>
        </w:rPr>
        <w:t>step change with exclusion of the “intervention period”</w:t>
      </w:r>
    </w:p>
    <w:p w:rsidR="000536F7" w:rsidRPr="000536F7" w:rsidRDefault="000536F7" w:rsidP="000536F7">
      <w:pPr>
        <w:pStyle w:val="ListParagraph"/>
        <w:numPr>
          <w:ilvl w:val="0"/>
          <w:numId w:val="8"/>
        </w:numPr>
        <w:rPr>
          <w:sz w:val="18"/>
          <w:szCs w:val="18"/>
        </w:rPr>
      </w:pPr>
      <w:r>
        <w:rPr>
          <w:sz w:val="18"/>
          <w:szCs w:val="18"/>
        </w:rPr>
        <w:t>step and slope change with exclusion of the “intervention period”</w:t>
      </w:r>
    </w:p>
    <w:p w:rsidR="00C94213" w:rsidRDefault="00C94213">
      <w:pPr>
        <w:spacing w:after="0" w:afterAutospacing="0"/>
        <w:ind w:firstLine="360"/>
        <w:jc w:val="left"/>
      </w:pPr>
      <w:r>
        <w:br w:type="page"/>
      </w:r>
    </w:p>
    <w:p w:rsidR="00C94213" w:rsidRDefault="00967D39" w:rsidP="00C94213">
      <w:pPr>
        <w:pStyle w:val="Heading2"/>
        <w:spacing w:after="100"/>
        <w:sectPr w:rsidR="00C94213" w:rsidSect="00A13FB7">
          <w:pgSz w:w="12240" w:h="15840"/>
          <w:pgMar w:top="1440" w:right="1440" w:bottom="1440" w:left="1440" w:header="708" w:footer="708" w:gutter="0"/>
          <w:cols w:space="708"/>
          <w:docGrid w:linePitch="360"/>
        </w:sectPr>
      </w:pPr>
      <w:r>
        <w:lastRenderedPageBreak/>
        <w:t>Data</w:t>
      </w:r>
    </w:p>
    <w:p w:rsidR="00A96118" w:rsidRDefault="00A96118" w:rsidP="00C94213">
      <w:pPr>
        <w:pStyle w:val="Heading2"/>
        <w:spacing w:after="100"/>
      </w:pPr>
    </w:p>
    <w:p w:rsidR="00967D39" w:rsidRDefault="00967D39" w:rsidP="00A96118">
      <w:r>
        <w:t>Monthly data will be needed for each of the following variables – ideally from 2007-2015</w:t>
      </w:r>
    </w:p>
    <w:tbl>
      <w:tblPr>
        <w:tblStyle w:val="TableGrid"/>
        <w:tblW w:w="0" w:type="auto"/>
        <w:tblLayout w:type="fixed"/>
        <w:tblLook w:val="04A0" w:firstRow="1" w:lastRow="0" w:firstColumn="1" w:lastColumn="0" w:noHBand="0" w:noVBand="1"/>
      </w:tblPr>
      <w:tblGrid>
        <w:gridCol w:w="2802"/>
        <w:gridCol w:w="2976"/>
        <w:gridCol w:w="2268"/>
      </w:tblGrid>
      <w:tr w:rsidR="00734A9B" w:rsidTr="00734A9B">
        <w:tc>
          <w:tcPr>
            <w:tcW w:w="2802" w:type="dxa"/>
          </w:tcPr>
          <w:p w:rsidR="00734A9B" w:rsidRDefault="00734A9B" w:rsidP="00FE0005">
            <w:pPr>
              <w:spacing w:after="0" w:afterAutospacing="0"/>
              <w:jc w:val="left"/>
            </w:pPr>
            <w:r>
              <w:t>Variable</w:t>
            </w:r>
          </w:p>
        </w:tc>
        <w:tc>
          <w:tcPr>
            <w:tcW w:w="2976" w:type="dxa"/>
          </w:tcPr>
          <w:p w:rsidR="00734A9B" w:rsidRDefault="00734A9B" w:rsidP="00FE0005">
            <w:pPr>
              <w:spacing w:after="0" w:afterAutospacing="0"/>
              <w:jc w:val="left"/>
            </w:pPr>
            <w:r>
              <w:t>Data source</w:t>
            </w:r>
          </w:p>
        </w:tc>
        <w:tc>
          <w:tcPr>
            <w:tcW w:w="2268" w:type="dxa"/>
          </w:tcPr>
          <w:p w:rsidR="00734A9B" w:rsidRDefault="00734A9B" w:rsidP="00FE0005">
            <w:pPr>
              <w:spacing w:after="0" w:afterAutospacing="0"/>
              <w:jc w:val="left"/>
            </w:pPr>
            <w:r>
              <w:t>Range</w:t>
            </w:r>
          </w:p>
        </w:tc>
      </w:tr>
      <w:tr w:rsidR="00734A9B" w:rsidTr="00734A9B">
        <w:tc>
          <w:tcPr>
            <w:tcW w:w="2802" w:type="dxa"/>
          </w:tcPr>
          <w:p w:rsidR="00734A9B" w:rsidRPr="00967D39" w:rsidRDefault="00734A9B" w:rsidP="00FE0005">
            <w:pPr>
              <w:spacing w:after="0" w:afterAutospacing="0"/>
              <w:jc w:val="left"/>
              <w:rPr>
                <w:b/>
              </w:rPr>
            </w:pPr>
            <w:r w:rsidRPr="00967D39">
              <w:rPr>
                <w:b/>
              </w:rPr>
              <w:t>Outcomes</w:t>
            </w:r>
          </w:p>
        </w:tc>
        <w:tc>
          <w:tcPr>
            <w:tcW w:w="2976" w:type="dxa"/>
          </w:tcPr>
          <w:p w:rsidR="00734A9B" w:rsidRDefault="00734A9B" w:rsidP="00FE0005">
            <w:pPr>
              <w:spacing w:after="0" w:afterAutospacing="0"/>
              <w:jc w:val="left"/>
            </w:pPr>
          </w:p>
        </w:tc>
        <w:tc>
          <w:tcPr>
            <w:tcW w:w="2268" w:type="dxa"/>
          </w:tcPr>
          <w:p w:rsidR="00734A9B" w:rsidRDefault="00734A9B" w:rsidP="00FE0005">
            <w:pPr>
              <w:spacing w:after="0" w:afterAutospacing="0"/>
              <w:jc w:val="left"/>
            </w:pPr>
          </w:p>
        </w:tc>
      </w:tr>
      <w:tr w:rsidR="00734A9B" w:rsidTr="00734A9B">
        <w:trPr>
          <w:trHeight w:val="836"/>
        </w:trPr>
        <w:tc>
          <w:tcPr>
            <w:tcW w:w="2802" w:type="dxa"/>
          </w:tcPr>
          <w:p w:rsidR="00734A9B" w:rsidRDefault="00734A9B" w:rsidP="00FE0005">
            <w:pPr>
              <w:spacing w:after="0" w:afterAutospacing="0"/>
              <w:jc w:val="left"/>
            </w:pPr>
            <w:r>
              <w:t>Elective admissions (England)</w:t>
            </w:r>
          </w:p>
        </w:tc>
        <w:tc>
          <w:tcPr>
            <w:tcW w:w="2976" w:type="dxa"/>
          </w:tcPr>
          <w:p w:rsidR="00734A9B" w:rsidRDefault="00734A9B" w:rsidP="00FE0005">
            <w:pPr>
              <w:spacing w:after="0" w:afterAutospacing="0"/>
              <w:jc w:val="left"/>
            </w:pPr>
            <w:r>
              <w:t>NHS England (HES)</w:t>
            </w:r>
          </w:p>
          <w:p w:rsidR="00734A9B" w:rsidRDefault="00734A9B" w:rsidP="00FE0005">
            <w:pPr>
              <w:spacing w:after="0" w:afterAutospacing="0"/>
              <w:jc w:val="left"/>
            </w:pPr>
          </w:p>
          <w:p w:rsidR="00734A9B" w:rsidRDefault="00734A9B" w:rsidP="00FE0005">
            <w:pPr>
              <w:spacing w:after="0" w:afterAutospacing="0"/>
              <w:jc w:val="left"/>
            </w:pPr>
            <w:r>
              <w:t>HSCIC</w:t>
            </w:r>
          </w:p>
        </w:tc>
        <w:tc>
          <w:tcPr>
            <w:tcW w:w="2268" w:type="dxa"/>
          </w:tcPr>
          <w:p w:rsidR="00734A9B" w:rsidRDefault="00734A9B" w:rsidP="00FE0005">
            <w:pPr>
              <w:spacing w:after="0" w:afterAutospacing="0"/>
              <w:jc w:val="left"/>
            </w:pPr>
            <w:r>
              <w:t>Apr08-Aug15</w:t>
            </w:r>
          </w:p>
          <w:p w:rsidR="00734A9B" w:rsidRDefault="00734A9B" w:rsidP="00FE0005">
            <w:pPr>
              <w:spacing w:after="0" w:afterAutospacing="0"/>
              <w:jc w:val="left"/>
            </w:pPr>
          </w:p>
          <w:p w:rsidR="00734A9B" w:rsidRDefault="00734A9B" w:rsidP="00E87486">
            <w:pPr>
              <w:spacing w:after="0" w:afterAutospacing="0"/>
              <w:jc w:val="left"/>
            </w:pPr>
            <w:r>
              <w:t>Apr07-Jul15</w:t>
            </w:r>
          </w:p>
        </w:tc>
      </w:tr>
      <w:tr w:rsidR="00734A9B" w:rsidTr="00734A9B">
        <w:tc>
          <w:tcPr>
            <w:tcW w:w="2802" w:type="dxa"/>
          </w:tcPr>
          <w:p w:rsidR="00734A9B" w:rsidRDefault="00734A9B" w:rsidP="00FE0005">
            <w:pPr>
              <w:spacing w:after="0" w:afterAutospacing="0"/>
              <w:jc w:val="left"/>
            </w:pPr>
            <w:r>
              <w:t>Outpatient appointments (England)</w:t>
            </w:r>
          </w:p>
        </w:tc>
        <w:tc>
          <w:tcPr>
            <w:tcW w:w="2976" w:type="dxa"/>
          </w:tcPr>
          <w:p w:rsidR="00734A9B" w:rsidRDefault="00734A9B" w:rsidP="00FE0005">
            <w:pPr>
              <w:spacing w:after="0" w:afterAutospacing="0"/>
              <w:jc w:val="left"/>
            </w:pPr>
            <w:r>
              <w:t>NHS England (HES)</w:t>
            </w:r>
          </w:p>
          <w:p w:rsidR="00734A9B" w:rsidRDefault="00734A9B" w:rsidP="00FE0005">
            <w:pPr>
              <w:spacing w:after="0" w:afterAutospacing="0"/>
              <w:jc w:val="left"/>
            </w:pPr>
          </w:p>
          <w:p w:rsidR="00734A9B" w:rsidRDefault="00734A9B" w:rsidP="00FE0005">
            <w:pPr>
              <w:spacing w:after="0" w:afterAutospacing="0"/>
              <w:jc w:val="left"/>
            </w:pPr>
            <w:r>
              <w:t>HSCIC</w:t>
            </w:r>
          </w:p>
        </w:tc>
        <w:tc>
          <w:tcPr>
            <w:tcW w:w="2268" w:type="dxa"/>
          </w:tcPr>
          <w:p w:rsidR="00734A9B" w:rsidRDefault="00734A9B" w:rsidP="00FE0005">
            <w:pPr>
              <w:spacing w:after="0" w:afterAutospacing="0"/>
              <w:jc w:val="left"/>
            </w:pPr>
            <w:r>
              <w:t>Apr08-Aug15</w:t>
            </w:r>
          </w:p>
          <w:p w:rsidR="00734A9B" w:rsidRDefault="00734A9B" w:rsidP="00FE0005">
            <w:pPr>
              <w:spacing w:after="0" w:afterAutospacing="0"/>
              <w:jc w:val="left"/>
            </w:pPr>
          </w:p>
          <w:p w:rsidR="00734A9B" w:rsidRDefault="00734A9B" w:rsidP="00FE0005">
            <w:pPr>
              <w:spacing w:after="0" w:afterAutospacing="0"/>
              <w:jc w:val="left"/>
            </w:pPr>
            <w:r>
              <w:t>Apr07-Jul15</w:t>
            </w:r>
          </w:p>
        </w:tc>
      </w:tr>
      <w:tr w:rsidR="00734A9B" w:rsidTr="00734A9B">
        <w:tc>
          <w:tcPr>
            <w:tcW w:w="2802" w:type="dxa"/>
          </w:tcPr>
          <w:p w:rsidR="00734A9B" w:rsidRDefault="00734A9B" w:rsidP="00FE0005">
            <w:pPr>
              <w:spacing w:after="0" w:afterAutospacing="0"/>
              <w:jc w:val="left"/>
            </w:pPr>
            <w:r>
              <w:t>Emergency admissions (England)</w:t>
            </w:r>
          </w:p>
        </w:tc>
        <w:tc>
          <w:tcPr>
            <w:tcW w:w="2976" w:type="dxa"/>
          </w:tcPr>
          <w:p w:rsidR="00734A9B" w:rsidRDefault="00734A9B" w:rsidP="00FE0005">
            <w:pPr>
              <w:spacing w:after="0" w:afterAutospacing="0"/>
              <w:jc w:val="left"/>
            </w:pPr>
            <w:r>
              <w:t>NHS England (HES)</w:t>
            </w:r>
          </w:p>
          <w:p w:rsidR="00734A9B" w:rsidRDefault="00734A9B" w:rsidP="00FE0005">
            <w:pPr>
              <w:spacing w:after="0" w:afterAutospacing="0"/>
              <w:jc w:val="left"/>
            </w:pPr>
          </w:p>
          <w:p w:rsidR="00734A9B" w:rsidRDefault="00734A9B" w:rsidP="00FE0005">
            <w:pPr>
              <w:spacing w:after="0" w:afterAutospacing="0"/>
              <w:jc w:val="left"/>
            </w:pPr>
            <w:r>
              <w:t>HSCIC</w:t>
            </w:r>
          </w:p>
        </w:tc>
        <w:tc>
          <w:tcPr>
            <w:tcW w:w="2268" w:type="dxa"/>
          </w:tcPr>
          <w:p w:rsidR="00734A9B" w:rsidRDefault="00734A9B" w:rsidP="00FE0005">
            <w:pPr>
              <w:spacing w:after="0" w:afterAutospacing="0"/>
              <w:jc w:val="left"/>
            </w:pPr>
            <w:r>
              <w:t>Apr08-Aug15</w:t>
            </w:r>
          </w:p>
          <w:p w:rsidR="00734A9B" w:rsidRDefault="00734A9B" w:rsidP="00FE0005">
            <w:pPr>
              <w:spacing w:after="0" w:afterAutospacing="0"/>
              <w:jc w:val="left"/>
            </w:pPr>
          </w:p>
          <w:p w:rsidR="00734A9B" w:rsidRDefault="00734A9B" w:rsidP="00FE0005">
            <w:pPr>
              <w:spacing w:after="0" w:afterAutospacing="0"/>
              <w:jc w:val="left"/>
            </w:pPr>
            <w:r>
              <w:t>Apr07-Jul15</w:t>
            </w:r>
          </w:p>
        </w:tc>
      </w:tr>
      <w:tr w:rsidR="00734A9B" w:rsidTr="00734A9B">
        <w:tc>
          <w:tcPr>
            <w:tcW w:w="2802" w:type="dxa"/>
          </w:tcPr>
          <w:p w:rsidR="00734A9B" w:rsidRDefault="00734A9B" w:rsidP="00FE0005">
            <w:pPr>
              <w:spacing w:after="0" w:afterAutospacing="0"/>
              <w:jc w:val="left"/>
            </w:pPr>
            <w:r>
              <w:t>GP referrals made (England)</w:t>
            </w:r>
          </w:p>
        </w:tc>
        <w:tc>
          <w:tcPr>
            <w:tcW w:w="2976" w:type="dxa"/>
          </w:tcPr>
          <w:p w:rsidR="00734A9B" w:rsidRDefault="00734A9B" w:rsidP="00FE0005">
            <w:pPr>
              <w:spacing w:after="0" w:afterAutospacing="0"/>
              <w:jc w:val="left"/>
            </w:pPr>
            <w:r>
              <w:t>NHS England (HES)</w:t>
            </w:r>
          </w:p>
          <w:p w:rsidR="00734A9B" w:rsidRDefault="00734A9B" w:rsidP="00FE0005">
            <w:pPr>
              <w:spacing w:after="0" w:afterAutospacing="0"/>
              <w:jc w:val="left"/>
            </w:pPr>
          </w:p>
        </w:tc>
        <w:tc>
          <w:tcPr>
            <w:tcW w:w="2268" w:type="dxa"/>
          </w:tcPr>
          <w:p w:rsidR="00734A9B" w:rsidRDefault="00734A9B" w:rsidP="00FE0005">
            <w:pPr>
              <w:spacing w:after="0" w:afterAutospacing="0"/>
              <w:jc w:val="left"/>
            </w:pPr>
            <w:r>
              <w:t>Apr08-Aug15</w:t>
            </w:r>
          </w:p>
        </w:tc>
      </w:tr>
      <w:tr w:rsidR="00734A9B" w:rsidTr="00734A9B">
        <w:tc>
          <w:tcPr>
            <w:tcW w:w="2802" w:type="dxa"/>
          </w:tcPr>
          <w:p w:rsidR="00734A9B" w:rsidRDefault="00734A9B" w:rsidP="00FE0005">
            <w:pPr>
              <w:spacing w:after="0" w:afterAutospacing="0"/>
              <w:jc w:val="left"/>
            </w:pPr>
            <w:r>
              <w:t>GP referrals seen (England)</w:t>
            </w:r>
          </w:p>
        </w:tc>
        <w:tc>
          <w:tcPr>
            <w:tcW w:w="2976" w:type="dxa"/>
          </w:tcPr>
          <w:p w:rsidR="00734A9B" w:rsidRDefault="00734A9B" w:rsidP="00FE0005">
            <w:pPr>
              <w:spacing w:after="0" w:afterAutospacing="0"/>
              <w:jc w:val="left"/>
            </w:pPr>
            <w:r>
              <w:t>NHS England (HES)</w:t>
            </w:r>
          </w:p>
          <w:p w:rsidR="00734A9B" w:rsidRDefault="00734A9B" w:rsidP="00FE0005">
            <w:pPr>
              <w:spacing w:after="0" w:afterAutospacing="0"/>
              <w:jc w:val="left"/>
            </w:pPr>
          </w:p>
        </w:tc>
        <w:tc>
          <w:tcPr>
            <w:tcW w:w="2268" w:type="dxa"/>
          </w:tcPr>
          <w:p w:rsidR="00734A9B" w:rsidRDefault="00734A9B" w:rsidP="00FE0005">
            <w:pPr>
              <w:spacing w:after="0" w:afterAutospacing="0"/>
              <w:jc w:val="left"/>
            </w:pPr>
            <w:r>
              <w:t>Apr08-Aug15</w:t>
            </w:r>
          </w:p>
        </w:tc>
      </w:tr>
      <w:tr w:rsidR="00734A9B" w:rsidTr="00734A9B">
        <w:tc>
          <w:tcPr>
            <w:tcW w:w="2802" w:type="dxa"/>
          </w:tcPr>
          <w:p w:rsidR="00734A9B" w:rsidRDefault="00734A9B" w:rsidP="00FE0005">
            <w:pPr>
              <w:spacing w:after="0" w:afterAutospacing="0"/>
              <w:jc w:val="left"/>
              <w:rPr>
                <w:b/>
              </w:rPr>
            </w:pPr>
          </w:p>
        </w:tc>
        <w:tc>
          <w:tcPr>
            <w:tcW w:w="2976" w:type="dxa"/>
          </w:tcPr>
          <w:p w:rsidR="00734A9B" w:rsidRDefault="00734A9B" w:rsidP="00FE0005">
            <w:pPr>
              <w:spacing w:after="0" w:afterAutospacing="0"/>
              <w:jc w:val="left"/>
            </w:pPr>
          </w:p>
        </w:tc>
        <w:tc>
          <w:tcPr>
            <w:tcW w:w="2268" w:type="dxa"/>
          </w:tcPr>
          <w:p w:rsidR="00734A9B" w:rsidRDefault="00734A9B" w:rsidP="00FE0005">
            <w:pPr>
              <w:spacing w:after="0" w:afterAutospacing="0"/>
              <w:jc w:val="left"/>
            </w:pPr>
          </w:p>
        </w:tc>
      </w:tr>
      <w:tr w:rsidR="00734A9B" w:rsidTr="00734A9B">
        <w:tc>
          <w:tcPr>
            <w:tcW w:w="2802" w:type="dxa"/>
          </w:tcPr>
          <w:p w:rsidR="00734A9B" w:rsidRPr="002D5FD4" w:rsidRDefault="00734A9B" w:rsidP="00FE0005">
            <w:pPr>
              <w:spacing w:after="0" w:afterAutospacing="0"/>
              <w:jc w:val="left"/>
              <w:rPr>
                <w:b/>
              </w:rPr>
            </w:pPr>
            <w:r>
              <w:rPr>
                <w:b/>
              </w:rPr>
              <w:t>Denominator data</w:t>
            </w:r>
          </w:p>
        </w:tc>
        <w:tc>
          <w:tcPr>
            <w:tcW w:w="2976" w:type="dxa"/>
          </w:tcPr>
          <w:p w:rsidR="00734A9B" w:rsidRDefault="00734A9B" w:rsidP="00FE0005">
            <w:pPr>
              <w:spacing w:after="0" w:afterAutospacing="0"/>
              <w:jc w:val="left"/>
            </w:pPr>
          </w:p>
        </w:tc>
        <w:tc>
          <w:tcPr>
            <w:tcW w:w="2268" w:type="dxa"/>
          </w:tcPr>
          <w:p w:rsidR="00734A9B" w:rsidRDefault="00734A9B" w:rsidP="00FE0005">
            <w:pPr>
              <w:spacing w:after="0" w:afterAutospacing="0"/>
              <w:jc w:val="left"/>
            </w:pPr>
          </w:p>
        </w:tc>
      </w:tr>
      <w:tr w:rsidR="00734A9B" w:rsidTr="00734A9B">
        <w:tc>
          <w:tcPr>
            <w:tcW w:w="2802" w:type="dxa"/>
          </w:tcPr>
          <w:p w:rsidR="00734A9B" w:rsidRDefault="00734A9B" w:rsidP="00FE0005">
            <w:pPr>
              <w:spacing w:after="0" w:afterAutospacing="0"/>
              <w:jc w:val="left"/>
            </w:pPr>
            <w:r>
              <w:t>Population (England)</w:t>
            </w:r>
          </w:p>
        </w:tc>
        <w:tc>
          <w:tcPr>
            <w:tcW w:w="2976" w:type="dxa"/>
          </w:tcPr>
          <w:p w:rsidR="00734A9B" w:rsidRDefault="00734A9B" w:rsidP="00FE0005">
            <w:pPr>
              <w:spacing w:after="0" w:afterAutospacing="0"/>
              <w:jc w:val="left"/>
            </w:pPr>
            <w:r>
              <w:t>ONS</w:t>
            </w:r>
          </w:p>
        </w:tc>
        <w:tc>
          <w:tcPr>
            <w:tcW w:w="2268" w:type="dxa"/>
          </w:tcPr>
          <w:p w:rsidR="00734A9B" w:rsidRDefault="00734A9B" w:rsidP="00E52444">
            <w:pPr>
              <w:spacing w:after="0" w:afterAutospacing="0"/>
              <w:jc w:val="left"/>
            </w:pPr>
            <w:r>
              <w:t>07-14</w:t>
            </w:r>
          </w:p>
        </w:tc>
      </w:tr>
      <w:tr w:rsidR="00734A9B" w:rsidTr="00734A9B">
        <w:tc>
          <w:tcPr>
            <w:tcW w:w="2802" w:type="dxa"/>
          </w:tcPr>
          <w:p w:rsidR="00734A9B" w:rsidRDefault="00734A9B" w:rsidP="00FE0005">
            <w:pPr>
              <w:spacing w:after="0" w:afterAutospacing="0"/>
              <w:jc w:val="left"/>
            </w:pPr>
          </w:p>
        </w:tc>
        <w:tc>
          <w:tcPr>
            <w:tcW w:w="2976" w:type="dxa"/>
          </w:tcPr>
          <w:p w:rsidR="00734A9B" w:rsidRDefault="00734A9B" w:rsidP="00FE0005">
            <w:pPr>
              <w:spacing w:after="0" w:afterAutospacing="0"/>
              <w:jc w:val="left"/>
            </w:pPr>
          </w:p>
        </w:tc>
        <w:tc>
          <w:tcPr>
            <w:tcW w:w="2268" w:type="dxa"/>
          </w:tcPr>
          <w:p w:rsidR="00734A9B" w:rsidRDefault="00734A9B" w:rsidP="00FE0005">
            <w:pPr>
              <w:spacing w:after="0" w:afterAutospacing="0"/>
              <w:jc w:val="left"/>
            </w:pPr>
          </w:p>
        </w:tc>
      </w:tr>
      <w:tr w:rsidR="00734A9B" w:rsidTr="00734A9B">
        <w:tc>
          <w:tcPr>
            <w:tcW w:w="2802" w:type="dxa"/>
          </w:tcPr>
          <w:p w:rsidR="00734A9B" w:rsidRPr="002D5FD4" w:rsidRDefault="00734A9B" w:rsidP="00FE0005">
            <w:pPr>
              <w:spacing w:after="0" w:afterAutospacing="0"/>
              <w:jc w:val="left"/>
              <w:rPr>
                <w:b/>
              </w:rPr>
            </w:pPr>
            <w:r w:rsidRPr="002D5FD4">
              <w:rPr>
                <w:b/>
              </w:rPr>
              <w:t>Stratification variables</w:t>
            </w:r>
          </w:p>
        </w:tc>
        <w:tc>
          <w:tcPr>
            <w:tcW w:w="2976" w:type="dxa"/>
          </w:tcPr>
          <w:p w:rsidR="00734A9B" w:rsidRDefault="00734A9B" w:rsidP="00FE0005">
            <w:pPr>
              <w:spacing w:after="0" w:afterAutospacing="0"/>
              <w:jc w:val="left"/>
            </w:pPr>
          </w:p>
        </w:tc>
        <w:tc>
          <w:tcPr>
            <w:tcW w:w="2268" w:type="dxa"/>
          </w:tcPr>
          <w:p w:rsidR="00734A9B" w:rsidRDefault="00734A9B" w:rsidP="00FE0005">
            <w:pPr>
              <w:spacing w:after="0" w:afterAutospacing="0"/>
              <w:jc w:val="left"/>
            </w:pPr>
          </w:p>
        </w:tc>
      </w:tr>
      <w:tr w:rsidR="00734A9B" w:rsidTr="00734A9B">
        <w:tc>
          <w:tcPr>
            <w:tcW w:w="2802" w:type="dxa"/>
          </w:tcPr>
          <w:p w:rsidR="00734A9B" w:rsidRDefault="00734A9B" w:rsidP="00FE0005">
            <w:pPr>
              <w:spacing w:after="0" w:afterAutospacing="0"/>
              <w:jc w:val="left"/>
            </w:pPr>
            <w:r>
              <w:t>Gender</w:t>
            </w:r>
          </w:p>
        </w:tc>
        <w:tc>
          <w:tcPr>
            <w:tcW w:w="2976" w:type="dxa"/>
          </w:tcPr>
          <w:p w:rsidR="00734A9B" w:rsidRDefault="00734A9B" w:rsidP="00FE0005">
            <w:pPr>
              <w:spacing w:after="0" w:afterAutospacing="0"/>
              <w:jc w:val="left"/>
            </w:pPr>
          </w:p>
        </w:tc>
        <w:tc>
          <w:tcPr>
            <w:tcW w:w="2268" w:type="dxa"/>
          </w:tcPr>
          <w:p w:rsidR="00734A9B" w:rsidRDefault="00734A9B" w:rsidP="00FE0005">
            <w:pPr>
              <w:spacing w:after="0" w:afterAutospacing="0"/>
              <w:jc w:val="left"/>
            </w:pPr>
          </w:p>
        </w:tc>
      </w:tr>
      <w:tr w:rsidR="00734A9B" w:rsidTr="00734A9B">
        <w:tc>
          <w:tcPr>
            <w:tcW w:w="2802" w:type="dxa"/>
          </w:tcPr>
          <w:p w:rsidR="00734A9B" w:rsidRDefault="00734A9B" w:rsidP="00FE0005">
            <w:pPr>
              <w:spacing w:after="0" w:afterAutospacing="0"/>
              <w:jc w:val="left"/>
            </w:pPr>
            <w:r>
              <w:t>Age-group</w:t>
            </w:r>
          </w:p>
        </w:tc>
        <w:tc>
          <w:tcPr>
            <w:tcW w:w="2976" w:type="dxa"/>
          </w:tcPr>
          <w:p w:rsidR="00734A9B" w:rsidRDefault="00734A9B" w:rsidP="00FE0005">
            <w:pPr>
              <w:spacing w:after="0" w:afterAutospacing="0"/>
              <w:jc w:val="left"/>
            </w:pPr>
          </w:p>
        </w:tc>
        <w:tc>
          <w:tcPr>
            <w:tcW w:w="2268" w:type="dxa"/>
          </w:tcPr>
          <w:p w:rsidR="00734A9B" w:rsidRDefault="00734A9B" w:rsidP="00FE0005">
            <w:pPr>
              <w:spacing w:after="0" w:afterAutospacing="0"/>
              <w:jc w:val="left"/>
            </w:pPr>
          </w:p>
        </w:tc>
      </w:tr>
      <w:tr w:rsidR="00734A9B" w:rsidTr="00734A9B">
        <w:tc>
          <w:tcPr>
            <w:tcW w:w="2802" w:type="dxa"/>
          </w:tcPr>
          <w:p w:rsidR="00734A9B" w:rsidRDefault="00734A9B" w:rsidP="00FE0005">
            <w:pPr>
              <w:spacing w:after="0" w:afterAutospacing="0"/>
              <w:jc w:val="left"/>
            </w:pPr>
            <w:r>
              <w:t>Diagnosis</w:t>
            </w:r>
          </w:p>
        </w:tc>
        <w:tc>
          <w:tcPr>
            <w:tcW w:w="2976" w:type="dxa"/>
          </w:tcPr>
          <w:p w:rsidR="00734A9B" w:rsidRDefault="00734A9B" w:rsidP="00FE0005">
            <w:pPr>
              <w:spacing w:after="0" w:afterAutospacing="0"/>
              <w:jc w:val="left"/>
            </w:pPr>
          </w:p>
        </w:tc>
        <w:tc>
          <w:tcPr>
            <w:tcW w:w="2268" w:type="dxa"/>
          </w:tcPr>
          <w:p w:rsidR="00734A9B" w:rsidRDefault="00734A9B" w:rsidP="00FE0005">
            <w:pPr>
              <w:spacing w:after="0" w:afterAutospacing="0"/>
              <w:jc w:val="left"/>
            </w:pPr>
          </w:p>
        </w:tc>
      </w:tr>
      <w:tr w:rsidR="00734A9B" w:rsidTr="00734A9B">
        <w:tc>
          <w:tcPr>
            <w:tcW w:w="2802" w:type="dxa"/>
          </w:tcPr>
          <w:p w:rsidR="00734A9B" w:rsidRDefault="00734A9B" w:rsidP="00FE0005">
            <w:pPr>
              <w:spacing w:after="0" w:afterAutospacing="0"/>
              <w:jc w:val="left"/>
            </w:pPr>
            <w:r>
              <w:t>Specialty</w:t>
            </w:r>
          </w:p>
        </w:tc>
        <w:tc>
          <w:tcPr>
            <w:tcW w:w="2976" w:type="dxa"/>
          </w:tcPr>
          <w:p w:rsidR="00734A9B" w:rsidRDefault="00734A9B" w:rsidP="00FE0005">
            <w:pPr>
              <w:spacing w:after="0" w:afterAutospacing="0"/>
              <w:jc w:val="left"/>
            </w:pPr>
          </w:p>
        </w:tc>
        <w:tc>
          <w:tcPr>
            <w:tcW w:w="2268" w:type="dxa"/>
          </w:tcPr>
          <w:p w:rsidR="00734A9B" w:rsidRDefault="00734A9B" w:rsidP="00FE0005">
            <w:pPr>
              <w:spacing w:after="0" w:afterAutospacing="0"/>
              <w:jc w:val="left"/>
            </w:pPr>
          </w:p>
        </w:tc>
      </w:tr>
      <w:tr w:rsidR="00734A9B" w:rsidTr="00734A9B">
        <w:tc>
          <w:tcPr>
            <w:tcW w:w="2802" w:type="dxa"/>
          </w:tcPr>
          <w:p w:rsidR="00734A9B" w:rsidRDefault="00734A9B" w:rsidP="00FE0005">
            <w:pPr>
              <w:spacing w:after="0" w:afterAutospacing="0"/>
              <w:jc w:val="left"/>
            </w:pPr>
          </w:p>
        </w:tc>
        <w:tc>
          <w:tcPr>
            <w:tcW w:w="2976" w:type="dxa"/>
          </w:tcPr>
          <w:p w:rsidR="00734A9B" w:rsidRDefault="00734A9B" w:rsidP="00FE0005">
            <w:pPr>
              <w:spacing w:after="0" w:afterAutospacing="0"/>
              <w:jc w:val="left"/>
            </w:pPr>
          </w:p>
        </w:tc>
        <w:tc>
          <w:tcPr>
            <w:tcW w:w="2268" w:type="dxa"/>
          </w:tcPr>
          <w:p w:rsidR="00734A9B" w:rsidRDefault="00734A9B" w:rsidP="00FE0005">
            <w:pPr>
              <w:spacing w:after="0" w:afterAutospacing="0"/>
              <w:jc w:val="left"/>
            </w:pPr>
          </w:p>
        </w:tc>
      </w:tr>
      <w:tr w:rsidR="00734A9B" w:rsidTr="00734A9B">
        <w:tc>
          <w:tcPr>
            <w:tcW w:w="2802" w:type="dxa"/>
          </w:tcPr>
          <w:p w:rsidR="00734A9B" w:rsidRPr="002479B2" w:rsidRDefault="00734A9B" w:rsidP="00FE0005">
            <w:pPr>
              <w:spacing w:after="0" w:afterAutospacing="0"/>
              <w:jc w:val="left"/>
              <w:rPr>
                <w:b/>
              </w:rPr>
            </w:pPr>
            <w:r>
              <w:rPr>
                <w:b/>
              </w:rPr>
              <w:t>Controls</w:t>
            </w:r>
          </w:p>
        </w:tc>
        <w:tc>
          <w:tcPr>
            <w:tcW w:w="2976" w:type="dxa"/>
          </w:tcPr>
          <w:p w:rsidR="00734A9B" w:rsidRDefault="00734A9B" w:rsidP="00FE0005">
            <w:pPr>
              <w:spacing w:after="0" w:afterAutospacing="0"/>
              <w:jc w:val="left"/>
            </w:pPr>
          </w:p>
        </w:tc>
        <w:tc>
          <w:tcPr>
            <w:tcW w:w="2268" w:type="dxa"/>
          </w:tcPr>
          <w:p w:rsidR="00734A9B" w:rsidRDefault="00734A9B" w:rsidP="00FE0005">
            <w:pPr>
              <w:spacing w:after="0" w:afterAutospacing="0"/>
              <w:jc w:val="left"/>
            </w:pPr>
          </w:p>
        </w:tc>
      </w:tr>
      <w:tr w:rsidR="00734A9B" w:rsidTr="00734A9B">
        <w:tc>
          <w:tcPr>
            <w:tcW w:w="2802" w:type="dxa"/>
          </w:tcPr>
          <w:p w:rsidR="00734A9B" w:rsidRDefault="00734A9B" w:rsidP="00FE0005">
            <w:pPr>
              <w:spacing w:after="0" w:afterAutospacing="0"/>
              <w:jc w:val="left"/>
            </w:pPr>
            <w:r>
              <w:t>Elective admissions (Scotland)</w:t>
            </w:r>
          </w:p>
        </w:tc>
        <w:tc>
          <w:tcPr>
            <w:tcW w:w="2976" w:type="dxa"/>
          </w:tcPr>
          <w:p w:rsidR="00734A9B" w:rsidRDefault="00734A9B" w:rsidP="00FE0005">
            <w:pPr>
              <w:spacing w:after="0" w:afterAutospacing="0"/>
              <w:jc w:val="left"/>
            </w:pPr>
            <w:r>
              <w:t>ISD (NHS Scotland)</w:t>
            </w:r>
          </w:p>
        </w:tc>
        <w:tc>
          <w:tcPr>
            <w:tcW w:w="2268" w:type="dxa"/>
          </w:tcPr>
          <w:p w:rsidR="00734A9B" w:rsidRDefault="00734A9B" w:rsidP="00FE0005">
            <w:pPr>
              <w:spacing w:after="0" w:afterAutospacing="0"/>
              <w:jc w:val="left"/>
            </w:pPr>
            <w:r>
              <w:t>04-Jun15</w:t>
            </w:r>
          </w:p>
        </w:tc>
      </w:tr>
      <w:tr w:rsidR="00734A9B" w:rsidTr="00734A9B">
        <w:tc>
          <w:tcPr>
            <w:tcW w:w="2802" w:type="dxa"/>
          </w:tcPr>
          <w:p w:rsidR="00734A9B" w:rsidRDefault="00734A9B" w:rsidP="00551A28">
            <w:pPr>
              <w:spacing w:after="0" w:afterAutospacing="0"/>
              <w:jc w:val="left"/>
            </w:pPr>
            <w:r w:rsidRPr="00734A9B">
              <w:t>Outpatient appointments</w:t>
            </w:r>
            <w:r>
              <w:t xml:space="preserve"> </w:t>
            </w:r>
            <w:r>
              <w:lastRenderedPageBreak/>
              <w:t>(Scotland)</w:t>
            </w:r>
          </w:p>
        </w:tc>
        <w:tc>
          <w:tcPr>
            <w:tcW w:w="2976" w:type="dxa"/>
          </w:tcPr>
          <w:p w:rsidR="00734A9B" w:rsidRDefault="00734A9B" w:rsidP="00551A28">
            <w:pPr>
              <w:spacing w:after="0" w:afterAutospacing="0"/>
              <w:jc w:val="left"/>
            </w:pPr>
            <w:r>
              <w:lastRenderedPageBreak/>
              <w:t>ISD (NHS Scotland)</w:t>
            </w:r>
          </w:p>
        </w:tc>
        <w:tc>
          <w:tcPr>
            <w:tcW w:w="2268" w:type="dxa"/>
          </w:tcPr>
          <w:p w:rsidR="00734A9B" w:rsidRDefault="00734A9B" w:rsidP="00551A28">
            <w:pPr>
              <w:spacing w:after="0" w:afterAutospacing="0"/>
              <w:jc w:val="left"/>
            </w:pPr>
            <w:r>
              <w:t>04-Jun15</w:t>
            </w:r>
          </w:p>
        </w:tc>
      </w:tr>
      <w:tr w:rsidR="00734A9B" w:rsidTr="00734A9B">
        <w:tc>
          <w:tcPr>
            <w:tcW w:w="2802" w:type="dxa"/>
          </w:tcPr>
          <w:p w:rsidR="00734A9B" w:rsidRDefault="00734A9B" w:rsidP="00551A28">
            <w:pPr>
              <w:spacing w:after="0" w:afterAutospacing="0"/>
              <w:jc w:val="left"/>
            </w:pPr>
            <w:r>
              <w:t>Emergency admissions (Scotland)</w:t>
            </w:r>
          </w:p>
        </w:tc>
        <w:tc>
          <w:tcPr>
            <w:tcW w:w="2976" w:type="dxa"/>
          </w:tcPr>
          <w:p w:rsidR="00734A9B" w:rsidRDefault="00734A9B" w:rsidP="00551A28">
            <w:pPr>
              <w:spacing w:after="0" w:afterAutospacing="0"/>
              <w:jc w:val="left"/>
            </w:pPr>
            <w:r>
              <w:t>ISD (NHS Scotland)</w:t>
            </w:r>
          </w:p>
        </w:tc>
        <w:tc>
          <w:tcPr>
            <w:tcW w:w="2268" w:type="dxa"/>
          </w:tcPr>
          <w:p w:rsidR="00734A9B" w:rsidRDefault="00734A9B" w:rsidP="00551A28">
            <w:pPr>
              <w:spacing w:after="0" w:afterAutospacing="0"/>
              <w:jc w:val="left"/>
            </w:pPr>
            <w:r>
              <w:t>04-14</w:t>
            </w:r>
          </w:p>
        </w:tc>
      </w:tr>
      <w:tr w:rsidR="00734A9B" w:rsidTr="00734A9B">
        <w:tc>
          <w:tcPr>
            <w:tcW w:w="2802" w:type="dxa"/>
          </w:tcPr>
          <w:p w:rsidR="00734A9B" w:rsidRDefault="00734A9B" w:rsidP="00551A28">
            <w:pPr>
              <w:spacing w:after="0" w:afterAutospacing="0"/>
              <w:jc w:val="left"/>
            </w:pPr>
            <w:r>
              <w:t>GP referrals made (Scotland)</w:t>
            </w:r>
          </w:p>
        </w:tc>
        <w:tc>
          <w:tcPr>
            <w:tcW w:w="2976" w:type="dxa"/>
          </w:tcPr>
          <w:p w:rsidR="00734A9B" w:rsidRDefault="00734A9B" w:rsidP="00551A28">
            <w:pPr>
              <w:spacing w:after="0" w:afterAutospacing="0"/>
              <w:jc w:val="left"/>
            </w:pPr>
          </w:p>
        </w:tc>
        <w:tc>
          <w:tcPr>
            <w:tcW w:w="2268" w:type="dxa"/>
          </w:tcPr>
          <w:p w:rsidR="00734A9B" w:rsidRDefault="00734A9B" w:rsidP="00551A28">
            <w:pPr>
              <w:spacing w:after="0" w:afterAutospacing="0"/>
              <w:jc w:val="left"/>
            </w:pPr>
          </w:p>
        </w:tc>
      </w:tr>
      <w:tr w:rsidR="00734A9B" w:rsidTr="00734A9B">
        <w:tc>
          <w:tcPr>
            <w:tcW w:w="2802" w:type="dxa"/>
          </w:tcPr>
          <w:p w:rsidR="00734A9B" w:rsidRDefault="00734A9B" w:rsidP="00551A28">
            <w:pPr>
              <w:spacing w:after="0" w:afterAutospacing="0"/>
              <w:jc w:val="left"/>
            </w:pPr>
            <w:r>
              <w:t>GP referrals seen (Scotland)</w:t>
            </w:r>
          </w:p>
        </w:tc>
        <w:tc>
          <w:tcPr>
            <w:tcW w:w="2976" w:type="dxa"/>
          </w:tcPr>
          <w:p w:rsidR="00734A9B" w:rsidRDefault="00734A9B" w:rsidP="00551A28">
            <w:pPr>
              <w:spacing w:after="0" w:afterAutospacing="0"/>
              <w:jc w:val="left"/>
            </w:pPr>
          </w:p>
        </w:tc>
        <w:tc>
          <w:tcPr>
            <w:tcW w:w="2268" w:type="dxa"/>
          </w:tcPr>
          <w:p w:rsidR="00734A9B" w:rsidRDefault="00734A9B" w:rsidP="00551A28">
            <w:pPr>
              <w:spacing w:after="0" w:afterAutospacing="0"/>
              <w:jc w:val="left"/>
            </w:pPr>
          </w:p>
        </w:tc>
      </w:tr>
      <w:tr w:rsidR="00734A9B" w:rsidTr="00734A9B">
        <w:tc>
          <w:tcPr>
            <w:tcW w:w="2802" w:type="dxa"/>
          </w:tcPr>
          <w:p w:rsidR="00734A9B" w:rsidRDefault="00734A9B" w:rsidP="00551A28">
            <w:pPr>
              <w:spacing w:after="0" w:afterAutospacing="0"/>
              <w:jc w:val="left"/>
            </w:pPr>
            <w:r>
              <w:t>Population (Scotland)</w:t>
            </w:r>
          </w:p>
        </w:tc>
        <w:tc>
          <w:tcPr>
            <w:tcW w:w="2976" w:type="dxa"/>
          </w:tcPr>
          <w:p w:rsidR="00734A9B" w:rsidRDefault="00734A9B" w:rsidP="00551A28">
            <w:pPr>
              <w:spacing w:after="0" w:afterAutospacing="0"/>
              <w:jc w:val="left"/>
            </w:pPr>
            <w:r>
              <w:t>ONS</w:t>
            </w:r>
          </w:p>
        </w:tc>
        <w:tc>
          <w:tcPr>
            <w:tcW w:w="2268" w:type="dxa"/>
          </w:tcPr>
          <w:p w:rsidR="00734A9B" w:rsidRDefault="00734A9B" w:rsidP="00551A28">
            <w:pPr>
              <w:spacing w:after="0" w:afterAutospacing="0"/>
              <w:jc w:val="left"/>
            </w:pPr>
            <w:r>
              <w:t>07-14</w:t>
            </w:r>
          </w:p>
        </w:tc>
      </w:tr>
      <w:tr w:rsidR="00734A9B" w:rsidTr="00734A9B">
        <w:tc>
          <w:tcPr>
            <w:tcW w:w="2802" w:type="dxa"/>
          </w:tcPr>
          <w:p w:rsidR="00734A9B" w:rsidRDefault="00734A9B" w:rsidP="00551A28">
            <w:pPr>
              <w:spacing w:after="0" w:afterAutospacing="0"/>
              <w:jc w:val="left"/>
            </w:pPr>
            <w:r>
              <w:t>Elective admissions (Wales)</w:t>
            </w:r>
          </w:p>
        </w:tc>
        <w:tc>
          <w:tcPr>
            <w:tcW w:w="2976" w:type="dxa"/>
          </w:tcPr>
          <w:p w:rsidR="00734A9B" w:rsidRDefault="00734A9B" w:rsidP="00551A28">
            <w:pPr>
              <w:spacing w:after="0" w:afterAutospacing="0"/>
              <w:jc w:val="left"/>
            </w:pPr>
          </w:p>
        </w:tc>
        <w:tc>
          <w:tcPr>
            <w:tcW w:w="2268" w:type="dxa"/>
          </w:tcPr>
          <w:p w:rsidR="00734A9B" w:rsidRDefault="00734A9B" w:rsidP="00551A28">
            <w:pPr>
              <w:spacing w:after="0" w:afterAutospacing="0"/>
              <w:jc w:val="left"/>
            </w:pPr>
            <w:r>
              <w:t>99-14</w:t>
            </w:r>
          </w:p>
        </w:tc>
      </w:tr>
      <w:tr w:rsidR="00734A9B" w:rsidTr="00734A9B">
        <w:tc>
          <w:tcPr>
            <w:tcW w:w="2802" w:type="dxa"/>
          </w:tcPr>
          <w:p w:rsidR="00734A9B" w:rsidRDefault="00734A9B" w:rsidP="00551A28">
            <w:pPr>
              <w:spacing w:after="0" w:afterAutospacing="0"/>
              <w:jc w:val="left"/>
            </w:pPr>
            <w:r>
              <w:t>Outpatient appointments (Wales)</w:t>
            </w:r>
          </w:p>
        </w:tc>
        <w:tc>
          <w:tcPr>
            <w:tcW w:w="2976" w:type="dxa"/>
          </w:tcPr>
          <w:p w:rsidR="00734A9B" w:rsidRDefault="00734A9B" w:rsidP="00551A28">
            <w:pPr>
              <w:spacing w:after="0" w:afterAutospacing="0"/>
              <w:jc w:val="left"/>
            </w:pPr>
            <w:r>
              <w:t>Statswales</w:t>
            </w:r>
          </w:p>
        </w:tc>
        <w:tc>
          <w:tcPr>
            <w:tcW w:w="2268" w:type="dxa"/>
          </w:tcPr>
          <w:p w:rsidR="00734A9B" w:rsidRDefault="00734A9B" w:rsidP="00551A28">
            <w:pPr>
              <w:spacing w:after="0" w:afterAutospacing="0"/>
              <w:jc w:val="left"/>
            </w:pPr>
            <w:r>
              <w:t>89-12</w:t>
            </w:r>
          </w:p>
        </w:tc>
      </w:tr>
      <w:tr w:rsidR="00734A9B" w:rsidTr="00734A9B">
        <w:tc>
          <w:tcPr>
            <w:tcW w:w="2802" w:type="dxa"/>
          </w:tcPr>
          <w:p w:rsidR="00734A9B" w:rsidRDefault="00734A9B" w:rsidP="00A00C17">
            <w:pPr>
              <w:spacing w:after="0" w:afterAutospacing="0"/>
              <w:jc w:val="left"/>
            </w:pPr>
            <w:r>
              <w:t>Emergency admissions (Wales)</w:t>
            </w:r>
          </w:p>
        </w:tc>
        <w:tc>
          <w:tcPr>
            <w:tcW w:w="2976" w:type="dxa"/>
          </w:tcPr>
          <w:p w:rsidR="00734A9B" w:rsidRDefault="00734A9B" w:rsidP="00A00C17">
            <w:pPr>
              <w:spacing w:after="0" w:afterAutospacing="0"/>
              <w:jc w:val="left"/>
            </w:pPr>
          </w:p>
        </w:tc>
        <w:tc>
          <w:tcPr>
            <w:tcW w:w="2268" w:type="dxa"/>
          </w:tcPr>
          <w:p w:rsidR="00734A9B" w:rsidRDefault="00734A9B" w:rsidP="00A00C17">
            <w:pPr>
              <w:spacing w:after="0" w:afterAutospacing="0"/>
              <w:jc w:val="left"/>
            </w:pPr>
            <w:r>
              <w:t>99-14</w:t>
            </w:r>
          </w:p>
        </w:tc>
      </w:tr>
      <w:tr w:rsidR="00734A9B" w:rsidTr="00734A9B">
        <w:tc>
          <w:tcPr>
            <w:tcW w:w="2802" w:type="dxa"/>
          </w:tcPr>
          <w:p w:rsidR="00734A9B" w:rsidRDefault="00734A9B" w:rsidP="00A00C17">
            <w:pPr>
              <w:spacing w:after="0" w:afterAutospacing="0"/>
              <w:jc w:val="left"/>
            </w:pPr>
            <w:r>
              <w:t>GP referrals made (Wales)</w:t>
            </w:r>
          </w:p>
        </w:tc>
        <w:tc>
          <w:tcPr>
            <w:tcW w:w="2976" w:type="dxa"/>
          </w:tcPr>
          <w:p w:rsidR="00734A9B" w:rsidRDefault="00734A9B" w:rsidP="00A00C17">
            <w:pPr>
              <w:spacing w:after="0" w:afterAutospacing="0"/>
              <w:jc w:val="left"/>
            </w:pPr>
            <w:r>
              <w:t>Statswales</w:t>
            </w:r>
          </w:p>
        </w:tc>
        <w:tc>
          <w:tcPr>
            <w:tcW w:w="2268" w:type="dxa"/>
          </w:tcPr>
          <w:p w:rsidR="00734A9B" w:rsidRDefault="00734A9B" w:rsidP="00A00C17">
            <w:pPr>
              <w:spacing w:after="0" w:afterAutospacing="0"/>
              <w:jc w:val="left"/>
            </w:pPr>
            <w:r>
              <w:t>Jan05-Sep15</w:t>
            </w:r>
          </w:p>
        </w:tc>
      </w:tr>
      <w:tr w:rsidR="00734A9B" w:rsidTr="00734A9B">
        <w:tc>
          <w:tcPr>
            <w:tcW w:w="2802" w:type="dxa"/>
          </w:tcPr>
          <w:p w:rsidR="00734A9B" w:rsidRDefault="00734A9B" w:rsidP="00A00C17">
            <w:pPr>
              <w:spacing w:after="0" w:afterAutospacing="0"/>
              <w:jc w:val="left"/>
            </w:pPr>
            <w:r>
              <w:t>GP referrals seen (Wales)</w:t>
            </w:r>
          </w:p>
        </w:tc>
        <w:tc>
          <w:tcPr>
            <w:tcW w:w="2976" w:type="dxa"/>
          </w:tcPr>
          <w:p w:rsidR="00734A9B" w:rsidRDefault="00734A9B" w:rsidP="00A00C17">
            <w:pPr>
              <w:spacing w:after="0" w:afterAutospacing="0"/>
              <w:jc w:val="left"/>
            </w:pPr>
          </w:p>
        </w:tc>
        <w:tc>
          <w:tcPr>
            <w:tcW w:w="2268" w:type="dxa"/>
          </w:tcPr>
          <w:p w:rsidR="00734A9B" w:rsidRDefault="00734A9B" w:rsidP="00A00C17">
            <w:pPr>
              <w:spacing w:after="0" w:afterAutospacing="0"/>
              <w:jc w:val="left"/>
            </w:pPr>
          </w:p>
        </w:tc>
      </w:tr>
      <w:tr w:rsidR="00734A9B" w:rsidTr="00734A9B">
        <w:tc>
          <w:tcPr>
            <w:tcW w:w="2802" w:type="dxa"/>
          </w:tcPr>
          <w:p w:rsidR="00734A9B" w:rsidRDefault="00734A9B" w:rsidP="00A00C17">
            <w:pPr>
              <w:spacing w:after="0" w:afterAutospacing="0"/>
              <w:jc w:val="left"/>
            </w:pPr>
            <w:r>
              <w:t>Population (Wales)</w:t>
            </w:r>
          </w:p>
        </w:tc>
        <w:tc>
          <w:tcPr>
            <w:tcW w:w="2976" w:type="dxa"/>
          </w:tcPr>
          <w:p w:rsidR="00734A9B" w:rsidRDefault="00734A9B" w:rsidP="00A00C17">
            <w:pPr>
              <w:spacing w:after="0" w:afterAutospacing="0"/>
              <w:jc w:val="left"/>
            </w:pPr>
            <w:r>
              <w:t>ONS</w:t>
            </w:r>
          </w:p>
        </w:tc>
        <w:tc>
          <w:tcPr>
            <w:tcW w:w="2268" w:type="dxa"/>
          </w:tcPr>
          <w:p w:rsidR="00734A9B" w:rsidRDefault="00734A9B" w:rsidP="00A00C17">
            <w:pPr>
              <w:spacing w:after="0" w:afterAutospacing="0"/>
              <w:jc w:val="left"/>
            </w:pPr>
            <w:r>
              <w:t>07-14</w:t>
            </w:r>
          </w:p>
        </w:tc>
      </w:tr>
      <w:tr w:rsidR="00734A9B" w:rsidTr="00734A9B">
        <w:tc>
          <w:tcPr>
            <w:tcW w:w="2802" w:type="dxa"/>
          </w:tcPr>
          <w:p w:rsidR="00734A9B" w:rsidRDefault="00734A9B" w:rsidP="00A00C17">
            <w:pPr>
              <w:spacing w:after="0" w:afterAutospacing="0"/>
              <w:jc w:val="left"/>
            </w:pPr>
            <w:r>
              <w:t>Elective admissions (NI)</w:t>
            </w:r>
          </w:p>
        </w:tc>
        <w:tc>
          <w:tcPr>
            <w:tcW w:w="2976" w:type="dxa"/>
          </w:tcPr>
          <w:p w:rsidR="00734A9B" w:rsidRDefault="00734A9B" w:rsidP="00A00C17">
            <w:pPr>
              <w:spacing w:after="0" w:afterAutospacing="0"/>
              <w:jc w:val="left"/>
            </w:pPr>
            <w:r w:rsidRPr="00690850">
              <w:t>dhsspsni</w:t>
            </w:r>
          </w:p>
        </w:tc>
        <w:tc>
          <w:tcPr>
            <w:tcW w:w="2268" w:type="dxa"/>
          </w:tcPr>
          <w:p w:rsidR="00734A9B" w:rsidRDefault="00734A9B" w:rsidP="00033DE0">
            <w:pPr>
              <w:spacing w:after="0" w:afterAutospacing="0"/>
              <w:jc w:val="left"/>
            </w:pPr>
            <w:r>
              <w:t>05-15</w:t>
            </w:r>
          </w:p>
        </w:tc>
      </w:tr>
      <w:tr w:rsidR="00734A9B" w:rsidTr="00734A9B">
        <w:tc>
          <w:tcPr>
            <w:tcW w:w="2802" w:type="dxa"/>
          </w:tcPr>
          <w:p w:rsidR="00734A9B" w:rsidRDefault="00734A9B" w:rsidP="00A00C17">
            <w:pPr>
              <w:spacing w:after="0" w:afterAutospacing="0"/>
              <w:jc w:val="left"/>
            </w:pPr>
            <w:r>
              <w:t>Outpatient appointments (NI)</w:t>
            </w:r>
          </w:p>
        </w:tc>
        <w:tc>
          <w:tcPr>
            <w:tcW w:w="2976" w:type="dxa"/>
          </w:tcPr>
          <w:p w:rsidR="00734A9B" w:rsidRDefault="00734A9B" w:rsidP="00A00C17">
            <w:pPr>
              <w:spacing w:after="0" w:afterAutospacing="0"/>
              <w:jc w:val="left"/>
            </w:pPr>
            <w:r w:rsidRPr="00690850">
              <w:t>dhsspsni</w:t>
            </w:r>
          </w:p>
        </w:tc>
        <w:tc>
          <w:tcPr>
            <w:tcW w:w="2268" w:type="dxa"/>
          </w:tcPr>
          <w:p w:rsidR="00734A9B" w:rsidRDefault="00734A9B" w:rsidP="00033DE0">
            <w:pPr>
              <w:spacing w:after="0" w:afterAutospacing="0"/>
              <w:jc w:val="left"/>
            </w:pPr>
            <w:r>
              <w:t>09-15</w:t>
            </w:r>
          </w:p>
        </w:tc>
      </w:tr>
      <w:tr w:rsidR="00734A9B" w:rsidTr="00734A9B">
        <w:tc>
          <w:tcPr>
            <w:tcW w:w="2802" w:type="dxa"/>
          </w:tcPr>
          <w:p w:rsidR="00734A9B" w:rsidRDefault="00734A9B" w:rsidP="00690850">
            <w:pPr>
              <w:spacing w:after="0" w:afterAutospacing="0"/>
              <w:jc w:val="left"/>
            </w:pPr>
            <w:r>
              <w:t>Emergency admissions (NI)</w:t>
            </w:r>
          </w:p>
        </w:tc>
        <w:tc>
          <w:tcPr>
            <w:tcW w:w="2976" w:type="dxa"/>
          </w:tcPr>
          <w:p w:rsidR="00734A9B" w:rsidRDefault="00734A9B" w:rsidP="00690850">
            <w:pPr>
              <w:spacing w:after="0" w:afterAutospacing="0"/>
              <w:jc w:val="left"/>
            </w:pPr>
            <w:r w:rsidRPr="00690850">
              <w:t>dhsspsni</w:t>
            </w:r>
          </w:p>
        </w:tc>
        <w:tc>
          <w:tcPr>
            <w:tcW w:w="2268" w:type="dxa"/>
          </w:tcPr>
          <w:p w:rsidR="00734A9B" w:rsidRDefault="00734A9B" w:rsidP="00690850">
            <w:pPr>
              <w:spacing w:after="0" w:afterAutospacing="0"/>
              <w:jc w:val="left"/>
            </w:pPr>
            <w:r>
              <w:t>05-15</w:t>
            </w:r>
          </w:p>
        </w:tc>
      </w:tr>
      <w:tr w:rsidR="00734A9B" w:rsidTr="00734A9B">
        <w:tc>
          <w:tcPr>
            <w:tcW w:w="2802" w:type="dxa"/>
          </w:tcPr>
          <w:p w:rsidR="00734A9B" w:rsidRDefault="00734A9B" w:rsidP="00690850">
            <w:pPr>
              <w:spacing w:after="0" w:afterAutospacing="0"/>
              <w:jc w:val="left"/>
            </w:pPr>
            <w:r>
              <w:t>GP referrals made (NI)</w:t>
            </w:r>
          </w:p>
        </w:tc>
        <w:tc>
          <w:tcPr>
            <w:tcW w:w="2976" w:type="dxa"/>
          </w:tcPr>
          <w:p w:rsidR="00734A9B" w:rsidRDefault="00734A9B" w:rsidP="00690850">
            <w:pPr>
              <w:spacing w:after="0" w:afterAutospacing="0"/>
              <w:jc w:val="left"/>
            </w:pPr>
          </w:p>
        </w:tc>
        <w:tc>
          <w:tcPr>
            <w:tcW w:w="2268" w:type="dxa"/>
          </w:tcPr>
          <w:p w:rsidR="00734A9B" w:rsidRDefault="00734A9B" w:rsidP="00690850">
            <w:pPr>
              <w:spacing w:after="0" w:afterAutospacing="0"/>
              <w:jc w:val="left"/>
            </w:pPr>
          </w:p>
        </w:tc>
      </w:tr>
      <w:tr w:rsidR="00734A9B" w:rsidTr="00734A9B">
        <w:tc>
          <w:tcPr>
            <w:tcW w:w="2802" w:type="dxa"/>
          </w:tcPr>
          <w:p w:rsidR="00734A9B" w:rsidRDefault="00734A9B" w:rsidP="00690850">
            <w:pPr>
              <w:spacing w:after="0" w:afterAutospacing="0"/>
              <w:jc w:val="left"/>
            </w:pPr>
            <w:r>
              <w:t>GP referrals seen (NI)</w:t>
            </w:r>
          </w:p>
        </w:tc>
        <w:tc>
          <w:tcPr>
            <w:tcW w:w="2976" w:type="dxa"/>
          </w:tcPr>
          <w:p w:rsidR="00734A9B" w:rsidRDefault="00734A9B" w:rsidP="00690850">
            <w:pPr>
              <w:spacing w:after="0" w:afterAutospacing="0"/>
              <w:jc w:val="left"/>
            </w:pPr>
          </w:p>
        </w:tc>
        <w:tc>
          <w:tcPr>
            <w:tcW w:w="2268" w:type="dxa"/>
          </w:tcPr>
          <w:p w:rsidR="00734A9B" w:rsidRDefault="00734A9B" w:rsidP="00690850">
            <w:pPr>
              <w:spacing w:after="0" w:afterAutospacing="0"/>
              <w:jc w:val="left"/>
            </w:pPr>
          </w:p>
        </w:tc>
      </w:tr>
      <w:tr w:rsidR="00734A9B" w:rsidTr="00734A9B">
        <w:tc>
          <w:tcPr>
            <w:tcW w:w="2802" w:type="dxa"/>
          </w:tcPr>
          <w:p w:rsidR="00734A9B" w:rsidRDefault="00734A9B" w:rsidP="00690850">
            <w:pPr>
              <w:spacing w:after="0" w:afterAutospacing="0"/>
              <w:jc w:val="left"/>
            </w:pPr>
            <w:r>
              <w:t>Population (NI)</w:t>
            </w:r>
          </w:p>
        </w:tc>
        <w:tc>
          <w:tcPr>
            <w:tcW w:w="2976" w:type="dxa"/>
          </w:tcPr>
          <w:p w:rsidR="00734A9B" w:rsidRDefault="00734A9B" w:rsidP="00690850">
            <w:pPr>
              <w:spacing w:after="0" w:afterAutospacing="0"/>
              <w:jc w:val="left"/>
            </w:pPr>
            <w:r>
              <w:t>ONS</w:t>
            </w:r>
          </w:p>
        </w:tc>
        <w:tc>
          <w:tcPr>
            <w:tcW w:w="2268" w:type="dxa"/>
          </w:tcPr>
          <w:p w:rsidR="00734A9B" w:rsidRDefault="00734A9B" w:rsidP="00690850">
            <w:pPr>
              <w:spacing w:after="0" w:afterAutospacing="0"/>
              <w:jc w:val="left"/>
            </w:pPr>
            <w:r>
              <w:t>07-14</w:t>
            </w:r>
          </w:p>
        </w:tc>
      </w:tr>
      <w:tr w:rsidR="00734A9B" w:rsidTr="00734A9B">
        <w:tc>
          <w:tcPr>
            <w:tcW w:w="2802" w:type="dxa"/>
          </w:tcPr>
          <w:p w:rsidR="00734A9B" w:rsidRDefault="00734A9B" w:rsidP="00690850">
            <w:pPr>
              <w:spacing w:after="0" w:afterAutospacing="0"/>
              <w:jc w:val="left"/>
            </w:pPr>
            <w:r>
              <w:t>Critical care admissions (England)</w:t>
            </w:r>
          </w:p>
        </w:tc>
        <w:tc>
          <w:tcPr>
            <w:tcW w:w="2976" w:type="dxa"/>
          </w:tcPr>
          <w:p w:rsidR="00734A9B" w:rsidRDefault="00734A9B" w:rsidP="00690850">
            <w:pPr>
              <w:spacing w:after="0" w:afterAutospacing="0"/>
              <w:jc w:val="left"/>
            </w:pPr>
            <w:r>
              <w:t>HSCIC</w:t>
            </w:r>
          </w:p>
        </w:tc>
        <w:tc>
          <w:tcPr>
            <w:tcW w:w="2268" w:type="dxa"/>
          </w:tcPr>
          <w:p w:rsidR="00734A9B" w:rsidRDefault="00734A9B" w:rsidP="00690850">
            <w:pPr>
              <w:spacing w:after="0" w:afterAutospacing="0"/>
              <w:jc w:val="left"/>
            </w:pPr>
            <w:r>
              <w:t>Apr08-Mar14</w:t>
            </w:r>
          </w:p>
        </w:tc>
      </w:tr>
    </w:tbl>
    <w:p w:rsidR="00967D39" w:rsidRDefault="00967D39" w:rsidP="00A96118"/>
    <w:tbl>
      <w:tblPr>
        <w:tblStyle w:val="TableGrid"/>
        <w:tblW w:w="0" w:type="auto"/>
        <w:tblLook w:val="04A0" w:firstRow="1" w:lastRow="0" w:firstColumn="1" w:lastColumn="0" w:noHBand="0" w:noVBand="1"/>
      </w:tblPr>
      <w:tblGrid>
        <w:gridCol w:w="4788"/>
        <w:gridCol w:w="4788"/>
      </w:tblGrid>
      <w:tr w:rsidR="002D5FD4" w:rsidTr="002D5FD4">
        <w:tc>
          <w:tcPr>
            <w:tcW w:w="4788" w:type="dxa"/>
          </w:tcPr>
          <w:p w:rsidR="002D5FD4" w:rsidRPr="002D5FD4" w:rsidRDefault="002D5FD4" w:rsidP="00186A2C">
            <w:pPr>
              <w:rPr>
                <w:b/>
              </w:rPr>
            </w:pPr>
            <w:r w:rsidRPr="002D5FD4">
              <w:rPr>
                <w:b/>
              </w:rPr>
              <w:t>Secondary outcomes</w:t>
            </w:r>
          </w:p>
        </w:tc>
        <w:tc>
          <w:tcPr>
            <w:tcW w:w="4788" w:type="dxa"/>
          </w:tcPr>
          <w:p w:rsidR="002D5FD4" w:rsidRDefault="002D5FD4" w:rsidP="00A96118"/>
        </w:tc>
      </w:tr>
      <w:tr w:rsidR="002D5FD4" w:rsidTr="002D5FD4">
        <w:tc>
          <w:tcPr>
            <w:tcW w:w="4788" w:type="dxa"/>
          </w:tcPr>
          <w:p w:rsidR="002D5FD4" w:rsidRDefault="002D5FD4" w:rsidP="00186A2C">
            <w:r>
              <w:t>Waiting times (England + controls)</w:t>
            </w:r>
          </w:p>
        </w:tc>
        <w:tc>
          <w:tcPr>
            <w:tcW w:w="4788" w:type="dxa"/>
          </w:tcPr>
          <w:p w:rsidR="002D5FD4" w:rsidRDefault="002D5FD4" w:rsidP="00A96118"/>
        </w:tc>
      </w:tr>
      <w:tr w:rsidR="002D5FD4" w:rsidTr="002D5FD4">
        <w:tc>
          <w:tcPr>
            <w:tcW w:w="4788" w:type="dxa"/>
          </w:tcPr>
          <w:p w:rsidR="002D5FD4" w:rsidRDefault="002D5FD4" w:rsidP="00A96118">
            <w:r>
              <w:t>Patient satisfaction score (England + controls)</w:t>
            </w:r>
          </w:p>
        </w:tc>
        <w:tc>
          <w:tcPr>
            <w:tcW w:w="4788" w:type="dxa"/>
          </w:tcPr>
          <w:p w:rsidR="002D5FD4" w:rsidRDefault="002D5FD4" w:rsidP="00A96118"/>
        </w:tc>
      </w:tr>
      <w:tr w:rsidR="002D5FD4" w:rsidTr="002D5FD4">
        <w:tc>
          <w:tcPr>
            <w:tcW w:w="4788" w:type="dxa"/>
          </w:tcPr>
          <w:p w:rsidR="002D5FD4" w:rsidRDefault="002D5FD4" w:rsidP="00A96118"/>
        </w:tc>
        <w:tc>
          <w:tcPr>
            <w:tcW w:w="4788" w:type="dxa"/>
          </w:tcPr>
          <w:p w:rsidR="002D5FD4" w:rsidRDefault="002D5FD4" w:rsidP="00A96118"/>
        </w:tc>
      </w:tr>
    </w:tbl>
    <w:p w:rsidR="002D5FD4" w:rsidRDefault="002D5FD4" w:rsidP="00A96118"/>
    <w:p w:rsidR="00967D39" w:rsidRPr="00A96118" w:rsidRDefault="00967D39" w:rsidP="00A96118"/>
    <w:p w:rsidR="00791A0F" w:rsidRDefault="007B138B" w:rsidP="00264367">
      <w:pPr>
        <w:pStyle w:val="Heading2"/>
      </w:pPr>
      <w:r>
        <w:lastRenderedPageBreak/>
        <w:t>Data</w:t>
      </w:r>
      <w:r w:rsidR="00473EFF">
        <w:t xml:space="preserve"> sources</w:t>
      </w:r>
    </w:p>
    <w:p w:rsidR="00473EFF" w:rsidRDefault="00BD69F5" w:rsidP="00BD69F5">
      <w:pPr>
        <w:pStyle w:val="Heading5"/>
      </w:pPr>
      <w:r>
        <w:t>Secondary care activity:</w:t>
      </w:r>
    </w:p>
    <w:p w:rsidR="00BD69F5" w:rsidRDefault="00BD69F5" w:rsidP="00BD69F5">
      <w:r>
        <w:t xml:space="preserve">Data on each inpatient admission, outpatient appointment and accident and emergency attendance in NHS hospitals in England are collected as Hospital Episode Statistics (HES) published by the Health and Social Care Information Centre (HSCIC, </w:t>
      </w:r>
      <w:hyperlink r:id="rId8" w:history="1">
        <w:r w:rsidRPr="007D13A3">
          <w:rPr>
            <w:rStyle w:val="Hyperlink"/>
          </w:rPr>
          <w:t>http://www.hscic.gov.uk/hes</w:t>
        </w:r>
      </w:hyperlink>
      <w:r>
        <w:t>). Overall activity in each of these categories is made publically available on a monthly basis with a four month delay via the health and social care information centre website and dates back to April 2007 (Figure 1). More detailed annual data is also available</w:t>
      </w:r>
      <w:r w:rsidR="00181D83">
        <w:t xml:space="preserve"> stratified by various covariat</w:t>
      </w:r>
      <w:r>
        <w:t>es including diagnosis, specialty and hospital provider. Adult Critical care data is also published on an annual basis. In addition to the data which is made publically available HSCIC operate a Data Access Request Service on a cost recovery basis whereby data can be requested for additional covariates (such as age, gender and index of multiple deprivation) and in greater detail – such as monthly time series of stratified data and even individual patient data. Such requests take between 14 to 60 days to gain access to the data.</w:t>
      </w:r>
    </w:p>
    <w:p w:rsidR="00BD69F5" w:rsidRDefault="00BD69F5" w:rsidP="00BD69F5">
      <w:pPr>
        <w:keepNext/>
      </w:pPr>
      <w:r>
        <w:tab/>
      </w:r>
      <w:r w:rsidRPr="00EF7EB7">
        <w:rPr>
          <w:noProof/>
          <w:lang w:bidi="ar-SA"/>
        </w:rPr>
        <w:drawing>
          <wp:inline distT="0" distB="0" distL="0" distR="0">
            <wp:extent cx="5153025" cy="2460625"/>
            <wp:effectExtent l="0" t="0" r="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D69F5" w:rsidRDefault="00BD69F5" w:rsidP="00BD69F5">
      <w:pPr>
        <w:pStyle w:val="Caption"/>
      </w:pPr>
      <w:r>
        <w:t>Figure 1: Admitted patients finished consultant episodes in England by month 2007-2014</w:t>
      </w:r>
    </w:p>
    <w:p w:rsidR="007B11CB" w:rsidRDefault="007B11CB" w:rsidP="00BD69F5">
      <w:pPr>
        <w:tabs>
          <w:tab w:val="left" w:pos="1088"/>
        </w:tabs>
        <w:spacing w:after="200" w:line="276" w:lineRule="auto"/>
      </w:pPr>
    </w:p>
    <w:p w:rsidR="00BD69F5" w:rsidRDefault="007B11CB" w:rsidP="00BD69F5">
      <w:pPr>
        <w:tabs>
          <w:tab w:val="left" w:pos="1088"/>
        </w:tabs>
        <w:spacing w:after="200" w:line="276" w:lineRule="auto"/>
      </w:pPr>
      <w:r>
        <w:lastRenderedPageBreak/>
        <w:t>[More data now available via NHS England, including monthly data</w:t>
      </w:r>
      <w:r w:rsidR="00D62967" w:rsidRPr="00D62967">
        <w:t xml:space="preserve"> </w:t>
      </w:r>
      <w:r w:rsidR="00D62967">
        <w:t>stratified by other covariates</w:t>
      </w:r>
      <w:r>
        <w:t xml:space="preserve">: </w:t>
      </w:r>
      <w:hyperlink r:id="rId10" w:history="1">
        <w:r w:rsidRPr="00286058">
          <w:rPr>
            <w:rStyle w:val="Hyperlink"/>
          </w:rPr>
          <w:t>http://www.england.nhs.uk/statistics/statistical-work-areas/hospital-activity/monthly-hospital-activity/mar-data/</w:t>
        </w:r>
      </w:hyperlink>
      <w:r>
        <w:t>]</w:t>
      </w:r>
    </w:p>
    <w:p w:rsidR="00BD69F5" w:rsidRDefault="00BD69F5" w:rsidP="00BD69F5">
      <w:pPr>
        <w:pStyle w:val="Heading5"/>
      </w:pPr>
      <w:r>
        <w:t>Patient experience:</w:t>
      </w:r>
    </w:p>
    <w:p w:rsidR="00BD69F5" w:rsidRDefault="007B11CB" w:rsidP="009F1C82">
      <w:r>
        <w:t>Monthly waiting time data is published by NHS England including:</w:t>
      </w:r>
    </w:p>
    <w:p w:rsidR="007B11CB" w:rsidRDefault="007B11CB" w:rsidP="009F1C82">
      <w:pPr>
        <w:pStyle w:val="ListParagraph"/>
        <w:numPr>
          <w:ilvl w:val="0"/>
          <w:numId w:val="4"/>
        </w:numPr>
        <w:ind w:left="709"/>
      </w:pPr>
      <w:r w:rsidRPr="007B11CB">
        <w:t>Referral to Treatment Waiting Times</w:t>
      </w:r>
      <w:r>
        <w:t xml:space="preserve"> (</w:t>
      </w:r>
      <w:hyperlink r:id="rId11" w:history="1">
        <w:r w:rsidRPr="00286058">
          <w:rPr>
            <w:rStyle w:val="Hyperlink"/>
          </w:rPr>
          <w:t>http://www.england.nhs.uk/statistics/statistical-work-areas/rtt-waiting-times/</w:t>
        </w:r>
      </w:hyperlink>
      <w:r>
        <w:t>)</w:t>
      </w:r>
    </w:p>
    <w:p w:rsidR="007B11CB" w:rsidRDefault="007B11CB" w:rsidP="009F1C82">
      <w:pPr>
        <w:pStyle w:val="ListParagraph"/>
        <w:numPr>
          <w:ilvl w:val="0"/>
          <w:numId w:val="4"/>
        </w:numPr>
        <w:ind w:left="709"/>
      </w:pPr>
      <w:r>
        <w:t>Cancer waiting times  (</w:t>
      </w:r>
      <w:hyperlink r:id="rId12" w:history="1">
        <w:r w:rsidRPr="00286058">
          <w:rPr>
            <w:rStyle w:val="Hyperlink"/>
          </w:rPr>
          <w:t>http://www.england.nhs.uk/statistics/statistical-work-areas/cancer-waiting-times/</w:t>
        </w:r>
      </w:hyperlink>
      <w:r>
        <w:t>)</w:t>
      </w:r>
    </w:p>
    <w:p w:rsidR="009F1C82" w:rsidRDefault="007B11CB" w:rsidP="009F1C82">
      <w:pPr>
        <w:pStyle w:val="ListParagraph"/>
        <w:numPr>
          <w:ilvl w:val="0"/>
          <w:numId w:val="4"/>
        </w:numPr>
        <w:ind w:left="709"/>
      </w:pPr>
      <w:r>
        <w:t>Diagnostic waiting times (</w:t>
      </w:r>
      <w:hyperlink r:id="rId13" w:history="1">
        <w:r w:rsidRPr="00286058">
          <w:rPr>
            <w:rStyle w:val="Hyperlink"/>
          </w:rPr>
          <w:t>http://www.england.nhs.uk/statistics/statistical-work-areas/diagnostics-waiting-times-and-activity/monthly-diagnostics-waiting-times-and-activity/</w:t>
        </w:r>
      </w:hyperlink>
      <w:r w:rsidR="009F1C82">
        <w:t>)</w:t>
      </w:r>
    </w:p>
    <w:p w:rsidR="007B11CB" w:rsidRPr="00BD69F5" w:rsidRDefault="007B11CB" w:rsidP="009F1C82">
      <w:r>
        <w:t xml:space="preserve"> </w:t>
      </w:r>
    </w:p>
    <w:p w:rsidR="00F524BC" w:rsidRDefault="00F524BC" w:rsidP="009F1C82">
      <w:pPr>
        <w:spacing w:after="200" w:line="276" w:lineRule="auto"/>
      </w:pPr>
      <w:r>
        <w:t>The NHS Patient Survey Programme coduct annual surveys of patient experience including</w:t>
      </w:r>
      <w:r w:rsidRPr="00F524BC">
        <w:t xml:space="preserve"> the Inpatient, Outpatient, Community Mental Health a</w:t>
      </w:r>
      <w:r>
        <w:t>nd Accident &amp; Emergency surveys. (</w:t>
      </w:r>
      <w:hyperlink r:id="rId14" w:history="1">
        <w:r w:rsidRPr="00B426AD">
          <w:rPr>
            <w:rStyle w:val="Hyperlink"/>
          </w:rPr>
          <w:t>http://www.england.nhs.uk/statistics/statistical-work-areas/pat-exp/</w:t>
        </w:r>
      </w:hyperlink>
      <w:r>
        <w:t xml:space="preserve"> and </w:t>
      </w:r>
      <w:hyperlink r:id="rId15" w:history="1">
        <w:r w:rsidRPr="00B426AD">
          <w:rPr>
            <w:rStyle w:val="Hyperlink"/>
          </w:rPr>
          <w:t>https://www.gov.uk/government/collections/patient-experience-statistics</w:t>
        </w:r>
      </w:hyperlink>
      <w:r>
        <w:t>)</w:t>
      </w:r>
    </w:p>
    <w:p w:rsidR="00F524BC" w:rsidRDefault="00F524BC" w:rsidP="00F524BC">
      <w:pPr>
        <w:spacing w:after="200" w:line="276" w:lineRule="auto"/>
      </w:pPr>
      <w:r>
        <w:t>Patient Reported Outcome Measures (PROMs) assess the quality of care delivered to NHS patients from the patient perspective. Currently covering four clinical procedures (hip replacements, knee replacements, groin hernia and varicose veins), PROMs calculate the health gains after surgical treatment using pre- and post-operative surveys.</w:t>
      </w:r>
    </w:p>
    <w:p w:rsidR="00473EFF" w:rsidRDefault="00473EFF" w:rsidP="009F1C82">
      <w:pPr>
        <w:spacing w:after="200" w:line="276" w:lineRule="auto"/>
      </w:pPr>
    </w:p>
    <w:p w:rsidR="00791A0F" w:rsidRDefault="009F1C82" w:rsidP="009F1C82">
      <w:pPr>
        <w:pStyle w:val="Heading5"/>
      </w:pPr>
      <w:r>
        <w:t>Control data:</w:t>
      </w:r>
    </w:p>
    <w:p w:rsidR="009F1C82" w:rsidRPr="009F1C82" w:rsidRDefault="009F1C82" w:rsidP="009F1C82">
      <w:r>
        <w:t xml:space="preserve">In Scotland quarterly hospital activity data is published online by the NHS Information Services Devision (ISD, </w:t>
      </w:r>
      <w:hyperlink r:id="rId16" w:history="1">
        <w:r w:rsidRPr="007D13A3">
          <w:rPr>
            <w:rStyle w:val="Hyperlink"/>
          </w:rPr>
          <w:t>http://www.isdscotland.org/Health-Topics/Hospital-Care/</w:t>
        </w:r>
      </w:hyperlink>
      <w:r>
        <w:t>) with one quarter delay. Welsh hospital activity data in Wales is collected monthly and collated in the Patient Episode Database for Wales (PEDW) and annual data is published at the end of each year dating back to 1991 by the NHS Wales Informatics Service (</w:t>
      </w:r>
      <w:hyperlink r:id="rId17" w:history="1">
        <w:r w:rsidRPr="00271038">
          <w:rPr>
            <w:rStyle w:val="Hyperlink"/>
          </w:rPr>
          <w:t>http://www.infoandstats.wales.nhs.uk/page.cfm?orgid=869&amp; pid=40977</w:t>
        </w:r>
      </w:hyperlink>
      <w:r>
        <w:t>). In Northern Ireland annual hospital activity data is published by the Department of Health, Social Services and Public Safety Information Office dating back to 2005 (</w:t>
      </w:r>
      <w:hyperlink r:id="rId18" w:history="1">
        <w:r w:rsidRPr="007D13A3">
          <w:rPr>
            <w:rStyle w:val="Hyperlink"/>
          </w:rPr>
          <w:t>http://www.dhsspsni.gov.uk/index/statistics/hospital/hospital-activity.htm</w:t>
        </w:r>
      </w:hyperlink>
      <w:r>
        <w:t>).</w:t>
      </w:r>
      <w:r w:rsidR="000F243A">
        <w:t xml:space="preserve"> </w:t>
      </w:r>
    </w:p>
    <w:p w:rsidR="00A72AF5" w:rsidRDefault="00A72AF5" w:rsidP="009F1C82">
      <w:pPr>
        <w:spacing w:after="200" w:line="276" w:lineRule="auto"/>
      </w:pPr>
    </w:p>
    <w:p w:rsidR="009F1C82" w:rsidRDefault="009F1C82" w:rsidP="009F1C82">
      <w:pPr>
        <w:spacing w:after="200" w:line="276" w:lineRule="auto"/>
      </w:pPr>
    </w:p>
    <w:p w:rsidR="00EA4644" w:rsidRDefault="00196DD6" w:rsidP="00A72AF5">
      <w:pPr>
        <w:pStyle w:val="Heading2"/>
      </w:pPr>
      <w:r>
        <w:t>Threats and potential solutions</w:t>
      </w:r>
    </w:p>
    <w:tbl>
      <w:tblPr>
        <w:tblStyle w:val="TableGrid"/>
        <w:tblW w:w="0" w:type="auto"/>
        <w:tblLayout w:type="fixed"/>
        <w:tblLook w:val="04A0" w:firstRow="1" w:lastRow="0" w:firstColumn="1" w:lastColumn="0" w:noHBand="0" w:noVBand="1"/>
      </w:tblPr>
      <w:tblGrid>
        <w:gridCol w:w="4788"/>
        <w:gridCol w:w="4788"/>
      </w:tblGrid>
      <w:tr w:rsidR="00196DD6" w:rsidTr="00594DA4">
        <w:tc>
          <w:tcPr>
            <w:tcW w:w="4788" w:type="dxa"/>
          </w:tcPr>
          <w:p w:rsidR="00196DD6" w:rsidRDefault="00196DD6" w:rsidP="00196DD6">
            <w:r>
              <w:t>Threat</w:t>
            </w:r>
          </w:p>
        </w:tc>
        <w:tc>
          <w:tcPr>
            <w:tcW w:w="4788" w:type="dxa"/>
          </w:tcPr>
          <w:p w:rsidR="00196DD6" w:rsidRDefault="00196DD6" w:rsidP="00196DD6">
            <w:r>
              <w:t>Solution</w:t>
            </w:r>
          </w:p>
        </w:tc>
      </w:tr>
      <w:tr w:rsidR="00196DD6" w:rsidTr="00594DA4">
        <w:tc>
          <w:tcPr>
            <w:tcW w:w="4788" w:type="dxa"/>
          </w:tcPr>
          <w:p w:rsidR="00196DD6" w:rsidRDefault="00196DD6" w:rsidP="00196DD6">
            <w:r>
              <w:t xml:space="preserve">Some </w:t>
            </w:r>
            <w:r w:rsidRPr="00196DD6">
              <w:t xml:space="preserve">CCGs </w:t>
            </w:r>
            <w:r w:rsidR="003E4628">
              <w:t xml:space="preserve">were </w:t>
            </w:r>
            <w:r w:rsidRPr="00196DD6">
              <w:t>present in shadow form for several months prior to becoming the official commissioning body so may have influenced commissioning in the months leading up to the intervention.</w:t>
            </w:r>
          </w:p>
        </w:tc>
        <w:tc>
          <w:tcPr>
            <w:tcW w:w="4788" w:type="dxa"/>
          </w:tcPr>
          <w:p w:rsidR="00196DD6" w:rsidRDefault="00594DA4" w:rsidP="00196DD6">
            <w:r>
              <w:t>Consider modelling the intervention earlier</w:t>
            </w:r>
          </w:p>
        </w:tc>
      </w:tr>
      <w:tr w:rsidR="00196DD6" w:rsidTr="00594DA4">
        <w:tc>
          <w:tcPr>
            <w:tcW w:w="4788" w:type="dxa"/>
          </w:tcPr>
          <w:p w:rsidR="00196DD6" w:rsidRDefault="00594DA4" w:rsidP="00196DD6">
            <w:r w:rsidRPr="00594DA4">
              <w:t>Changes to commissioning could have taken some time to manifest: existing contracts may have taken some time to expire and CCGs may have chosen to simply renew existing contracts in the early stages before they became well established</w:t>
            </w:r>
          </w:p>
        </w:tc>
        <w:tc>
          <w:tcPr>
            <w:tcW w:w="4788" w:type="dxa"/>
          </w:tcPr>
          <w:p w:rsidR="00196DD6" w:rsidRDefault="00594DA4" w:rsidP="00594DA4">
            <w:r>
              <w:t>Consider modelling a slope change during the changeover period to allow for a gradual change whilst contracts expired then a step change once contracts should have all expired. Alternatively could exclude the intervention period from the model</w:t>
            </w:r>
          </w:p>
        </w:tc>
      </w:tr>
      <w:tr w:rsidR="00196DD6" w:rsidTr="00594DA4">
        <w:tc>
          <w:tcPr>
            <w:tcW w:w="4788" w:type="dxa"/>
          </w:tcPr>
          <w:p w:rsidR="00196DD6" w:rsidRDefault="00594DA4" w:rsidP="00594DA4">
            <w:r>
              <w:t>The HSCA resulted in other changes to the structure of the NHS and public health services</w:t>
            </w:r>
            <w:r w:rsidR="00074151">
              <w:t xml:space="preserve"> (see appendix</w:t>
            </w:r>
            <w:r>
              <w:t>). Therefore it  may be</w:t>
            </w:r>
            <w:r w:rsidRPr="00594DA4">
              <w:t xml:space="preserve"> difficult to disentangle whether </w:t>
            </w:r>
            <w:r>
              <w:t>some</w:t>
            </w:r>
            <w:r w:rsidRPr="00594DA4">
              <w:t xml:space="preserve"> effect</w:t>
            </w:r>
            <w:r>
              <w:t>s are</w:t>
            </w:r>
            <w:r w:rsidRPr="00594DA4">
              <w:t xml:space="preserve"> due to the introduction of CCGs or due to other changes</w:t>
            </w:r>
          </w:p>
        </w:tc>
        <w:tc>
          <w:tcPr>
            <w:tcW w:w="4788" w:type="dxa"/>
          </w:tcPr>
          <w:p w:rsidR="00074151" w:rsidRDefault="00594DA4" w:rsidP="00196DD6">
            <w:r>
              <w:t>It is unlikely that the other changes would have had an impact on secondary care referrals so this should not be an issue for the primary outcome.</w:t>
            </w:r>
            <w:r w:rsidR="00074151">
              <w:t xml:space="preserve"> Some of the other changes such as a purported “greater voice for patients” could result in changes to secondary outcomes relating to patient experience, nevertheless this change was more of a gradual progression rather than a sudden new change with the implementation of the act. </w:t>
            </w:r>
          </w:p>
          <w:p w:rsidR="00074151" w:rsidRDefault="00074151" w:rsidP="00196DD6"/>
          <w:p w:rsidR="00196DD6" w:rsidRDefault="00074151" w:rsidP="00196DD6">
            <w:r>
              <w:t xml:space="preserve">Using a control outcome such as critical care activity, could help to exclude some of the other </w:t>
            </w:r>
            <w:r>
              <w:lastRenderedPageBreak/>
              <w:t>changes</w:t>
            </w:r>
            <w:r w:rsidR="003E4628">
              <w:t xml:space="preserve"> that could have affected all types of care</w:t>
            </w:r>
            <w:r>
              <w:t>.</w:t>
            </w:r>
          </w:p>
          <w:p w:rsidR="00074151" w:rsidRDefault="00074151" w:rsidP="00196DD6"/>
          <w:p w:rsidR="00074151" w:rsidRDefault="00074151" w:rsidP="00196DD6">
            <w:r>
              <w:t>Another option is to treat the intervention as the HSCA as a whole rather than focus on a part of the act.</w:t>
            </w:r>
          </w:p>
        </w:tc>
      </w:tr>
    </w:tbl>
    <w:p w:rsidR="00196DD6" w:rsidRPr="00196DD6" w:rsidRDefault="00196DD6" w:rsidP="00196DD6"/>
    <w:bookmarkEnd w:id="0"/>
    <w:p w:rsidR="00A13FB7" w:rsidRDefault="00A13FB7" w:rsidP="00F524BC">
      <w:pPr>
        <w:rPr>
          <w:color w:val="365F91" w:themeColor="accent1" w:themeShade="BF"/>
        </w:rPr>
      </w:pPr>
    </w:p>
    <w:p w:rsidR="00A85129" w:rsidRDefault="00A85129" w:rsidP="00074151"/>
    <w:p w:rsidR="00173D1B" w:rsidRDefault="00173D1B">
      <w:pPr>
        <w:ind w:firstLine="360"/>
        <w:jc w:val="left"/>
      </w:pPr>
      <w:r>
        <w:br w:type="page"/>
      </w:r>
    </w:p>
    <w:p w:rsidR="00A85129" w:rsidRDefault="00173D1B" w:rsidP="00173D1B">
      <w:pPr>
        <w:pStyle w:val="Heading2"/>
      </w:pPr>
      <w:r>
        <w:lastRenderedPageBreak/>
        <w:t>References</w:t>
      </w:r>
    </w:p>
    <w:p w:rsidR="00173D1B" w:rsidRPr="00173D1B" w:rsidRDefault="00F93448" w:rsidP="00173D1B">
      <w:pPr>
        <w:pStyle w:val="EndNoteBibliography"/>
        <w:spacing w:after="0"/>
        <w:ind w:left="720" w:hanging="720"/>
      </w:pPr>
      <w:r>
        <w:fldChar w:fldCharType="begin"/>
      </w:r>
      <w:r w:rsidR="00A85129">
        <w:instrText xml:space="preserve"> ADDIN EN.REFLIST </w:instrText>
      </w:r>
      <w:r>
        <w:fldChar w:fldCharType="separate"/>
      </w:r>
      <w:bookmarkStart w:id="2" w:name="_ENREF_1"/>
      <w:r w:rsidR="00173D1B" w:rsidRPr="00173D1B">
        <w:t>1</w:t>
      </w:r>
      <w:r w:rsidR="00173D1B" w:rsidRPr="00173D1B">
        <w:tab/>
        <w:t>Health and Social Care Act.     (2012).</w:t>
      </w:r>
      <w:bookmarkEnd w:id="2"/>
    </w:p>
    <w:p w:rsidR="00173D1B" w:rsidRPr="00173D1B" w:rsidRDefault="00173D1B" w:rsidP="00173D1B">
      <w:pPr>
        <w:pStyle w:val="EndNoteBibliography"/>
        <w:spacing w:after="0"/>
        <w:ind w:left="720" w:hanging="720"/>
      </w:pPr>
      <w:bookmarkStart w:id="3" w:name="_ENREF_2"/>
      <w:r w:rsidRPr="00173D1B">
        <w:t>2</w:t>
      </w:r>
      <w:r w:rsidRPr="00173D1B">
        <w:tab/>
        <w:t xml:space="preserve">Dusheiko, M., Gravelle, H., Jacobs, R. &amp; Smith, P. The effect of financial incentives on gatekeeping doctors: Evidence from a natural experiment. </w:t>
      </w:r>
      <w:r w:rsidRPr="00173D1B">
        <w:rPr>
          <w:i/>
        </w:rPr>
        <w:t>Journal of Health Economics</w:t>
      </w:r>
      <w:r w:rsidRPr="00173D1B">
        <w:t xml:space="preserve"> </w:t>
      </w:r>
      <w:r w:rsidRPr="00173D1B">
        <w:rPr>
          <w:b/>
        </w:rPr>
        <w:t>25</w:t>
      </w:r>
      <w:r w:rsidRPr="00173D1B">
        <w:t>, 449-478, doi:</w:t>
      </w:r>
      <w:hyperlink r:id="rId19" w:history="1">
        <w:r w:rsidRPr="00173D1B">
          <w:rPr>
            <w:rStyle w:val="Hyperlink"/>
          </w:rPr>
          <w:t>http://dx.doi.org/10.1016/j.jhealeco.2005.08.001</w:t>
        </w:r>
      </w:hyperlink>
      <w:r w:rsidRPr="00173D1B">
        <w:t xml:space="preserve"> (2006).</w:t>
      </w:r>
      <w:bookmarkEnd w:id="3"/>
    </w:p>
    <w:p w:rsidR="00173D1B" w:rsidRPr="00173D1B" w:rsidRDefault="00173D1B" w:rsidP="00173D1B">
      <w:pPr>
        <w:pStyle w:val="EndNoteBibliography"/>
        <w:spacing w:after="0"/>
        <w:ind w:left="720" w:hanging="720"/>
      </w:pPr>
      <w:bookmarkStart w:id="4" w:name="_ENREF_3"/>
      <w:r w:rsidRPr="00173D1B">
        <w:t>3</w:t>
      </w:r>
      <w:r w:rsidRPr="00173D1B">
        <w:tab/>
        <w:t xml:space="preserve">Smith, J. A. &amp; Mays, N. GP led commissioning: time for a cool appraisal. </w:t>
      </w:r>
      <w:r w:rsidRPr="00173D1B">
        <w:rPr>
          <w:i/>
        </w:rPr>
        <w:t>BMJ</w:t>
      </w:r>
      <w:r w:rsidRPr="00173D1B">
        <w:t xml:space="preserve"> </w:t>
      </w:r>
      <w:r w:rsidRPr="00173D1B">
        <w:rPr>
          <w:b/>
        </w:rPr>
        <w:t>344</w:t>
      </w:r>
      <w:r w:rsidRPr="00173D1B">
        <w:t>, doi:10.1136/bmj.e980 (2012).</w:t>
      </w:r>
      <w:bookmarkEnd w:id="4"/>
    </w:p>
    <w:p w:rsidR="00173D1B" w:rsidRPr="00173D1B" w:rsidRDefault="00173D1B" w:rsidP="00173D1B">
      <w:pPr>
        <w:pStyle w:val="EndNoteBibliography"/>
        <w:ind w:left="720" w:hanging="720"/>
      </w:pPr>
      <w:bookmarkStart w:id="5" w:name="_ENREF_4"/>
      <w:r w:rsidRPr="00173D1B">
        <w:t>4</w:t>
      </w:r>
      <w:r w:rsidRPr="00173D1B">
        <w:tab/>
        <w:t xml:space="preserve">Mannion, R. General practitioner-led commissioning in the NHS: progress, prospects and pitfalls. </w:t>
      </w:r>
      <w:r w:rsidRPr="00173D1B">
        <w:rPr>
          <w:i/>
        </w:rPr>
        <w:t>British Medical Bulletin</w:t>
      </w:r>
      <w:r w:rsidRPr="00173D1B">
        <w:t xml:space="preserve"> </w:t>
      </w:r>
      <w:r w:rsidRPr="00173D1B">
        <w:rPr>
          <w:b/>
        </w:rPr>
        <w:t>97</w:t>
      </w:r>
      <w:r w:rsidRPr="00173D1B">
        <w:t>, 7-15, doi:10.1093/bmb/ldq042 (2011).</w:t>
      </w:r>
      <w:bookmarkEnd w:id="5"/>
    </w:p>
    <w:p w:rsidR="00173D1B" w:rsidRDefault="00F93448" w:rsidP="00074151">
      <w:r>
        <w:fldChar w:fldCharType="end"/>
      </w:r>
    </w:p>
    <w:p w:rsidR="00173D1B" w:rsidRDefault="00173D1B" w:rsidP="00173D1B">
      <w:r>
        <w:br w:type="page"/>
      </w:r>
    </w:p>
    <w:p w:rsidR="00173D1B" w:rsidRDefault="00173D1B" w:rsidP="00173D1B">
      <w:pPr>
        <w:pStyle w:val="Heading2"/>
      </w:pPr>
      <w:r>
        <w:lastRenderedPageBreak/>
        <w:t>Appendix</w:t>
      </w:r>
    </w:p>
    <w:p w:rsidR="00173D1B" w:rsidRDefault="00173D1B" w:rsidP="00173D1B">
      <w:r>
        <w:t>2012 Health and Social Care Act key policy areas:</w:t>
      </w:r>
    </w:p>
    <w:p w:rsidR="00173D1B" w:rsidRDefault="00173D1B" w:rsidP="00173D1B"/>
    <w:p w:rsidR="00173D1B" w:rsidRDefault="00173D1B" w:rsidP="00173D1B">
      <w:pPr>
        <w:pStyle w:val="ListParagraph"/>
        <w:numPr>
          <w:ilvl w:val="0"/>
          <w:numId w:val="6"/>
        </w:numPr>
        <w:spacing w:after="160" w:line="259" w:lineRule="auto"/>
      </w:pPr>
      <w:r>
        <w:t>Clinically led commissioning:</w:t>
      </w:r>
    </w:p>
    <w:p w:rsidR="00173D1B" w:rsidRDefault="00173D1B" w:rsidP="00173D1B">
      <w:pPr>
        <w:pStyle w:val="ListParagraph"/>
        <w:numPr>
          <w:ilvl w:val="1"/>
          <w:numId w:val="6"/>
        </w:numPr>
        <w:spacing w:after="160" w:line="259" w:lineRule="auto"/>
      </w:pPr>
      <w:r>
        <w:t xml:space="preserve"> Abolition of Primary Care Trusts (PCTs) and Strategic Health Authorities (SHAs) + moving commissioning to GP led Clinical Commissioning Groups (CCGs)</w:t>
      </w:r>
    </w:p>
    <w:p w:rsidR="00173D1B" w:rsidRDefault="00173D1B" w:rsidP="00173D1B">
      <w:pPr>
        <w:pStyle w:val="ListParagraph"/>
        <w:numPr>
          <w:ilvl w:val="0"/>
          <w:numId w:val="6"/>
        </w:numPr>
        <w:spacing w:after="160" w:line="259" w:lineRule="auto"/>
      </w:pPr>
      <w:r>
        <w:t>Provider regulation to support innovative services:</w:t>
      </w:r>
    </w:p>
    <w:p w:rsidR="00173D1B" w:rsidRDefault="00173D1B" w:rsidP="00173D1B">
      <w:pPr>
        <w:pStyle w:val="ListParagraph"/>
        <w:numPr>
          <w:ilvl w:val="1"/>
          <w:numId w:val="6"/>
        </w:numPr>
        <w:spacing w:after="160" w:line="259" w:lineRule="auto"/>
      </w:pPr>
      <w:r>
        <w:t xml:space="preserve">Monitor (a national regulatory body) given greater role in promoting competition and role in licensing providers of NHS services (including private sector and charity providers). </w:t>
      </w:r>
    </w:p>
    <w:p w:rsidR="00173D1B" w:rsidRDefault="00173D1B" w:rsidP="00173D1B">
      <w:pPr>
        <w:pStyle w:val="ListParagraph"/>
        <w:numPr>
          <w:ilvl w:val="1"/>
          <w:numId w:val="6"/>
        </w:numPr>
        <w:spacing w:after="160" w:line="259" w:lineRule="auto"/>
      </w:pPr>
      <w:r>
        <w:t>Emphasis on choice and competition as a driver of improved patient care</w:t>
      </w:r>
    </w:p>
    <w:p w:rsidR="00173D1B" w:rsidRDefault="00173D1B" w:rsidP="00173D1B">
      <w:pPr>
        <w:pStyle w:val="ListParagraph"/>
        <w:numPr>
          <w:ilvl w:val="0"/>
          <w:numId w:val="6"/>
        </w:numPr>
        <w:spacing w:after="160" w:line="259" w:lineRule="auto"/>
      </w:pPr>
      <w:r>
        <w:t>Greater voice for patients:</w:t>
      </w:r>
    </w:p>
    <w:p w:rsidR="00173D1B" w:rsidRDefault="00173D1B" w:rsidP="00173D1B">
      <w:pPr>
        <w:pStyle w:val="ListParagraph"/>
        <w:numPr>
          <w:ilvl w:val="1"/>
          <w:numId w:val="6"/>
        </w:numPr>
        <w:spacing w:after="160" w:line="259" w:lineRule="auto"/>
      </w:pPr>
      <w:r>
        <w:t>Building on previous efforts to increase patient involvement in the NHS</w:t>
      </w:r>
    </w:p>
    <w:p w:rsidR="00173D1B" w:rsidRDefault="00173D1B" w:rsidP="00173D1B">
      <w:pPr>
        <w:pStyle w:val="ListParagraph"/>
        <w:numPr>
          <w:ilvl w:val="1"/>
          <w:numId w:val="6"/>
        </w:numPr>
        <w:spacing w:after="160" w:line="259" w:lineRule="auto"/>
      </w:pPr>
      <w:r>
        <w:t>Included establishment of Healthwatch (as a committee of the Care Quality Commission) to represent patient views in advising NHS organisations</w:t>
      </w:r>
    </w:p>
    <w:p w:rsidR="00173D1B" w:rsidRDefault="00173D1B" w:rsidP="00173D1B">
      <w:pPr>
        <w:pStyle w:val="ListParagraph"/>
        <w:numPr>
          <w:ilvl w:val="0"/>
          <w:numId w:val="6"/>
        </w:numPr>
        <w:spacing w:after="160" w:line="259" w:lineRule="auto"/>
      </w:pPr>
      <w:r>
        <w:t>New focus for public health:</w:t>
      </w:r>
    </w:p>
    <w:p w:rsidR="00173D1B" w:rsidRDefault="00173D1B" w:rsidP="00173D1B">
      <w:pPr>
        <w:pStyle w:val="ListParagraph"/>
        <w:numPr>
          <w:ilvl w:val="1"/>
          <w:numId w:val="6"/>
        </w:numPr>
        <w:spacing w:after="160" w:line="259" w:lineRule="auto"/>
      </w:pPr>
      <w:r>
        <w:t>Establishment of Public Health England with a remit of improving the nation’s health at a national level (and abolishment of the Health Protection Agency)</w:t>
      </w:r>
    </w:p>
    <w:p w:rsidR="00173D1B" w:rsidRDefault="00173D1B" w:rsidP="00173D1B">
      <w:pPr>
        <w:pStyle w:val="ListParagraph"/>
        <w:numPr>
          <w:ilvl w:val="1"/>
          <w:numId w:val="6"/>
        </w:numPr>
        <w:spacing w:after="160" w:line="259" w:lineRule="auto"/>
      </w:pPr>
      <w:r>
        <w:t>Moving public health departments at a local level from PCTs to Local Authorities (establishment of PHE as ne body to drive improvements in PH)</w:t>
      </w:r>
    </w:p>
    <w:p w:rsidR="00173D1B" w:rsidRDefault="00173D1B" w:rsidP="00173D1B">
      <w:pPr>
        <w:pStyle w:val="ListParagraph"/>
        <w:numPr>
          <w:ilvl w:val="0"/>
          <w:numId w:val="6"/>
        </w:numPr>
        <w:spacing w:after="160" w:line="259" w:lineRule="auto"/>
      </w:pPr>
      <w:r>
        <w:t>Greater accountability locally and nationally:</w:t>
      </w:r>
    </w:p>
    <w:p w:rsidR="00173D1B" w:rsidRDefault="00173D1B" w:rsidP="00173D1B">
      <w:pPr>
        <w:pStyle w:val="ListParagraph"/>
        <w:numPr>
          <w:ilvl w:val="1"/>
          <w:numId w:val="6"/>
        </w:numPr>
        <w:spacing w:after="160" w:line="259" w:lineRule="auto"/>
      </w:pPr>
      <w:r>
        <w:t>Strengthens and clarifies accountability for and within the NHS</w:t>
      </w:r>
    </w:p>
    <w:p w:rsidR="00173D1B" w:rsidRDefault="00173D1B" w:rsidP="00173D1B">
      <w:pPr>
        <w:pStyle w:val="ListParagraph"/>
        <w:numPr>
          <w:ilvl w:val="1"/>
          <w:numId w:val="6"/>
        </w:numPr>
        <w:spacing w:after="160" w:line="259" w:lineRule="auto"/>
      </w:pPr>
      <w:r>
        <w:t>CCGs accountable to NHS England and assessed against a commissioning outcomes framework</w:t>
      </w:r>
    </w:p>
    <w:p w:rsidR="00173D1B" w:rsidRDefault="00173D1B" w:rsidP="00173D1B">
      <w:pPr>
        <w:pStyle w:val="ListParagraph"/>
        <w:numPr>
          <w:ilvl w:val="1"/>
          <w:numId w:val="6"/>
        </w:numPr>
        <w:spacing w:after="160" w:line="259" w:lineRule="auto"/>
      </w:pPr>
      <w:r>
        <w:t>Statutory health and wellbeing boards within local authorities aimed to ‘strengthen the local democratic legitimacy of the NHS’ with responsibility for joining up the commissioning of local NHS services and social care.</w:t>
      </w:r>
    </w:p>
    <w:p w:rsidR="00173D1B" w:rsidRDefault="00173D1B" w:rsidP="00173D1B">
      <w:pPr>
        <w:pStyle w:val="ListParagraph"/>
        <w:numPr>
          <w:ilvl w:val="0"/>
          <w:numId w:val="6"/>
        </w:numPr>
        <w:spacing w:after="160" w:line="259" w:lineRule="auto"/>
      </w:pPr>
      <w:r>
        <w:t>Streamlined arms-length bodies:</w:t>
      </w:r>
    </w:p>
    <w:p w:rsidR="00173D1B" w:rsidRDefault="00173D1B" w:rsidP="00173D1B">
      <w:pPr>
        <w:pStyle w:val="ListParagraph"/>
        <w:numPr>
          <w:ilvl w:val="1"/>
          <w:numId w:val="6"/>
        </w:numPr>
        <w:spacing w:after="160" w:line="259" w:lineRule="auto"/>
      </w:pPr>
      <w:r>
        <w:t xml:space="preserve">Several bodies abolished with key functions transferred to other bodies (including: General Social Care Council, Office of the Healthcare Professions Adjudicator, Alcohol Education and Research Council, National Patient Safety Agency, </w:t>
      </w:r>
      <w:r w:rsidRPr="004950C1">
        <w:t>NHS Institute for Innovation and Improvement, National Information Governance Board</w:t>
      </w:r>
      <w:r>
        <w:t xml:space="preserve"> and the Appointments Commission)</w:t>
      </w:r>
    </w:p>
    <w:p w:rsidR="00173D1B" w:rsidRDefault="00173D1B" w:rsidP="00173D1B"/>
    <w:p w:rsidR="00173D1B" w:rsidRDefault="00173D1B" w:rsidP="00173D1B"/>
    <w:p w:rsidR="00173D1B" w:rsidRDefault="00173D1B" w:rsidP="00173D1B"/>
    <w:p w:rsidR="00173D1B" w:rsidRDefault="00BC7224" w:rsidP="00173D1B">
      <w:hyperlink r:id="rId20" w:history="1">
        <w:r w:rsidR="00173D1B" w:rsidRPr="00950848">
          <w:rPr>
            <w:rStyle w:val="Hyperlink"/>
          </w:rPr>
          <w:t>http://www.bbc.co.uk/news/health-34421115</w:t>
        </w:r>
      </w:hyperlink>
    </w:p>
    <w:p w:rsidR="00173D1B" w:rsidRDefault="00173D1B" w:rsidP="00173D1B"/>
    <w:p w:rsidR="00173D1B" w:rsidRDefault="00BC7224" w:rsidP="00173D1B">
      <w:hyperlink r:id="rId21" w:history="1">
        <w:r w:rsidR="00173D1B" w:rsidRPr="00950848">
          <w:rPr>
            <w:rStyle w:val="Hyperlink"/>
          </w:rPr>
          <w:t>http://www.pulsetoday.co.uk/news/commissioning/commissioning-topics/referrals/gp-practices-offered-payments-to-cut-urgent-cancer-referrals/20030100.article</w:t>
        </w:r>
      </w:hyperlink>
    </w:p>
    <w:p w:rsidR="00173D1B" w:rsidRDefault="00173D1B" w:rsidP="00173D1B"/>
    <w:p w:rsidR="00173D1B" w:rsidRDefault="00BC7224" w:rsidP="00173D1B">
      <w:hyperlink r:id="rId22" w:history="1">
        <w:r w:rsidR="00173D1B" w:rsidRPr="00950848">
          <w:rPr>
            <w:rStyle w:val="Hyperlink"/>
          </w:rPr>
          <w:t>http://www.lexology.com/library/detail.aspx?g=9c72de3e-1c46-45f5-b158-66d0b4c255c5</w:t>
        </w:r>
      </w:hyperlink>
    </w:p>
    <w:p w:rsidR="00BA2FBE" w:rsidRPr="00074151" w:rsidRDefault="00BA2FBE" w:rsidP="00074151"/>
    <w:sectPr w:rsidR="00BA2FBE" w:rsidRPr="00074151" w:rsidSect="00C94213">
      <w:pgSz w:w="15840" w:h="12240"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224" w:rsidRDefault="00BC7224" w:rsidP="00201CDC">
      <w:r>
        <w:separator/>
      </w:r>
    </w:p>
  </w:endnote>
  <w:endnote w:type="continuationSeparator" w:id="0">
    <w:p w:rsidR="00BC7224" w:rsidRDefault="00BC7224" w:rsidP="00201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224" w:rsidRDefault="00BC7224" w:rsidP="00201CDC">
      <w:r>
        <w:separator/>
      </w:r>
    </w:p>
  </w:footnote>
  <w:footnote w:type="continuationSeparator" w:id="0">
    <w:p w:rsidR="00BC7224" w:rsidRDefault="00BC7224" w:rsidP="00201C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56DF5"/>
    <w:multiLevelType w:val="hybridMultilevel"/>
    <w:tmpl w:val="D1CE8158"/>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0DD6CFA"/>
    <w:multiLevelType w:val="hybridMultilevel"/>
    <w:tmpl w:val="2356F7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34C1C46"/>
    <w:multiLevelType w:val="hybridMultilevel"/>
    <w:tmpl w:val="DDC0CE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3EA295B"/>
    <w:multiLevelType w:val="hybridMultilevel"/>
    <w:tmpl w:val="7EDE88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2652D6F"/>
    <w:multiLevelType w:val="hybridMultilevel"/>
    <w:tmpl w:val="EDA0B2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5DAD6F6B"/>
    <w:multiLevelType w:val="hybridMultilevel"/>
    <w:tmpl w:val="DF6EFC4C"/>
    <w:lvl w:ilvl="0" w:tplc="9FE6CC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18F6B9A"/>
    <w:multiLevelType w:val="hybridMultilevel"/>
    <w:tmpl w:val="A1BC1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3DE05ED"/>
    <w:multiLevelType w:val="hybridMultilevel"/>
    <w:tmpl w:val="8BC237F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D860F5C"/>
    <w:multiLevelType w:val="hybridMultilevel"/>
    <w:tmpl w:val="62968A80"/>
    <w:lvl w:ilvl="0" w:tplc="86586C84">
      <w:numFmt w:val="bullet"/>
      <w:lvlText w:val="-"/>
      <w:lvlJc w:val="left"/>
      <w:pPr>
        <w:ind w:left="1080" w:hanging="360"/>
      </w:pPr>
      <w:rPr>
        <w:rFonts w:ascii="Calibri" w:eastAsiaTheme="minorEastAsia"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7"/>
  </w:num>
  <w:num w:numId="3">
    <w:abstractNumId w:val="1"/>
  </w:num>
  <w:num w:numId="4">
    <w:abstractNumId w:val="8"/>
  </w:num>
  <w:num w:numId="5">
    <w:abstractNumId w:val="3"/>
  </w:num>
  <w:num w:numId="6">
    <w:abstractNumId w:val="0"/>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9xas092t3ap0pketrwovs0soat099zat9rxw&quot;&gt;NHS reforms&lt;record-ids&gt;&lt;item&gt;1&lt;/item&gt;&lt;item&gt;3&lt;/item&gt;&lt;item&gt;5&lt;/item&gt;&lt;item&gt;11&lt;/item&gt;&lt;/record-ids&gt;&lt;/item&gt;&lt;/Libraries&gt;"/>
  </w:docVars>
  <w:rsids>
    <w:rsidRoot w:val="007B138B"/>
    <w:rsid w:val="00033DE0"/>
    <w:rsid w:val="000536F7"/>
    <w:rsid w:val="0005504A"/>
    <w:rsid w:val="00072BF1"/>
    <w:rsid w:val="00074151"/>
    <w:rsid w:val="000B4F6E"/>
    <w:rsid w:val="000C273B"/>
    <w:rsid w:val="000E5108"/>
    <w:rsid w:val="000F243A"/>
    <w:rsid w:val="00115158"/>
    <w:rsid w:val="00125F0B"/>
    <w:rsid w:val="00173222"/>
    <w:rsid w:val="00173D1B"/>
    <w:rsid w:val="0017534E"/>
    <w:rsid w:val="00181D83"/>
    <w:rsid w:val="001862E4"/>
    <w:rsid w:val="00196DD6"/>
    <w:rsid w:val="001B7960"/>
    <w:rsid w:val="001F7B2C"/>
    <w:rsid w:val="00201CDC"/>
    <w:rsid w:val="00215B9F"/>
    <w:rsid w:val="002479B2"/>
    <w:rsid w:val="0025770C"/>
    <w:rsid w:val="00264367"/>
    <w:rsid w:val="002B443F"/>
    <w:rsid w:val="002D5FD4"/>
    <w:rsid w:val="002E64B3"/>
    <w:rsid w:val="002F3980"/>
    <w:rsid w:val="00335440"/>
    <w:rsid w:val="003625BC"/>
    <w:rsid w:val="00387489"/>
    <w:rsid w:val="003913F0"/>
    <w:rsid w:val="003D74C8"/>
    <w:rsid w:val="003E4628"/>
    <w:rsid w:val="004105E2"/>
    <w:rsid w:val="004232F4"/>
    <w:rsid w:val="00456E9B"/>
    <w:rsid w:val="004634F0"/>
    <w:rsid w:val="00473EFF"/>
    <w:rsid w:val="00486A6C"/>
    <w:rsid w:val="004951FB"/>
    <w:rsid w:val="004D7775"/>
    <w:rsid w:val="005037D8"/>
    <w:rsid w:val="00504ABF"/>
    <w:rsid w:val="00510F87"/>
    <w:rsid w:val="00551A28"/>
    <w:rsid w:val="00585469"/>
    <w:rsid w:val="0059082A"/>
    <w:rsid w:val="00594DA4"/>
    <w:rsid w:val="005D0C0F"/>
    <w:rsid w:val="005D3E55"/>
    <w:rsid w:val="005E5787"/>
    <w:rsid w:val="005E6568"/>
    <w:rsid w:val="006204F7"/>
    <w:rsid w:val="00620EDF"/>
    <w:rsid w:val="006260C2"/>
    <w:rsid w:val="00680593"/>
    <w:rsid w:val="00690850"/>
    <w:rsid w:val="006D2D71"/>
    <w:rsid w:val="00734A9B"/>
    <w:rsid w:val="00786BA1"/>
    <w:rsid w:val="00791A0F"/>
    <w:rsid w:val="007B11CB"/>
    <w:rsid w:val="007B138B"/>
    <w:rsid w:val="007E2849"/>
    <w:rsid w:val="008667B4"/>
    <w:rsid w:val="008C1B3B"/>
    <w:rsid w:val="008E509D"/>
    <w:rsid w:val="00967D39"/>
    <w:rsid w:val="00974736"/>
    <w:rsid w:val="009C67C9"/>
    <w:rsid w:val="009F1C82"/>
    <w:rsid w:val="00A00C17"/>
    <w:rsid w:val="00A13FB7"/>
    <w:rsid w:val="00A41E02"/>
    <w:rsid w:val="00A47AF1"/>
    <w:rsid w:val="00A72AF5"/>
    <w:rsid w:val="00A85129"/>
    <w:rsid w:val="00A96118"/>
    <w:rsid w:val="00AC6D97"/>
    <w:rsid w:val="00AC7C25"/>
    <w:rsid w:val="00AE7D36"/>
    <w:rsid w:val="00B146F7"/>
    <w:rsid w:val="00B3760E"/>
    <w:rsid w:val="00BA2FBE"/>
    <w:rsid w:val="00BA7594"/>
    <w:rsid w:val="00BC7224"/>
    <w:rsid w:val="00BD69F5"/>
    <w:rsid w:val="00BE6899"/>
    <w:rsid w:val="00C02E2C"/>
    <w:rsid w:val="00C94213"/>
    <w:rsid w:val="00CF091B"/>
    <w:rsid w:val="00D052C7"/>
    <w:rsid w:val="00D537BE"/>
    <w:rsid w:val="00D62967"/>
    <w:rsid w:val="00E44990"/>
    <w:rsid w:val="00E52444"/>
    <w:rsid w:val="00E87486"/>
    <w:rsid w:val="00EA0903"/>
    <w:rsid w:val="00EA4644"/>
    <w:rsid w:val="00EC65AC"/>
    <w:rsid w:val="00F20107"/>
    <w:rsid w:val="00F524BC"/>
    <w:rsid w:val="00F65B89"/>
    <w:rsid w:val="00F776EA"/>
    <w:rsid w:val="00F93448"/>
    <w:rsid w:val="00FB06CA"/>
    <w:rsid w:val="00FD6ABD"/>
    <w:rsid w:val="00FE0005"/>
    <w:rsid w:val="00FE0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1168CE-C1A3-4F65-8E6F-8DD0E1296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2D71"/>
    <w:pPr>
      <w:spacing w:after="100" w:afterAutospacing="1"/>
      <w:ind w:firstLine="0"/>
      <w:jc w:val="both"/>
    </w:pPr>
  </w:style>
  <w:style w:type="paragraph" w:styleId="Heading1">
    <w:name w:val="heading 1"/>
    <w:basedOn w:val="Normal"/>
    <w:next w:val="Normal"/>
    <w:link w:val="Heading1Char"/>
    <w:uiPriority w:val="9"/>
    <w:qFormat/>
    <w:rsid w:val="00A72AF5"/>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unhideWhenUsed/>
    <w:qFormat/>
    <w:rsid w:val="00A72AF5"/>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unhideWhenUsed/>
    <w:qFormat/>
    <w:rsid w:val="00A72AF5"/>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unhideWhenUsed/>
    <w:qFormat/>
    <w:rsid w:val="00A72AF5"/>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unhideWhenUsed/>
    <w:qFormat/>
    <w:rsid w:val="00A72AF5"/>
    <w:pPr>
      <w:spacing w:before="200" w:after="8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A72AF5"/>
    <w:pPr>
      <w:spacing w:before="28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A72AF5"/>
    <w:pPr>
      <w:spacing w:before="32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A72AF5"/>
    <w:pPr>
      <w:spacing w:before="32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A72AF5"/>
    <w:pPr>
      <w:spacing w:before="32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72AF5"/>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rsid w:val="00A72AF5"/>
    <w:rPr>
      <w:rFonts w:asciiTheme="majorHAnsi" w:eastAsiaTheme="majorEastAsia" w:hAnsiTheme="majorHAnsi" w:cstheme="majorBidi"/>
      <w:i/>
      <w:iCs/>
      <w:color w:val="4F81BD" w:themeColor="accent1"/>
      <w:sz w:val="24"/>
      <w:szCs w:val="24"/>
    </w:rPr>
  </w:style>
  <w:style w:type="character" w:styleId="Hyperlink">
    <w:name w:val="Hyperlink"/>
    <w:basedOn w:val="DefaultParagraphFont"/>
    <w:uiPriority w:val="99"/>
    <w:unhideWhenUsed/>
    <w:rsid w:val="007B138B"/>
    <w:rPr>
      <w:color w:val="0000FF" w:themeColor="hyperlink"/>
      <w:u w:val="single"/>
    </w:rPr>
  </w:style>
  <w:style w:type="paragraph" w:styleId="Caption">
    <w:name w:val="caption"/>
    <w:basedOn w:val="Normal"/>
    <w:next w:val="Normal"/>
    <w:uiPriority w:val="35"/>
    <w:unhideWhenUsed/>
    <w:qFormat/>
    <w:rsid w:val="00A72AF5"/>
    <w:rPr>
      <w:b/>
      <w:bCs/>
      <w:sz w:val="18"/>
      <w:szCs w:val="18"/>
    </w:rPr>
  </w:style>
  <w:style w:type="paragraph" w:styleId="BalloonText">
    <w:name w:val="Balloon Text"/>
    <w:basedOn w:val="Normal"/>
    <w:link w:val="BalloonTextChar"/>
    <w:uiPriority w:val="99"/>
    <w:semiHidden/>
    <w:unhideWhenUsed/>
    <w:rsid w:val="007B138B"/>
    <w:rPr>
      <w:rFonts w:ascii="Tahoma" w:hAnsi="Tahoma" w:cs="Tahoma"/>
      <w:sz w:val="16"/>
      <w:szCs w:val="16"/>
    </w:rPr>
  </w:style>
  <w:style w:type="character" w:customStyle="1" w:styleId="BalloonTextChar">
    <w:name w:val="Balloon Text Char"/>
    <w:basedOn w:val="DefaultParagraphFont"/>
    <w:link w:val="BalloonText"/>
    <w:uiPriority w:val="99"/>
    <w:semiHidden/>
    <w:rsid w:val="007B138B"/>
    <w:rPr>
      <w:rFonts w:ascii="Tahoma" w:hAnsi="Tahoma" w:cs="Tahoma"/>
      <w:sz w:val="16"/>
      <w:szCs w:val="16"/>
      <w:lang w:val="en-GB"/>
    </w:rPr>
  </w:style>
  <w:style w:type="character" w:customStyle="1" w:styleId="Heading2Char">
    <w:name w:val="Heading 2 Char"/>
    <w:basedOn w:val="DefaultParagraphFont"/>
    <w:link w:val="Heading2"/>
    <w:uiPriority w:val="9"/>
    <w:rsid w:val="00A72AF5"/>
    <w:rPr>
      <w:rFonts w:asciiTheme="majorHAnsi" w:eastAsiaTheme="majorEastAsia" w:hAnsiTheme="majorHAnsi" w:cstheme="majorBidi"/>
      <w:color w:val="365F91" w:themeColor="accent1" w:themeShade="BF"/>
      <w:sz w:val="24"/>
      <w:szCs w:val="24"/>
    </w:rPr>
  </w:style>
  <w:style w:type="character" w:customStyle="1" w:styleId="Heading1Char">
    <w:name w:val="Heading 1 Char"/>
    <w:basedOn w:val="DefaultParagraphFont"/>
    <w:link w:val="Heading1"/>
    <w:uiPriority w:val="9"/>
    <w:rsid w:val="00A72AF5"/>
    <w:rPr>
      <w:rFonts w:asciiTheme="majorHAnsi" w:eastAsiaTheme="majorEastAsia" w:hAnsiTheme="majorHAnsi" w:cstheme="majorBidi"/>
      <w:b/>
      <w:bCs/>
      <w:color w:val="365F91" w:themeColor="accent1" w:themeShade="BF"/>
      <w:sz w:val="24"/>
      <w:szCs w:val="24"/>
    </w:rPr>
  </w:style>
  <w:style w:type="character" w:customStyle="1" w:styleId="Heading5Char">
    <w:name w:val="Heading 5 Char"/>
    <w:basedOn w:val="DefaultParagraphFont"/>
    <w:link w:val="Heading5"/>
    <w:uiPriority w:val="9"/>
    <w:rsid w:val="00A72AF5"/>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A72AF5"/>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A72AF5"/>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A72AF5"/>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A72AF5"/>
    <w:rPr>
      <w:rFonts w:asciiTheme="majorHAnsi" w:eastAsiaTheme="majorEastAsia" w:hAnsiTheme="majorHAnsi" w:cstheme="majorBidi"/>
      <w:i/>
      <w:iCs/>
      <w:color w:val="9BBB59" w:themeColor="accent3"/>
      <w:sz w:val="20"/>
      <w:szCs w:val="20"/>
    </w:rPr>
  </w:style>
  <w:style w:type="paragraph" w:styleId="Title">
    <w:name w:val="Title"/>
    <w:basedOn w:val="Normal"/>
    <w:next w:val="Normal"/>
    <w:link w:val="TitleChar"/>
    <w:uiPriority w:val="10"/>
    <w:qFormat/>
    <w:rsid w:val="00A72AF5"/>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A72AF5"/>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A72AF5"/>
    <w:pPr>
      <w:spacing w:before="200" w:after="900"/>
      <w:jc w:val="right"/>
    </w:pPr>
    <w:rPr>
      <w:i/>
      <w:iCs/>
      <w:sz w:val="24"/>
      <w:szCs w:val="24"/>
    </w:rPr>
  </w:style>
  <w:style w:type="character" w:customStyle="1" w:styleId="SubtitleChar">
    <w:name w:val="Subtitle Char"/>
    <w:basedOn w:val="DefaultParagraphFont"/>
    <w:link w:val="Subtitle"/>
    <w:uiPriority w:val="11"/>
    <w:rsid w:val="00A72AF5"/>
    <w:rPr>
      <w:rFonts w:asciiTheme="minorHAnsi"/>
      <w:i/>
      <w:iCs/>
      <w:sz w:val="24"/>
      <w:szCs w:val="24"/>
    </w:rPr>
  </w:style>
  <w:style w:type="character" w:styleId="Strong">
    <w:name w:val="Strong"/>
    <w:basedOn w:val="DefaultParagraphFont"/>
    <w:uiPriority w:val="22"/>
    <w:qFormat/>
    <w:rsid w:val="00A72AF5"/>
    <w:rPr>
      <w:b/>
      <w:bCs/>
      <w:spacing w:val="0"/>
    </w:rPr>
  </w:style>
  <w:style w:type="character" w:styleId="Emphasis">
    <w:name w:val="Emphasis"/>
    <w:uiPriority w:val="20"/>
    <w:qFormat/>
    <w:rsid w:val="00A72AF5"/>
    <w:rPr>
      <w:b/>
      <w:bCs/>
      <w:i/>
      <w:iCs/>
      <w:color w:val="5A5A5A" w:themeColor="text1" w:themeTint="A5"/>
    </w:rPr>
  </w:style>
  <w:style w:type="paragraph" w:styleId="NoSpacing">
    <w:name w:val="No Spacing"/>
    <w:basedOn w:val="Normal"/>
    <w:link w:val="NoSpacingChar"/>
    <w:uiPriority w:val="1"/>
    <w:qFormat/>
    <w:rsid w:val="00A72AF5"/>
  </w:style>
  <w:style w:type="character" w:customStyle="1" w:styleId="NoSpacingChar">
    <w:name w:val="No Spacing Char"/>
    <w:basedOn w:val="DefaultParagraphFont"/>
    <w:link w:val="NoSpacing"/>
    <w:uiPriority w:val="1"/>
    <w:rsid w:val="00A72AF5"/>
  </w:style>
  <w:style w:type="paragraph" w:styleId="ListParagraph">
    <w:name w:val="List Paragraph"/>
    <w:basedOn w:val="Normal"/>
    <w:uiPriority w:val="34"/>
    <w:qFormat/>
    <w:rsid w:val="00A72AF5"/>
    <w:pPr>
      <w:ind w:left="720"/>
      <w:contextualSpacing/>
    </w:pPr>
  </w:style>
  <w:style w:type="paragraph" w:styleId="Quote">
    <w:name w:val="Quote"/>
    <w:basedOn w:val="Normal"/>
    <w:next w:val="Normal"/>
    <w:link w:val="QuoteChar"/>
    <w:uiPriority w:val="29"/>
    <w:qFormat/>
    <w:rsid w:val="00A72AF5"/>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A72AF5"/>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A72AF5"/>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A72AF5"/>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A72AF5"/>
    <w:rPr>
      <w:i/>
      <w:iCs/>
      <w:color w:val="5A5A5A" w:themeColor="text1" w:themeTint="A5"/>
    </w:rPr>
  </w:style>
  <w:style w:type="character" w:styleId="IntenseEmphasis">
    <w:name w:val="Intense Emphasis"/>
    <w:uiPriority w:val="21"/>
    <w:qFormat/>
    <w:rsid w:val="00A72AF5"/>
    <w:rPr>
      <w:b/>
      <w:bCs/>
      <w:i/>
      <w:iCs/>
      <w:color w:val="4F81BD" w:themeColor="accent1"/>
      <w:sz w:val="22"/>
      <w:szCs w:val="22"/>
    </w:rPr>
  </w:style>
  <w:style w:type="character" w:styleId="SubtleReference">
    <w:name w:val="Subtle Reference"/>
    <w:uiPriority w:val="31"/>
    <w:qFormat/>
    <w:rsid w:val="00A72AF5"/>
    <w:rPr>
      <w:color w:val="auto"/>
      <w:u w:val="single" w:color="9BBB59" w:themeColor="accent3"/>
    </w:rPr>
  </w:style>
  <w:style w:type="character" w:styleId="IntenseReference">
    <w:name w:val="Intense Reference"/>
    <w:basedOn w:val="DefaultParagraphFont"/>
    <w:uiPriority w:val="32"/>
    <w:qFormat/>
    <w:rsid w:val="00A72AF5"/>
    <w:rPr>
      <w:b/>
      <w:bCs/>
      <w:color w:val="76923C" w:themeColor="accent3" w:themeShade="BF"/>
      <w:u w:val="single" w:color="9BBB59" w:themeColor="accent3"/>
    </w:rPr>
  </w:style>
  <w:style w:type="character" w:styleId="BookTitle">
    <w:name w:val="Book Title"/>
    <w:basedOn w:val="DefaultParagraphFont"/>
    <w:uiPriority w:val="33"/>
    <w:qFormat/>
    <w:rsid w:val="00A72AF5"/>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A72AF5"/>
    <w:pPr>
      <w:outlineLvl w:val="9"/>
    </w:pPr>
  </w:style>
  <w:style w:type="paragraph" w:styleId="Header">
    <w:name w:val="header"/>
    <w:basedOn w:val="Normal"/>
    <w:link w:val="HeaderChar"/>
    <w:uiPriority w:val="99"/>
    <w:semiHidden/>
    <w:unhideWhenUsed/>
    <w:rsid w:val="00201CDC"/>
    <w:pPr>
      <w:tabs>
        <w:tab w:val="center" w:pos="4680"/>
        <w:tab w:val="right" w:pos="9360"/>
      </w:tabs>
    </w:pPr>
  </w:style>
  <w:style w:type="character" w:customStyle="1" w:styleId="HeaderChar">
    <w:name w:val="Header Char"/>
    <w:basedOn w:val="DefaultParagraphFont"/>
    <w:link w:val="Header"/>
    <w:uiPriority w:val="99"/>
    <w:semiHidden/>
    <w:rsid w:val="00201CDC"/>
  </w:style>
  <w:style w:type="paragraph" w:styleId="Footer">
    <w:name w:val="footer"/>
    <w:basedOn w:val="Normal"/>
    <w:link w:val="FooterChar"/>
    <w:uiPriority w:val="99"/>
    <w:semiHidden/>
    <w:unhideWhenUsed/>
    <w:rsid w:val="00201CDC"/>
    <w:pPr>
      <w:tabs>
        <w:tab w:val="center" w:pos="4680"/>
        <w:tab w:val="right" w:pos="9360"/>
      </w:tabs>
    </w:pPr>
  </w:style>
  <w:style w:type="character" w:customStyle="1" w:styleId="FooterChar">
    <w:name w:val="Footer Char"/>
    <w:basedOn w:val="DefaultParagraphFont"/>
    <w:link w:val="Footer"/>
    <w:uiPriority w:val="99"/>
    <w:semiHidden/>
    <w:rsid w:val="00201CDC"/>
  </w:style>
  <w:style w:type="character" w:styleId="FollowedHyperlink">
    <w:name w:val="FollowedHyperlink"/>
    <w:basedOn w:val="DefaultParagraphFont"/>
    <w:uiPriority w:val="99"/>
    <w:semiHidden/>
    <w:unhideWhenUsed/>
    <w:rsid w:val="007B11CB"/>
    <w:rPr>
      <w:color w:val="800080" w:themeColor="followedHyperlink"/>
      <w:u w:val="single"/>
    </w:rPr>
  </w:style>
  <w:style w:type="table" w:styleId="TableGrid">
    <w:name w:val="Table Grid"/>
    <w:basedOn w:val="TableNormal"/>
    <w:uiPriority w:val="59"/>
    <w:rsid w:val="00196D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A85129"/>
    <w:pPr>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85129"/>
    <w:rPr>
      <w:rFonts w:ascii="Calibri" w:hAnsi="Calibri" w:cs="Calibri"/>
      <w:noProof/>
    </w:rPr>
  </w:style>
  <w:style w:type="paragraph" w:customStyle="1" w:styleId="EndNoteBibliography">
    <w:name w:val="EndNote Bibliography"/>
    <w:basedOn w:val="Normal"/>
    <w:link w:val="EndNoteBibliographyChar"/>
    <w:rsid w:val="00A85129"/>
    <w:rPr>
      <w:rFonts w:ascii="Calibri" w:hAnsi="Calibri" w:cs="Calibri"/>
      <w:noProof/>
    </w:rPr>
  </w:style>
  <w:style w:type="character" w:customStyle="1" w:styleId="EndNoteBibliographyChar">
    <w:name w:val="EndNote Bibliography Char"/>
    <w:basedOn w:val="DefaultParagraphFont"/>
    <w:link w:val="EndNoteBibliography"/>
    <w:rsid w:val="00A85129"/>
    <w:rPr>
      <w:rFonts w:ascii="Calibri" w:hAnsi="Calibri" w:cs="Calibri"/>
      <w:noProof/>
    </w:rPr>
  </w:style>
  <w:style w:type="character" w:styleId="CommentReference">
    <w:name w:val="annotation reference"/>
    <w:basedOn w:val="DefaultParagraphFont"/>
    <w:uiPriority w:val="99"/>
    <w:semiHidden/>
    <w:unhideWhenUsed/>
    <w:rsid w:val="00A96118"/>
    <w:rPr>
      <w:sz w:val="16"/>
      <w:szCs w:val="16"/>
    </w:rPr>
  </w:style>
  <w:style w:type="paragraph" w:styleId="CommentText">
    <w:name w:val="annotation text"/>
    <w:basedOn w:val="Normal"/>
    <w:link w:val="CommentTextChar"/>
    <w:uiPriority w:val="99"/>
    <w:semiHidden/>
    <w:unhideWhenUsed/>
    <w:rsid w:val="00A96118"/>
    <w:rPr>
      <w:sz w:val="20"/>
      <w:szCs w:val="20"/>
    </w:rPr>
  </w:style>
  <w:style w:type="character" w:customStyle="1" w:styleId="CommentTextChar">
    <w:name w:val="Comment Text Char"/>
    <w:basedOn w:val="DefaultParagraphFont"/>
    <w:link w:val="CommentText"/>
    <w:uiPriority w:val="99"/>
    <w:semiHidden/>
    <w:rsid w:val="00A96118"/>
    <w:rPr>
      <w:sz w:val="20"/>
      <w:szCs w:val="20"/>
    </w:rPr>
  </w:style>
  <w:style w:type="paragraph" w:styleId="CommentSubject">
    <w:name w:val="annotation subject"/>
    <w:basedOn w:val="CommentText"/>
    <w:next w:val="CommentText"/>
    <w:link w:val="CommentSubjectChar"/>
    <w:uiPriority w:val="99"/>
    <w:semiHidden/>
    <w:unhideWhenUsed/>
    <w:rsid w:val="00A96118"/>
    <w:rPr>
      <w:b/>
      <w:bCs/>
    </w:rPr>
  </w:style>
  <w:style w:type="character" w:customStyle="1" w:styleId="CommentSubjectChar">
    <w:name w:val="Comment Subject Char"/>
    <w:basedOn w:val="CommentTextChar"/>
    <w:link w:val="CommentSubject"/>
    <w:uiPriority w:val="99"/>
    <w:semiHidden/>
    <w:rsid w:val="00A96118"/>
    <w:rPr>
      <w:b/>
      <w:bCs/>
      <w:sz w:val="20"/>
      <w:szCs w:val="20"/>
    </w:rPr>
  </w:style>
  <w:style w:type="paragraph" w:customStyle="1" w:styleId="gen">
    <w:name w:val="gen"/>
    <w:basedOn w:val="Normal"/>
    <w:rsid w:val="005E5787"/>
    <w:pPr>
      <w:spacing w:before="120" w:after="120" w:afterAutospacing="0"/>
      <w:jc w:val="left"/>
    </w:pPr>
    <w:rPr>
      <w:rFonts w:ascii="Times New Roman" w:eastAsia="Times New Roman" w:hAnsi="Times New Roman" w:cs="Times New Roman"/>
      <w:szCs w:val="20"/>
      <w:lang w:val="en-GB" w:eastAsia="en-GB" w:bidi="ar-SA"/>
    </w:rPr>
  </w:style>
  <w:style w:type="paragraph" w:customStyle="1" w:styleId="CharChar">
    <w:name w:val="Char Char"/>
    <w:basedOn w:val="Normal"/>
    <w:rsid w:val="005E5787"/>
    <w:pPr>
      <w:spacing w:after="120" w:afterAutospacing="0" w:line="240" w:lineRule="exact"/>
      <w:jc w:val="left"/>
    </w:pPr>
    <w:rPr>
      <w:rFonts w:ascii="Verdana" w:eastAsia="Times New Roman" w:hAnsi="Verdana" w:cs="Verdana"/>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53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scic.gov.uk/hes" TargetMode="External"/><Relationship Id="rId13" Type="http://schemas.openxmlformats.org/officeDocument/2006/relationships/hyperlink" Target="http://www.england.nhs.uk/statistics/statistical-work-areas/diagnostics-waiting-times-and-activity/monthly-diagnostics-waiting-times-and-activity/" TargetMode="External"/><Relationship Id="rId18" Type="http://schemas.openxmlformats.org/officeDocument/2006/relationships/hyperlink" Target="http://www.dhsspsni.gov.uk/index/statistics/hospital/hospital-activity.htm" TargetMode="External"/><Relationship Id="rId3" Type="http://schemas.openxmlformats.org/officeDocument/2006/relationships/settings" Target="settings.xml"/><Relationship Id="rId21" Type="http://schemas.openxmlformats.org/officeDocument/2006/relationships/hyperlink" Target="http://www.pulsetoday.co.uk/news/commissioning/commissioning-topics/referrals/gp-practices-offered-payments-to-cut-urgent-cancer-referrals/20030100.article" TargetMode="External"/><Relationship Id="rId7" Type="http://schemas.openxmlformats.org/officeDocument/2006/relationships/image" Target="media/image1.png"/><Relationship Id="rId12" Type="http://schemas.openxmlformats.org/officeDocument/2006/relationships/hyperlink" Target="http://www.england.nhs.uk/statistics/statistical-work-areas/cancer-waiting-times/" TargetMode="External"/><Relationship Id="rId17" Type="http://schemas.openxmlformats.org/officeDocument/2006/relationships/hyperlink" Target="http://www.infoandstats.wales.nhs.uk/page.cfm?orgid=869&amp;%20pid=40977" TargetMode="External"/><Relationship Id="rId2" Type="http://schemas.openxmlformats.org/officeDocument/2006/relationships/styles" Target="styles.xml"/><Relationship Id="rId16" Type="http://schemas.openxmlformats.org/officeDocument/2006/relationships/hyperlink" Target="http://www.isdscotland.org/Health-Topics/Hospital-Care/" TargetMode="External"/><Relationship Id="rId20" Type="http://schemas.openxmlformats.org/officeDocument/2006/relationships/hyperlink" Target="http://www.bbc.co.uk/news/health-3442111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ngland.nhs.uk/statistics/statistical-work-areas/rtt-waiting-time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gov.uk/government/collections/patient-experience-statistics" TargetMode="External"/><Relationship Id="rId23" Type="http://schemas.openxmlformats.org/officeDocument/2006/relationships/fontTable" Target="fontTable.xml"/><Relationship Id="rId10" Type="http://schemas.openxmlformats.org/officeDocument/2006/relationships/hyperlink" Target="http://www.england.nhs.uk/statistics/statistical-work-areas/hospital-activity/monthly-hospital-activity/mar-data/" TargetMode="External"/><Relationship Id="rId19" Type="http://schemas.openxmlformats.org/officeDocument/2006/relationships/hyperlink" Target="http://dx.doi.org/10.1016/j.jhealeco.2005.08.001" TargetMode="Externa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www.england.nhs.uk/statistics/statistical-work-areas/pat-exp/" TargetMode="External"/><Relationship Id="rId22" Type="http://schemas.openxmlformats.org/officeDocument/2006/relationships/hyperlink" Target="http://www.lexology.com/library/detail.aspx?g=9c72de3e-1c46-45f5-b158-66d0b4c255c5"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marker>
            <c:symbol val="none"/>
          </c:marker>
          <c:cat>
            <c:numRef>
              <c:f>Sheet1!$C$2:$C$92</c:f>
              <c:numCache>
                <c:formatCode>mmm\-yy</c:formatCode>
                <c:ptCount val="91"/>
                <c:pt idx="0">
                  <c:v>39173</c:v>
                </c:pt>
                <c:pt idx="1">
                  <c:v>39203</c:v>
                </c:pt>
                <c:pt idx="2">
                  <c:v>39234</c:v>
                </c:pt>
                <c:pt idx="3">
                  <c:v>39264</c:v>
                </c:pt>
                <c:pt idx="4">
                  <c:v>39295</c:v>
                </c:pt>
                <c:pt idx="5">
                  <c:v>39326</c:v>
                </c:pt>
                <c:pt idx="6">
                  <c:v>39356</c:v>
                </c:pt>
                <c:pt idx="7">
                  <c:v>39387</c:v>
                </c:pt>
                <c:pt idx="8">
                  <c:v>39417</c:v>
                </c:pt>
                <c:pt idx="9">
                  <c:v>39448</c:v>
                </c:pt>
                <c:pt idx="10">
                  <c:v>39479</c:v>
                </c:pt>
                <c:pt idx="11">
                  <c:v>39508</c:v>
                </c:pt>
                <c:pt idx="12">
                  <c:v>39539</c:v>
                </c:pt>
                <c:pt idx="13">
                  <c:v>39569</c:v>
                </c:pt>
                <c:pt idx="14">
                  <c:v>39600</c:v>
                </c:pt>
                <c:pt idx="15">
                  <c:v>39630</c:v>
                </c:pt>
                <c:pt idx="16">
                  <c:v>39661</c:v>
                </c:pt>
                <c:pt idx="17">
                  <c:v>39692</c:v>
                </c:pt>
                <c:pt idx="18">
                  <c:v>39722</c:v>
                </c:pt>
                <c:pt idx="19">
                  <c:v>39753</c:v>
                </c:pt>
                <c:pt idx="20">
                  <c:v>39783</c:v>
                </c:pt>
                <c:pt idx="21">
                  <c:v>39814</c:v>
                </c:pt>
                <c:pt idx="22">
                  <c:v>39845</c:v>
                </c:pt>
                <c:pt idx="23">
                  <c:v>39873</c:v>
                </c:pt>
                <c:pt idx="24">
                  <c:v>39904</c:v>
                </c:pt>
                <c:pt idx="25">
                  <c:v>39934</c:v>
                </c:pt>
                <c:pt idx="26">
                  <c:v>39965</c:v>
                </c:pt>
                <c:pt idx="27">
                  <c:v>39995</c:v>
                </c:pt>
                <c:pt idx="28">
                  <c:v>40026</c:v>
                </c:pt>
                <c:pt idx="29">
                  <c:v>40057</c:v>
                </c:pt>
                <c:pt idx="30">
                  <c:v>40087</c:v>
                </c:pt>
                <c:pt idx="31">
                  <c:v>40118</c:v>
                </c:pt>
                <c:pt idx="32">
                  <c:v>40148</c:v>
                </c:pt>
                <c:pt idx="33">
                  <c:v>40179</c:v>
                </c:pt>
                <c:pt idx="34">
                  <c:v>40210</c:v>
                </c:pt>
                <c:pt idx="35">
                  <c:v>40238</c:v>
                </c:pt>
                <c:pt idx="36">
                  <c:v>40269</c:v>
                </c:pt>
                <c:pt idx="37">
                  <c:v>40299</c:v>
                </c:pt>
                <c:pt idx="38">
                  <c:v>40330</c:v>
                </c:pt>
                <c:pt idx="39">
                  <c:v>40360</c:v>
                </c:pt>
                <c:pt idx="40">
                  <c:v>40391</c:v>
                </c:pt>
                <c:pt idx="41">
                  <c:v>40422</c:v>
                </c:pt>
                <c:pt idx="42">
                  <c:v>40452</c:v>
                </c:pt>
                <c:pt idx="43">
                  <c:v>40483</c:v>
                </c:pt>
                <c:pt idx="44">
                  <c:v>40513</c:v>
                </c:pt>
                <c:pt idx="45">
                  <c:v>40544</c:v>
                </c:pt>
                <c:pt idx="46">
                  <c:v>40575</c:v>
                </c:pt>
                <c:pt idx="47">
                  <c:v>40603</c:v>
                </c:pt>
                <c:pt idx="48">
                  <c:v>40634</c:v>
                </c:pt>
                <c:pt idx="49">
                  <c:v>40664</c:v>
                </c:pt>
                <c:pt idx="50">
                  <c:v>40695</c:v>
                </c:pt>
                <c:pt idx="51">
                  <c:v>40725</c:v>
                </c:pt>
                <c:pt idx="52">
                  <c:v>40756</c:v>
                </c:pt>
                <c:pt idx="53">
                  <c:v>40787</c:v>
                </c:pt>
                <c:pt idx="54">
                  <c:v>40817</c:v>
                </c:pt>
                <c:pt idx="55">
                  <c:v>40848</c:v>
                </c:pt>
                <c:pt idx="56">
                  <c:v>40878</c:v>
                </c:pt>
                <c:pt idx="57">
                  <c:v>40909</c:v>
                </c:pt>
                <c:pt idx="58">
                  <c:v>40940</c:v>
                </c:pt>
                <c:pt idx="59">
                  <c:v>40969</c:v>
                </c:pt>
                <c:pt idx="60">
                  <c:v>41000</c:v>
                </c:pt>
                <c:pt idx="61">
                  <c:v>41030</c:v>
                </c:pt>
                <c:pt idx="62">
                  <c:v>41061</c:v>
                </c:pt>
                <c:pt idx="63">
                  <c:v>41091</c:v>
                </c:pt>
                <c:pt idx="64">
                  <c:v>41122</c:v>
                </c:pt>
                <c:pt idx="65">
                  <c:v>41153</c:v>
                </c:pt>
                <c:pt idx="66">
                  <c:v>41183</c:v>
                </c:pt>
                <c:pt idx="67">
                  <c:v>41214</c:v>
                </c:pt>
                <c:pt idx="68">
                  <c:v>41244</c:v>
                </c:pt>
                <c:pt idx="69">
                  <c:v>41275</c:v>
                </c:pt>
                <c:pt idx="70">
                  <c:v>41306</c:v>
                </c:pt>
                <c:pt idx="71">
                  <c:v>41334</c:v>
                </c:pt>
                <c:pt idx="72">
                  <c:v>41365</c:v>
                </c:pt>
                <c:pt idx="73">
                  <c:v>41395</c:v>
                </c:pt>
                <c:pt idx="74">
                  <c:v>41426</c:v>
                </c:pt>
                <c:pt idx="75">
                  <c:v>41456</c:v>
                </c:pt>
                <c:pt idx="76">
                  <c:v>41487</c:v>
                </c:pt>
                <c:pt idx="77">
                  <c:v>41518</c:v>
                </c:pt>
                <c:pt idx="78">
                  <c:v>41548</c:v>
                </c:pt>
                <c:pt idx="79">
                  <c:v>41579</c:v>
                </c:pt>
                <c:pt idx="80">
                  <c:v>41609</c:v>
                </c:pt>
                <c:pt idx="81">
                  <c:v>41640</c:v>
                </c:pt>
                <c:pt idx="82">
                  <c:v>41671</c:v>
                </c:pt>
                <c:pt idx="83">
                  <c:v>41699</c:v>
                </c:pt>
                <c:pt idx="84">
                  <c:v>41730</c:v>
                </c:pt>
                <c:pt idx="85">
                  <c:v>41760</c:v>
                </c:pt>
                <c:pt idx="86">
                  <c:v>41791</c:v>
                </c:pt>
                <c:pt idx="87">
                  <c:v>41821</c:v>
                </c:pt>
                <c:pt idx="88">
                  <c:v>41852</c:v>
                </c:pt>
                <c:pt idx="89">
                  <c:v>41883</c:v>
                </c:pt>
                <c:pt idx="90">
                  <c:v>41913</c:v>
                </c:pt>
              </c:numCache>
            </c:numRef>
          </c:cat>
          <c:val>
            <c:numRef>
              <c:f>Sheet1!$D$2:$D$92</c:f>
              <c:numCache>
                <c:formatCode>[$-10409]#,##0;\(#,##0\)</c:formatCode>
                <c:ptCount val="91"/>
                <c:pt idx="0">
                  <c:v>1194041</c:v>
                </c:pt>
                <c:pt idx="1">
                  <c:v>1307117</c:v>
                </c:pt>
                <c:pt idx="2">
                  <c:v>1266654</c:v>
                </c:pt>
                <c:pt idx="3">
                  <c:v>1301280</c:v>
                </c:pt>
                <c:pt idx="4">
                  <c:v>1274667</c:v>
                </c:pt>
                <c:pt idx="5">
                  <c:v>1225860</c:v>
                </c:pt>
                <c:pt idx="6">
                  <c:v>1354103</c:v>
                </c:pt>
                <c:pt idx="7">
                  <c:v>1324595</c:v>
                </c:pt>
                <c:pt idx="8">
                  <c:v>1197814</c:v>
                </c:pt>
                <c:pt idx="9">
                  <c:v>1333602</c:v>
                </c:pt>
                <c:pt idx="10">
                  <c:v>1297408</c:v>
                </c:pt>
                <c:pt idx="11">
                  <c:v>1281801</c:v>
                </c:pt>
                <c:pt idx="12">
                  <c:v>1354952</c:v>
                </c:pt>
                <c:pt idx="13">
                  <c:v>1328020</c:v>
                </c:pt>
                <c:pt idx="14">
                  <c:v>1318079</c:v>
                </c:pt>
                <c:pt idx="15">
                  <c:v>1400417</c:v>
                </c:pt>
                <c:pt idx="16">
                  <c:v>1273247</c:v>
                </c:pt>
                <c:pt idx="17">
                  <c:v>1355022</c:v>
                </c:pt>
                <c:pt idx="18">
                  <c:v>1431636</c:v>
                </c:pt>
                <c:pt idx="19">
                  <c:v>1338239</c:v>
                </c:pt>
                <c:pt idx="20">
                  <c:v>1351365</c:v>
                </c:pt>
                <c:pt idx="21">
                  <c:v>1361110</c:v>
                </c:pt>
                <c:pt idx="22">
                  <c:v>1274640</c:v>
                </c:pt>
                <c:pt idx="23">
                  <c:v>1445767</c:v>
                </c:pt>
                <c:pt idx="24">
                  <c:v>1359949</c:v>
                </c:pt>
                <c:pt idx="25">
                  <c:v>1347020</c:v>
                </c:pt>
                <c:pt idx="26">
                  <c:v>1420719</c:v>
                </c:pt>
                <c:pt idx="27">
                  <c:v>1449530</c:v>
                </c:pt>
                <c:pt idx="28">
                  <c:v>1309130</c:v>
                </c:pt>
                <c:pt idx="29">
                  <c:v>1403787</c:v>
                </c:pt>
                <c:pt idx="30">
                  <c:v>1467075</c:v>
                </c:pt>
                <c:pt idx="31">
                  <c:v>1423402</c:v>
                </c:pt>
                <c:pt idx="32">
                  <c:v>1404121</c:v>
                </c:pt>
                <c:pt idx="33">
                  <c:v>1352103</c:v>
                </c:pt>
                <c:pt idx="34">
                  <c:v>1340187</c:v>
                </c:pt>
                <c:pt idx="35">
                  <c:v>1529173</c:v>
                </c:pt>
                <c:pt idx="36">
                  <c:v>1398301</c:v>
                </c:pt>
                <c:pt idx="37">
                  <c:v>1406440</c:v>
                </c:pt>
                <c:pt idx="38">
                  <c:v>1461048</c:v>
                </c:pt>
                <c:pt idx="39">
                  <c:v>1479767</c:v>
                </c:pt>
                <c:pt idx="40">
                  <c:v>1394664</c:v>
                </c:pt>
                <c:pt idx="41">
                  <c:v>1458027</c:v>
                </c:pt>
                <c:pt idx="42">
                  <c:v>1463346</c:v>
                </c:pt>
                <c:pt idx="43">
                  <c:v>1488025</c:v>
                </c:pt>
                <c:pt idx="44">
                  <c:v>1397321</c:v>
                </c:pt>
                <c:pt idx="45">
                  <c:v>1421276</c:v>
                </c:pt>
                <c:pt idx="46">
                  <c:v>1361803</c:v>
                </c:pt>
                <c:pt idx="47">
                  <c:v>1539864</c:v>
                </c:pt>
                <c:pt idx="48">
                  <c:v>1353751</c:v>
                </c:pt>
                <c:pt idx="49">
                  <c:v>1427957</c:v>
                </c:pt>
                <c:pt idx="50">
                  <c:v>1473001</c:v>
                </c:pt>
                <c:pt idx="51">
                  <c:v>1445515</c:v>
                </c:pt>
                <c:pt idx="52">
                  <c:v>1438904</c:v>
                </c:pt>
                <c:pt idx="53">
                  <c:v>1459949</c:v>
                </c:pt>
                <c:pt idx="54">
                  <c:v>1456465</c:v>
                </c:pt>
                <c:pt idx="55">
                  <c:v>1497348</c:v>
                </c:pt>
                <c:pt idx="56">
                  <c:v>1421800</c:v>
                </c:pt>
                <c:pt idx="57">
                  <c:v>1483485</c:v>
                </c:pt>
                <c:pt idx="58">
                  <c:v>1448937</c:v>
                </c:pt>
                <c:pt idx="59">
                  <c:v>1558312</c:v>
                </c:pt>
                <c:pt idx="60">
                  <c:v>1397794</c:v>
                </c:pt>
                <c:pt idx="61">
                  <c:v>1558874</c:v>
                </c:pt>
                <c:pt idx="62">
                  <c:v>1412993</c:v>
                </c:pt>
                <c:pt idx="63">
                  <c:v>1521650</c:v>
                </c:pt>
                <c:pt idx="64">
                  <c:v>1478983</c:v>
                </c:pt>
                <c:pt idx="65">
                  <c:v>1423444</c:v>
                </c:pt>
                <c:pt idx="66">
                  <c:v>1578814</c:v>
                </c:pt>
                <c:pt idx="67">
                  <c:v>1533541</c:v>
                </c:pt>
                <c:pt idx="68">
                  <c:v>1405834</c:v>
                </c:pt>
                <c:pt idx="69">
                  <c:v>1520842</c:v>
                </c:pt>
                <c:pt idx="70">
                  <c:v>1394629</c:v>
                </c:pt>
                <c:pt idx="71">
                  <c:v>1487648</c:v>
                </c:pt>
                <c:pt idx="72">
                  <c:v>1482368</c:v>
                </c:pt>
                <c:pt idx="73">
                  <c:v>1520070</c:v>
                </c:pt>
                <c:pt idx="74">
                  <c:v>1445401</c:v>
                </c:pt>
                <c:pt idx="75">
                  <c:v>1574532</c:v>
                </c:pt>
                <c:pt idx="76">
                  <c:v>1458656</c:v>
                </c:pt>
                <c:pt idx="77">
                  <c:v>1474508</c:v>
                </c:pt>
                <c:pt idx="78">
                  <c:v>1591399</c:v>
                </c:pt>
                <c:pt idx="79">
                  <c:v>1525320</c:v>
                </c:pt>
                <c:pt idx="80">
                  <c:v>1473687</c:v>
                </c:pt>
                <c:pt idx="81">
                  <c:v>1587637</c:v>
                </c:pt>
                <c:pt idx="82">
                  <c:v>1454296</c:v>
                </c:pt>
                <c:pt idx="83">
                  <c:v>1575227</c:v>
                </c:pt>
                <c:pt idx="84">
                  <c:v>1510979</c:v>
                </c:pt>
                <c:pt idx="85">
                  <c:v>1549063</c:v>
                </c:pt>
                <c:pt idx="86">
                  <c:v>1543100</c:v>
                </c:pt>
                <c:pt idx="87">
                  <c:v>1624256</c:v>
                </c:pt>
                <c:pt idx="88">
                  <c:v>1468296</c:v>
                </c:pt>
                <c:pt idx="89">
                  <c:v>1569597</c:v>
                </c:pt>
                <c:pt idx="90">
                  <c:v>1635832</c:v>
                </c:pt>
              </c:numCache>
            </c:numRef>
          </c:val>
          <c:smooth val="0"/>
          <c:extLst>
            <c:ext xmlns:c16="http://schemas.microsoft.com/office/drawing/2014/chart" uri="{C3380CC4-5D6E-409C-BE32-E72D297353CC}">
              <c16:uniqueId val="{00000000-8B32-4E49-864B-3A3CA6E85D9B}"/>
            </c:ext>
          </c:extLst>
        </c:ser>
        <c:dLbls>
          <c:showLegendKey val="0"/>
          <c:showVal val="0"/>
          <c:showCatName val="0"/>
          <c:showSerName val="0"/>
          <c:showPercent val="0"/>
          <c:showBubbleSize val="0"/>
        </c:dLbls>
        <c:smooth val="0"/>
        <c:axId val="104764160"/>
        <c:axId val="104765696"/>
      </c:lineChart>
      <c:dateAx>
        <c:axId val="104764160"/>
        <c:scaling>
          <c:orientation val="minMax"/>
        </c:scaling>
        <c:delete val="0"/>
        <c:axPos val="b"/>
        <c:numFmt formatCode="mmm\-yy" sourceLinked="1"/>
        <c:majorTickMark val="out"/>
        <c:minorTickMark val="none"/>
        <c:tickLblPos val="nextTo"/>
        <c:crossAx val="104765696"/>
        <c:crosses val="autoZero"/>
        <c:auto val="1"/>
        <c:lblOffset val="100"/>
        <c:baseTimeUnit val="months"/>
      </c:dateAx>
      <c:valAx>
        <c:axId val="104765696"/>
        <c:scaling>
          <c:orientation val="minMax"/>
        </c:scaling>
        <c:delete val="0"/>
        <c:axPos val="l"/>
        <c:majorGridlines/>
        <c:numFmt formatCode="[$-10409]#,##0;\(#,##0\)" sourceLinked="1"/>
        <c:majorTickMark val="out"/>
        <c:minorTickMark val="none"/>
        <c:tickLblPos val="nextTo"/>
        <c:crossAx val="10476416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2511</Words>
  <Characters>14318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James Lopez-Bernal</cp:lastModifiedBy>
  <cp:revision>2</cp:revision>
  <dcterms:created xsi:type="dcterms:W3CDTF">2017-09-06T13:59:00Z</dcterms:created>
  <dcterms:modified xsi:type="dcterms:W3CDTF">2017-09-06T13:59:00Z</dcterms:modified>
</cp:coreProperties>
</file>