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A7C0D" w14:textId="77777777" w:rsidR="0016217D" w:rsidRPr="0016217D" w:rsidRDefault="0016217D" w:rsidP="0016217D">
      <w:pPr>
        <w:jc w:val="center"/>
        <w:rPr>
          <w:b/>
          <w:lang w:val="en-GB"/>
        </w:rPr>
      </w:pPr>
      <w:r w:rsidRPr="0016217D">
        <w:rPr>
          <w:b/>
          <w:lang w:val="en-GB"/>
        </w:rPr>
        <w:t>Results-based budgeting programmes for maternal and child health in Peru</w:t>
      </w:r>
    </w:p>
    <w:p w14:paraId="6B9632FD" w14:textId="77777777" w:rsidR="0016217D" w:rsidRDefault="0016217D">
      <w:pPr>
        <w:rPr>
          <w:lang w:val="en-GB"/>
        </w:rPr>
      </w:pPr>
    </w:p>
    <w:p w14:paraId="05DCF11D" w14:textId="1795DEEF" w:rsidR="009863F0" w:rsidRDefault="003E709A">
      <w:pPr>
        <w:rPr>
          <w:lang w:val="en-GB"/>
        </w:rPr>
      </w:pPr>
      <w:r w:rsidRPr="003E709A">
        <w:rPr>
          <w:lang w:val="en-GB"/>
        </w:rPr>
        <w:t xml:space="preserve">Maternal and child health have deserved particular emphasis in Peru since the 2007, when two cross-sectoral results-based budgeting programmes were introduced by the Ministry of Economy and Finance, in coordination with other sectors namely the Ministry of Health and The Ministry of Development and Social Inclusion. They included the Strategic Maternal-Neonatal Programme, aimed at reducing maternal and neonatal mortality, and the Articulate Nutrition Programme, aimed at reducing the prevalence of under-five stunting prevalence. Both were based on previous identification of evidence-based interventions, followed by their inclusion within each programme and its ulterior implementation </w:t>
      </w:r>
      <w:r>
        <w:rPr>
          <w:lang w:val="en-GB"/>
        </w:rPr>
        <w:t>at scale, with priority given to the poorest regions of the country.</w:t>
      </w:r>
      <w:r w:rsidR="003B3E14">
        <w:rPr>
          <w:lang w:val="en-GB"/>
        </w:rPr>
        <w:t xml:space="preserve"> Budget is allocated to these programmes at regional level on the basis of performance evaluation in terms of progress made in coverage and impact indicators</w:t>
      </w:r>
      <w:r w:rsidR="00851B42">
        <w:rPr>
          <w:lang w:val="en-GB"/>
        </w:rPr>
        <w:t xml:space="preserve"> previously agreed and officially incorporated within each programme. The implementation is followed through a monitoring and evaluation system that collects data on a </w:t>
      </w:r>
      <w:r w:rsidR="00AE06D8">
        <w:rPr>
          <w:lang w:val="en-GB"/>
        </w:rPr>
        <w:t>periodic</w:t>
      </w:r>
      <w:r w:rsidR="00851B42">
        <w:rPr>
          <w:lang w:val="en-GB"/>
        </w:rPr>
        <w:t xml:space="preserve"> basis and </w:t>
      </w:r>
      <w:r w:rsidR="00AE06D8">
        <w:rPr>
          <w:lang w:val="en-GB"/>
        </w:rPr>
        <w:t>through</w:t>
      </w:r>
      <w:r w:rsidR="00851B42">
        <w:rPr>
          <w:lang w:val="en-GB"/>
        </w:rPr>
        <w:t xml:space="preserve"> the information provided by the Demographic and Health Surveys, to ensure that regional goals are achieved. </w:t>
      </w:r>
    </w:p>
    <w:p w14:paraId="290A024A" w14:textId="77777777" w:rsidR="000D15BA" w:rsidRDefault="000D15BA">
      <w:pPr>
        <w:rPr>
          <w:lang w:val="en-GB"/>
        </w:rPr>
      </w:pPr>
    </w:p>
    <w:p w14:paraId="00068DBB" w14:textId="7643FA9F" w:rsidR="000D15BA" w:rsidRDefault="000D15BA">
      <w:pPr>
        <w:rPr>
          <w:lang w:val="en-GB"/>
        </w:rPr>
      </w:pPr>
      <w:r>
        <w:rPr>
          <w:lang w:val="en-GB"/>
        </w:rPr>
        <w:t>Each programme has a defined budget line that is allocated to each region</w:t>
      </w:r>
      <w:r w:rsidR="0016217D">
        <w:rPr>
          <w:lang w:val="en-GB"/>
        </w:rPr>
        <w:t xml:space="preserve"> (department)</w:t>
      </w:r>
      <w:r>
        <w:rPr>
          <w:lang w:val="en-GB"/>
        </w:rPr>
        <w:t>, and includes per capita costing for each service provided at health facility level</w:t>
      </w:r>
      <w:r w:rsidR="007C4BF4">
        <w:rPr>
          <w:lang w:val="en-GB"/>
        </w:rPr>
        <w:t>, taking into account specific needs in terms of health workforce, equipment, supplies, training, and supervision</w:t>
      </w:r>
      <w:r>
        <w:rPr>
          <w:lang w:val="en-GB"/>
        </w:rPr>
        <w:t xml:space="preserve">. </w:t>
      </w:r>
    </w:p>
    <w:p w14:paraId="233645E2" w14:textId="77777777" w:rsidR="00487CBD" w:rsidRDefault="00487CBD">
      <w:pPr>
        <w:rPr>
          <w:lang w:val="en-GB"/>
        </w:rPr>
      </w:pPr>
    </w:p>
    <w:p w14:paraId="7423AAF7" w14:textId="31B16609" w:rsidR="00487CBD" w:rsidRDefault="00487CBD">
      <w:pPr>
        <w:rPr>
          <w:lang w:val="en-GB"/>
        </w:rPr>
      </w:pPr>
      <w:r>
        <w:rPr>
          <w:lang w:val="en-GB"/>
        </w:rPr>
        <w:t xml:space="preserve">In this way, both programmes aim at increasing the efficiency and the equity </w:t>
      </w:r>
      <w:r w:rsidR="004055AB">
        <w:rPr>
          <w:lang w:val="en-GB"/>
        </w:rPr>
        <w:t>in the coverage of the interventions.</w:t>
      </w:r>
    </w:p>
    <w:p w14:paraId="19E2ED2C" w14:textId="77777777" w:rsidR="004055AB" w:rsidRDefault="004055AB">
      <w:pPr>
        <w:rPr>
          <w:lang w:val="en-GB"/>
        </w:rPr>
      </w:pPr>
    </w:p>
    <w:p w14:paraId="7DA431D2" w14:textId="24CF4378" w:rsidR="004055AB" w:rsidRDefault="004055AB">
      <w:pPr>
        <w:rPr>
          <w:lang w:val="en-GB"/>
        </w:rPr>
      </w:pPr>
      <w:r>
        <w:rPr>
          <w:lang w:val="en-GB"/>
        </w:rPr>
        <w:t xml:space="preserve">Importantly, </w:t>
      </w:r>
      <w:r>
        <w:rPr>
          <w:lang w:val="en-GB"/>
        </w:rPr>
        <w:t xml:space="preserve">the advocacy of the civil society has been critical for ensuring political commitment across </w:t>
      </w:r>
      <w:r w:rsidR="008B5E9B">
        <w:rPr>
          <w:lang w:val="en-GB"/>
        </w:rPr>
        <w:t xml:space="preserve">the </w:t>
      </w:r>
      <w:r>
        <w:rPr>
          <w:lang w:val="en-GB"/>
        </w:rPr>
        <w:t>governments</w:t>
      </w:r>
      <w:r>
        <w:rPr>
          <w:lang w:val="en-GB"/>
        </w:rPr>
        <w:t xml:space="preserve">, and has paved the way for an an effective implementation of the programmes across the country. </w:t>
      </w:r>
    </w:p>
    <w:p w14:paraId="0A85FB01" w14:textId="77777777" w:rsidR="0016217D" w:rsidRDefault="0016217D">
      <w:pPr>
        <w:rPr>
          <w:lang w:val="en-GB"/>
        </w:rPr>
      </w:pPr>
    </w:p>
    <w:p w14:paraId="491ED6D2" w14:textId="77777777" w:rsidR="0016217D" w:rsidRDefault="0016217D" w:rsidP="0016217D">
      <w:pPr>
        <w:rPr>
          <w:lang w:val="en-GB"/>
        </w:rPr>
      </w:pPr>
      <w:r>
        <w:rPr>
          <w:lang w:val="en-GB"/>
        </w:rPr>
        <w:t>Both results-based budgeting programmes have been implemented within a broader context of economic growth, out-of-health sector and health sector changes. Out-of-health sector changes included the implementation of anti-poverty programmes such as the conditional cash transfer programme (JUNTOS) introduced in 2005 and scaled-up shortly afterwards. Within the health sector, the Health Insurance System (SIS) was implemented by the Ministry of Health since 2002 and was aimed at providing preventative and curative health care to poorest segments of the population, with particular focus on children and pregnant women.</w:t>
      </w:r>
    </w:p>
    <w:p w14:paraId="3F2416F2" w14:textId="77777777" w:rsidR="0016217D" w:rsidRDefault="0016217D" w:rsidP="0016217D">
      <w:pPr>
        <w:rPr>
          <w:lang w:val="en-GB"/>
        </w:rPr>
      </w:pPr>
    </w:p>
    <w:p w14:paraId="669127E4" w14:textId="0C1D8872" w:rsidR="0016217D" w:rsidRDefault="0016217D" w:rsidP="0016217D">
      <w:pPr>
        <w:rPr>
          <w:lang w:val="en-GB"/>
        </w:rPr>
      </w:pPr>
      <w:r>
        <w:rPr>
          <w:lang w:val="en-GB"/>
        </w:rPr>
        <w:t>Of note, a</w:t>
      </w:r>
      <w:r>
        <w:rPr>
          <w:lang w:val="en-GB"/>
        </w:rPr>
        <w:t>n integrated approach to maternal and child health is a key component of both programmes, and includes promotional, preventative and curative interventions for mothers and children alike.</w:t>
      </w:r>
      <w:r w:rsidR="00214ACB">
        <w:rPr>
          <w:lang w:val="en-GB"/>
        </w:rPr>
        <w:t xml:space="preserve"> </w:t>
      </w:r>
      <w:bookmarkStart w:id="0" w:name="_GoBack"/>
      <w:bookmarkEnd w:id="0"/>
    </w:p>
    <w:p w14:paraId="345197CC" w14:textId="77777777" w:rsidR="0016217D" w:rsidRDefault="0016217D" w:rsidP="0016217D">
      <w:pPr>
        <w:rPr>
          <w:lang w:val="en-GB"/>
        </w:rPr>
      </w:pPr>
    </w:p>
    <w:p w14:paraId="39394E71" w14:textId="203047C5" w:rsidR="0016217D" w:rsidRDefault="0016217D" w:rsidP="0016217D">
      <w:pPr>
        <w:rPr>
          <w:lang w:val="en-GB"/>
        </w:rPr>
      </w:pPr>
      <w:r>
        <w:rPr>
          <w:lang w:val="en-GB"/>
        </w:rPr>
        <w:t xml:space="preserve">This innovative cross-sectoral approach to the child of mothers and children has surely been instrumental in the remarkable reduction of maternal, neonatal and under-five mortality and in the reduction </w:t>
      </w:r>
      <w:r w:rsidR="00E02779">
        <w:rPr>
          <w:lang w:val="en-GB"/>
        </w:rPr>
        <w:t xml:space="preserve">of </w:t>
      </w:r>
      <w:r>
        <w:rPr>
          <w:lang w:val="en-GB"/>
        </w:rPr>
        <w:t xml:space="preserve">under-five stunting achieved in Peru, although a formal </w:t>
      </w:r>
      <w:r w:rsidR="00D633BD">
        <w:rPr>
          <w:lang w:val="en-GB"/>
        </w:rPr>
        <w:t>impact</w:t>
      </w:r>
      <w:r>
        <w:rPr>
          <w:lang w:val="en-GB"/>
        </w:rPr>
        <w:t xml:space="preserve"> evaluation with a rigorous design is still a pending issue.</w:t>
      </w:r>
    </w:p>
    <w:p w14:paraId="07223C2F" w14:textId="77777777" w:rsidR="00E9420C" w:rsidRDefault="00E9420C">
      <w:pPr>
        <w:rPr>
          <w:lang w:val="en-GB"/>
        </w:rPr>
      </w:pPr>
    </w:p>
    <w:p w14:paraId="476B853B" w14:textId="125BE53C" w:rsidR="00E9420C" w:rsidRDefault="00E9420C">
      <w:pPr>
        <w:rPr>
          <w:lang w:val="en-GB"/>
        </w:rPr>
      </w:pPr>
      <w:r>
        <w:rPr>
          <w:lang w:val="en-GB"/>
        </w:rPr>
        <w:lastRenderedPageBreak/>
        <w:t>Interventions included in the Strategic Maternal-Neonatal Programme</w:t>
      </w:r>
      <w:r w:rsidR="003A512D">
        <w:rPr>
          <w:lang w:val="en-GB"/>
        </w:rPr>
        <w:t>:</w:t>
      </w:r>
    </w:p>
    <w:p w14:paraId="0604C40C" w14:textId="77777777" w:rsidR="00D839DD" w:rsidRDefault="00D839DD" w:rsidP="00D839DD">
      <w:pPr>
        <w:jc w:val="both"/>
        <w:rPr>
          <w:rFonts w:ascii="Arial" w:hAnsi="Arial" w:cs="Arial"/>
          <w:sz w:val="20"/>
          <w:szCs w:val="20"/>
        </w:rPr>
      </w:pPr>
    </w:p>
    <w:p w14:paraId="67441C25" w14:textId="77777777"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Community informed on sexual and reproductive health and on family planning methods</w:t>
      </w:r>
    </w:p>
    <w:p w14:paraId="6E2C3A57" w14:textId="221F0413"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Adolescents with access to pregnancy prevention health services</w:t>
      </w:r>
    </w:p>
    <w:p w14:paraId="1AEC19C8" w14:textId="6EA5CF11"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sidRPr="00D839DD">
        <w:rPr>
          <w:rFonts w:ascii="Calibri" w:eastAsia="Times New Roman" w:hAnsi="Calibri" w:cs="Times New Roman"/>
          <w:b/>
          <w:color w:val="00000A"/>
          <w:sz w:val="16"/>
          <w:lang w:eastAsia="es-ES"/>
        </w:rPr>
        <w:t>Antenatal care with rights-based approach</w:t>
      </w:r>
    </w:p>
    <w:p w14:paraId="50F113CB" w14:textId="06994A4F"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Healthy municipalities that promote sexual and reproductive health</w:t>
      </w:r>
    </w:p>
    <w:p w14:paraId="3A9F8C72" w14:textId="2C284D41"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Healthy</w:t>
      </w:r>
      <w:r>
        <w:rPr>
          <w:rFonts w:ascii="Calibri" w:eastAsia="Times New Roman" w:hAnsi="Calibri" w:cs="Times New Roman"/>
          <w:color w:val="00000A"/>
          <w:sz w:val="16"/>
          <w:lang w:eastAsia="es-ES"/>
        </w:rPr>
        <w:t xml:space="preserve"> communitie</w:t>
      </w:r>
      <w:r>
        <w:rPr>
          <w:rFonts w:ascii="Calibri" w:eastAsia="Times New Roman" w:hAnsi="Calibri" w:cs="Times New Roman"/>
          <w:color w:val="00000A"/>
          <w:sz w:val="16"/>
          <w:lang w:eastAsia="es-ES"/>
        </w:rPr>
        <w:t>s that promote sexual and reproductive health</w:t>
      </w:r>
    </w:p>
    <w:p w14:paraId="27387D7E" w14:textId="20D9B2D5"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w:t>
      </w:r>
      <w:r>
        <w:rPr>
          <w:rFonts w:ascii="Calibri" w:eastAsia="Times New Roman" w:hAnsi="Calibri" w:cs="Times New Roman"/>
          <w:color w:val="00000A"/>
          <w:sz w:val="16"/>
          <w:lang w:eastAsia="es-ES"/>
        </w:rPr>
        <w:t>y educational institutions</w:t>
      </w:r>
      <w:r>
        <w:rPr>
          <w:rFonts w:ascii="Calibri" w:eastAsia="Times New Roman" w:hAnsi="Calibri" w:cs="Times New Roman"/>
          <w:color w:val="00000A"/>
          <w:sz w:val="16"/>
          <w:lang w:eastAsia="es-ES"/>
        </w:rPr>
        <w:t xml:space="preserve"> that promote sexual and reproductive health</w:t>
      </w:r>
    </w:p>
    <w:p w14:paraId="5AAE5032" w14:textId="583773D3" w:rsidR="00D839DD" w:rsidRP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sidRPr="00D839DD">
        <w:rPr>
          <w:rFonts w:ascii="Calibri" w:eastAsia="Times New Roman" w:hAnsi="Calibri" w:cs="Times New Roman"/>
          <w:b/>
          <w:color w:val="00000A"/>
          <w:sz w:val="16"/>
          <w:lang w:eastAsia="es-ES"/>
        </w:rPr>
        <w:t>Community with access to family planning methods</w:t>
      </w:r>
    </w:p>
    <w:p w14:paraId="755CF15B" w14:textId="77777777"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Community with access to counselling services on sexual and reproductive health</w:t>
      </w:r>
    </w:p>
    <w:p w14:paraId="77868C69" w14:textId="77777777"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 care of pregnant women with complications</w:t>
      </w:r>
    </w:p>
    <w:p w14:paraId="0DCEF91D" w14:textId="19A50246" w:rsidR="00D839DD" w:rsidRP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sidRPr="00D839DD">
        <w:rPr>
          <w:rFonts w:ascii="Calibri" w:eastAsia="Times New Roman" w:hAnsi="Calibri" w:cs="Times New Roman"/>
          <w:b/>
          <w:color w:val="00000A"/>
          <w:sz w:val="16"/>
          <w:lang w:eastAsia="es-ES"/>
        </w:rPr>
        <w:t xml:space="preserve">Health care of normal delivery </w:t>
      </w:r>
    </w:p>
    <w:p w14:paraId="6A54F3E5" w14:textId="2B47B3E7"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 care of non-surgical complicated delivery</w:t>
      </w:r>
    </w:p>
    <w:p w14:paraId="581D886F" w14:textId="3EFA05A6" w:rsidR="00D839DD" w:rsidRDefault="00D839DD"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 care of surgical complicated delivery</w:t>
      </w:r>
    </w:p>
    <w:p w14:paraId="21FDAC81" w14:textId="4F28EDCC" w:rsidR="00D839DD" w:rsidRDefault="00D2653F"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Postnatal</w:t>
      </w:r>
      <w:r w:rsidR="00D839DD" w:rsidRPr="00D839DD">
        <w:rPr>
          <w:rFonts w:ascii="Calibri" w:eastAsia="Times New Roman" w:hAnsi="Calibri" w:cs="Times New Roman"/>
          <w:color w:val="00000A"/>
          <w:sz w:val="16"/>
          <w:lang w:eastAsia="es-ES"/>
        </w:rPr>
        <w:t xml:space="preserve"> health care</w:t>
      </w:r>
    </w:p>
    <w:p w14:paraId="372C6505" w14:textId="7169D053" w:rsidR="00D839DD" w:rsidRDefault="00D2653F"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Complicated postnatal</w:t>
      </w:r>
      <w:r w:rsidR="00D839DD">
        <w:rPr>
          <w:rFonts w:ascii="Calibri" w:eastAsia="Times New Roman" w:hAnsi="Calibri" w:cs="Times New Roman"/>
          <w:color w:val="00000A"/>
          <w:sz w:val="16"/>
          <w:lang w:eastAsia="es-ES"/>
        </w:rPr>
        <w:t xml:space="preserve"> health care</w:t>
      </w:r>
    </w:p>
    <w:p w14:paraId="3D2C4051" w14:textId="583400A4" w:rsidR="00D839DD" w:rsidRDefault="007E51AC"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 xml:space="preserve">Obstetric care at intensive care unit </w:t>
      </w:r>
    </w:p>
    <w:p w14:paraId="5E097B47" w14:textId="0BBAFAA9" w:rsidR="007E51AC" w:rsidRDefault="007E51AC"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Access to institutional referral care system</w:t>
      </w:r>
    </w:p>
    <w:p w14:paraId="1F2EEC34" w14:textId="32600DE0" w:rsidR="007E51AC" w:rsidRPr="007E51AC" w:rsidRDefault="007E51AC"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sidRPr="007E51AC">
        <w:rPr>
          <w:rFonts w:ascii="Calibri" w:eastAsia="Times New Roman" w:hAnsi="Calibri" w:cs="Times New Roman"/>
          <w:b/>
          <w:color w:val="00000A"/>
          <w:sz w:val="16"/>
          <w:lang w:eastAsia="es-ES"/>
        </w:rPr>
        <w:t>Care of normal newborn</w:t>
      </w:r>
    </w:p>
    <w:p w14:paraId="209FED51" w14:textId="05A3E884" w:rsidR="007E51AC" w:rsidRDefault="007E51AC"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Care of newborn with complications</w:t>
      </w:r>
    </w:p>
    <w:p w14:paraId="2A010EDC" w14:textId="118F4376" w:rsidR="007E51AC" w:rsidRDefault="007E51AC" w:rsidP="00D839DD">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Care of newborn with complications requiring neonatal intensive care unit services</w:t>
      </w:r>
    </w:p>
    <w:p w14:paraId="47438C0C" w14:textId="038DEC0A" w:rsidR="00D839DD" w:rsidRPr="00D839DD" w:rsidRDefault="007E51AC" w:rsidP="007E51AC">
      <w:pPr>
        <w:pBdr>
          <w:top w:val="single" w:sz="4" w:space="1" w:color="auto"/>
          <w:left w:val="single" w:sz="4" w:space="4" w:color="auto"/>
          <w:bottom w:val="single" w:sz="4" w:space="1" w:color="auto"/>
          <w:right w:val="single" w:sz="4" w:space="0" w:color="auto"/>
        </w:pBdr>
        <w:ind w:left="708"/>
        <w:rPr>
          <w:rFonts w:ascii="Helvetica" w:hAnsi="Helvetica" w:cs="Helvetica"/>
          <w:b/>
          <w:bCs/>
          <w:smallCaps/>
          <w:color w:val="333333"/>
          <w:sz w:val="20"/>
          <w:szCs w:val="30"/>
        </w:rPr>
      </w:pPr>
      <w:r>
        <w:rPr>
          <w:rFonts w:ascii="Calibri" w:eastAsia="Times New Roman" w:hAnsi="Calibri" w:cs="Times New Roman"/>
          <w:color w:val="00000A"/>
          <w:sz w:val="16"/>
          <w:lang w:eastAsia="es-ES"/>
        </w:rPr>
        <w:t>Healthy families informed on their sexual and reproductive health</w:t>
      </w:r>
    </w:p>
    <w:p w14:paraId="001A05B5" w14:textId="68146A3F" w:rsidR="00E9420C" w:rsidRDefault="00D839DD" w:rsidP="00563996">
      <w:pPr>
        <w:rPr>
          <w:lang w:val="en-GB"/>
        </w:rPr>
      </w:pPr>
      <w:r>
        <w:rPr>
          <w:b/>
          <w:sz w:val="20"/>
          <w:szCs w:val="20"/>
        </w:rPr>
        <w:t xml:space="preserve">             </w:t>
      </w:r>
      <w:r>
        <w:rPr>
          <w:b/>
          <w:sz w:val="20"/>
          <w:szCs w:val="20"/>
        </w:rPr>
        <w:t>*Priority interventions.</w:t>
      </w:r>
    </w:p>
    <w:p w14:paraId="14A11018" w14:textId="77777777" w:rsidR="00D839DD" w:rsidRDefault="00D839DD" w:rsidP="00E9420C">
      <w:pPr>
        <w:rPr>
          <w:lang w:val="en-GB"/>
        </w:rPr>
      </w:pPr>
    </w:p>
    <w:p w14:paraId="604B5412" w14:textId="77777777" w:rsidR="00D839DD" w:rsidRDefault="00D839DD" w:rsidP="00E9420C">
      <w:pPr>
        <w:rPr>
          <w:lang w:val="en-GB"/>
        </w:rPr>
        <w:sectPr w:rsidR="00D839DD" w:rsidSect="00D63BBD">
          <w:pgSz w:w="11900" w:h="16840"/>
          <w:pgMar w:top="1440" w:right="1440" w:bottom="1440" w:left="1440" w:header="708" w:footer="708" w:gutter="0"/>
          <w:cols w:space="708"/>
          <w:docGrid w:linePitch="360"/>
        </w:sectPr>
      </w:pPr>
    </w:p>
    <w:p w14:paraId="5B089298" w14:textId="23B48B28" w:rsidR="00E9420C" w:rsidRDefault="00E9420C" w:rsidP="00E9420C">
      <w:pPr>
        <w:rPr>
          <w:lang w:val="en-GB"/>
        </w:rPr>
      </w:pPr>
      <w:r>
        <w:rPr>
          <w:lang w:val="en-GB"/>
        </w:rPr>
        <w:t xml:space="preserve">Interventions included in the </w:t>
      </w:r>
      <w:r>
        <w:rPr>
          <w:lang w:val="en-GB"/>
        </w:rPr>
        <w:t>Articulate Nutrition</w:t>
      </w:r>
      <w:r>
        <w:rPr>
          <w:lang w:val="en-GB"/>
        </w:rPr>
        <w:t xml:space="preserve"> Programme</w:t>
      </w:r>
      <w:r w:rsidR="00AF76A1">
        <w:rPr>
          <w:lang w:val="en-GB"/>
        </w:rPr>
        <w:t>:</w:t>
      </w:r>
    </w:p>
    <w:p w14:paraId="3CD64FBF" w14:textId="77777777" w:rsidR="00E20C17" w:rsidRDefault="00E20C17" w:rsidP="00E20C17">
      <w:pPr>
        <w:rPr>
          <w:lang w:val="en-GB"/>
        </w:rPr>
      </w:pPr>
    </w:p>
    <w:p w14:paraId="04BE35BF" w14:textId="77777777" w:rsidR="00E20C17" w:rsidRPr="00166509"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Day care services with nutritional quality control of food</w:t>
      </w:r>
    </w:p>
    <w:p w14:paraId="10208E52" w14:textId="77777777" w:rsidR="00E20C17" w:rsidRPr="00166509"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 xml:space="preserve">Access to safe drinking water </w:t>
      </w:r>
    </w:p>
    <w:p w14:paraId="4C00A087" w14:textId="77777777" w:rsidR="00E20C17" w:rsidRPr="00166509"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Community informed about infant care and about health practices to prevent anaemia and child stunting</w:t>
      </w:r>
    </w:p>
    <w:p w14:paraId="4F1B327C"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 xml:space="preserve">Health municipalities that promote adequate infant care and feeding </w:t>
      </w:r>
    </w:p>
    <w:p w14:paraId="616C97E9"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Healthy communities that promote adequate infant care and feeding</w:t>
      </w:r>
    </w:p>
    <w:p w14:paraId="1E0CAFD2"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Healthy educational institutions</w:t>
      </w:r>
      <w:r w:rsidRPr="003A512D">
        <w:rPr>
          <w:rFonts w:ascii="Calibri" w:eastAsia="Times New Roman" w:hAnsi="Calibri" w:cs="Times New Roman"/>
          <w:color w:val="00000A"/>
          <w:sz w:val="16"/>
          <w:lang w:eastAsia="es-ES"/>
        </w:rPr>
        <w:t xml:space="preserve"> </w:t>
      </w:r>
      <w:r>
        <w:rPr>
          <w:rFonts w:ascii="Calibri" w:eastAsia="Times New Roman" w:hAnsi="Calibri" w:cs="Times New Roman"/>
          <w:color w:val="00000A"/>
          <w:sz w:val="16"/>
          <w:lang w:eastAsia="es-ES"/>
        </w:rPr>
        <w:t>that promote adequate infant care and feeding</w:t>
      </w:r>
    </w:p>
    <w:p w14:paraId="67C1CD86"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sidRPr="003A512D">
        <w:rPr>
          <w:rFonts w:ascii="Calibri" w:eastAsia="Times New Roman" w:hAnsi="Calibri" w:cs="Times New Roman"/>
          <w:b/>
          <w:color w:val="00000A"/>
          <w:sz w:val="16"/>
          <w:lang w:eastAsia="es-ES"/>
        </w:rPr>
        <w:t>Health</w:t>
      </w:r>
      <w:r>
        <w:rPr>
          <w:rFonts w:ascii="Calibri" w:eastAsia="Times New Roman" w:hAnsi="Calibri" w:cs="Times New Roman"/>
          <w:b/>
          <w:color w:val="00000A"/>
          <w:sz w:val="16"/>
          <w:lang w:eastAsia="es-ES"/>
        </w:rPr>
        <w:t>y</w:t>
      </w:r>
      <w:r w:rsidRPr="003A512D">
        <w:rPr>
          <w:rFonts w:ascii="Calibri" w:eastAsia="Times New Roman" w:hAnsi="Calibri" w:cs="Times New Roman"/>
          <w:b/>
          <w:color w:val="00000A"/>
          <w:sz w:val="16"/>
          <w:lang w:eastAsia="es-ES"/>
        </w:rPr>
        <w:t xml:space="preserve"> families with knowledge to provide adequate infant care, exclusive breastfeeding and adequate feeding and protection of children younger than 3 years’ old</w:t>
      </w:r>
      <w:r>
        <w:rPr>
          <w:rFonts w:ascii="Calibri" w:eastAsia="Times New Roman" w:hAnsi="Calibri" w:cs="Times New Roman"/>
          <w:b/>
          <w:color w:val="00000A"/>
          <w:sz w:val="16"/>
          <w:lang w:eastAsia="es-ES"/>
        </w:rPr>
        <w:t>*</w:t>
      </w:r>
    </w:p>
    <w:p w14:paraId="10F67D67"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Pr>
          <w:rFonts w:ascii="Calibri" w:eastAsia="Times New Roman" w:hAnsi="Calibri" w:cs="Times New Roman"/>
          <w:b/>
          <w:color w:val="00000A"/>
          <w:sz w:val="16"/>
          <w:lang w:eastAsia="es-ES"/>
        </w:rPr>
        <w:t>Children with complete vaccination*</w:t>
      </w:r>
    </w:p>
    <w:p w14:paraId="5B358539"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Pr>
          <w:rFonts w:ascii="Calibri" w:eastAsia="Times New Roman" w:hAnsi="Calibri" w:cs="Times New Roman"/>
          <w:b/>
          <w:color w:val="00000A"/>
          <w:sz w:val="16"/>
          <w:lang w:eastAsia="es-ES"/>
        </w:rPr>
        <w:t>Children with complete growth and development monitoring according to their age*</w:t>
      </w:r>
    </w:p>
    <w:p w14:paraId="2F44CD60"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b/>
          <w:color w:val="00000A"/>
          <w:sz w:val="16"/>
          <w:lang w:eastAsia="es-ES"/>
        </w:rPr>
      </w:pPr>
      <w:r>
        <w:rPr>
          <w:rFonts w:ascii="Calibri" w:eastAsia="Times New Roman" w:hAnsi="Calibri" w:cs="Times New Roman"/>
          <w:b/>
          <w:color w:val="00000A"/>
          <w:sz w:val="16"/>
          <w:lang w:eastAsia="es-ES"/>
        </w:rPr>
        <w:t>Children with iron and vitamin A supplementation*</w:t>
      </w:r>
    </w:p>
    <w:p w14:paraId="7D87A467"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Adequate management of acute respiratory infections</w:t>
      </w:r>
    </w:p>
    <w:p w14:paraId="57BAFD07"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Adequate management of acute diarrhoeal diseases</w:t>
      </w:r>
    </w:p>
    <w:p w14:paraId="3B89C7E4"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Adequate management of complicated acute respiratory infections</w:t>
      </w:r>
    </w:p>
    <w:p w14:paraId="2FC64135"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Adequate management of complicated acute diarrhoeal diseases</w:t>
      </w:r>
    </w:p>
    <w:p w14:paraId="63C05DC0"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Adequate management of other prevalent childhood illnesses</w:t>
      </w:r>
    </w:p>
    <w:p w14:paraId="65D9843C" w14:textId="77777777" w:rsidR="00E20C17" w:rsidRDefault="00E20C17" w:rsidP="00E20C17">
      <w:pPr>
        <w:pBdr>
          <w:top w:val="single" w:sz="4" w:space="1" w:color="auto"/>
          <w:left w:val="single" w:sz="4" w:space="4" w:color="auto"/>
          <w:bottom w:val="single" w:sz="4" w:space="1" w:color="auto"/>
          <w:right w:val="single" w:sz="4" w:space="0" w:color="auto"/>
        </w:pBdr>
        <w:ind w:left="708"/>
        <w:rPr>
          <w:rFonts w:ascii="Calibri" w:eastAsia="Times New Roman" w:hAnsi="Calibri" w:cs="Times New Roman"/>
          <w:color w:val="00000A"/>
          <w:sz w:val="16"/>
          <w:lang w:eastAsia="es-ES"/>
        </w:rPr>
      </w:pPr>
      <w:r>
        <w:rPr>
          <w:rFonts w:ascii="Calibri" w:eastAsia="Times New Roman" w:hAnsi="Calibri" w:cs="Times New Roman"/>
          <w:color w:val="00000A"/>
          <w:sz w:val="16"/>
          <w:lang w:eastAsia="es-ES"/>
        </w:rPr>
        <w:t>Pregnant women with iron and folic acid supplementation</w:t>
      </w:r>
    </w:p>
    <w:p w14:paraId="64B2EACE" w14:textId="77777777" w:rsidR="00E20C17" w:rsidRPr="00166509" w:rsidRDefault="00E20C17" w:rsidP="00E20C17">
      <w:pPr>
        <w:pBdr>
          <w:top w:val="single" w:sz="4" w:space="1" w:color="auto"/>
          <w:left w:val="single" w:sz="4" w:space="4" w:color="auto"/>
          <w:bottom w:val="single" w:sz="4" w:space="1" w:color="auto"/>
          <w:right w:val="single" w:sz="4" w:space="0" w:color="auto"/>
        </w:pBdr>
        <w:ind w:left="708"/>
        <w:rPr>
          <w:sz w:val="22"/>
          <w:szCs w:val="22"/>
        </w:rPr>
      </w:pPr>
      <w:r>
        <w:rPr>
          <w:rFonts w:ascii="Calibri" w:eastAsia="Times New Roman" w:hAnsi="Calibri" w:cs="Times New Roman"/>
          <w:color w:val="00000A"/>
          <w:sz w:val="16"/>
          <w:lang w:eastAsia="es-ES"/>
        </w:rPr>
        <w:t>Management of children with intestinal parasitosis</w:t>
      </w:r>
    </w:p>
    <w:p w14:paraId="00D9A676" w14:textId="3EE6C816" w:rsidR="00563996" w:rsidRDefault="00E20C17" w:rsidP="00E20C17">
      <w:pPr>
        <w:jc w:val="both"/>
        <w:rPr>
          <w:b/>
          <w:sz w:val="20"/>
          <w:szCs w:val="20"/>
        </w:rPr>
      </w:pPr>
      <w:r>
        <w:rPr>
          <w:b/>
          <w:sz w:val="20"/>
          <w:szCs w:val="20"/>
        </w:rPr>
        <w:t xml:space="preserve">             *Priority interventions.</w:t>
      </w:r>
    </w:p>
    <w:p w14:paraId="01599AF1" w14:textId="77777777" w:rsidR="00E9420C" w:rsidRDefault="00E9420C" w:rsidP="00E9420C">
      <w:pPr>
        <w:rPr>
          <w:lang w:val="en-GB"/>
        </w:rPr>
      </w:pPr>
    </w:p>
    <w:p w14:paraId="7DFCEA50" w14:textId="77777777" w:rsidR="003E709A" w:rsidRPr="003E709A" w:rsidRDefault="003E709A">
      <w:pPr>
        <w:rPr>
          <w:lang w:val="en-GB"/>
        </w:rPr>
      </w:pPr>
    </w:p>
    <w:sectPr w:rsidR="003E709A" w:rsidRPr="003E709A" w:rsidSect="00D63BB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765751"/>
    <w:multiLevelType w:val="hybridMultilevel"/>
    <w:tmpl w:val="4C5256B6"/>
    <w:lvl w:ilvl="0" w:tplc="F530D0EE">
      <w:start w:val="3"/>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09A"/>
    <w:rsid w:val="000D05FD"/>
    <w:rsid w:val="000D15BA"/>
    <w:rsid w:val="0016217D"/>
    <w:rsid w:val="00214ACB"/>
    <w:rsid w:val="003442ED"/>
    <w:rsid w:val="003A512D"/>
    <w:rsid w:val="003B3E14"/>
    <w:rsid w:val="003D7882"/>
    <w:rsid w:val="003E709A"/>
    <w:rsid w:val="004055AB"/>
    <w:rsid w:val="00487CBD"/>
    <w:rsid w:val="00563996"/>
    <w:rsid w:val="007C4BF4"/>
    <w:rsid w:val="007E51AC"/>
    <w:rsid w:val="00851B42"/>
    <w:rsid w:val="008B5E9B"/>
    <w:rsid w:val="00AE06D8"/>
    <w:rsid w:val="00AF76A1"/>
    <w:rsid w:val="00BC2F51"/>
    <w:rsid w:val="00D2653F"/>
    <w:rsid w:val="00D633BD"/>
    <w:rsid w:val="00D63BBD"/>
    <w:rsid w:val="00D839DD"/>
    <w:rsid w:val="00E02779"/>
    <w:rsid w:val="00E20C17"/>
    <w:rsid w:val="00E9092A"/>
    <w:rsid w:val="00E9420C"/>
    <w:rsid w:val="00FE6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A108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3996"/>
    <w:pPr>
      <w:autoSpaceDE w:val="0"/>
      <w:autoSpaceDN w:val="0"/>
      <w:adjustRightInd w:val="0"/>
    </w:pPr>
    <w:rPr>
      <w:rFonts w:ascii="Calibri" w:hAnsi="Calibri" w:cs="Calibri"/>
      <w:color w:val="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814</Words>
  <Characters>4646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Huicho</dc:creator>
  <cp:keywords/>
  <dc:description/>
  <cp:lastModifiedBy>Luis Huicho</cp:lastModifiedBy>
  <cp:revision>21</cp:revision>
  <dcterms:created xsi:type="dcterms:W3CDTF">2016-04-27T21:19:00Z</dcterms:created>
  <dcterms:modified xsi:type="dcterms:W3CDTF">2016-04-27T22:34:00Z</dcterms:modified>
</cp:coreProperties>
</file>