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00" w:rsidRDefault="001622AD">
      <w:pPr>
        <w:pStyle w:val="ParaAttribute0"/>
        <w:spacing w:line="276" w:lineRule="auto"/>
        <w:rPr>
          <w:rFonts w:ascii="Arial" w:eastAsia="Arial" w:hAnsi="Arial"/>
        </w:rPr>
      </w:pPr>
      <w:r>
        <w:rPr>
          <w:rStyle w:val="CharAttribute0"/>
          <w:rFonts w:eastAsia="Batang"/>
        </w:rPr>
        <w:t xml:space="preserve">Sustaining Our Investments in </w:t>
      </w:r>
      <w:proofErr w:type="spellStart"/>
      <w:r>
        <w:rPr>
          <w:rStyle w:val="CharAttribute0"/>
          <w:rFonts w:eastAsia="Batang"/>
        </w:rPr>
        <w:t>cStock</w:t>
      </w:r>
      <w:proofErr w:type="spellEnd"/>
      <w:r>
        <w:rPr>
          <w:rStyle w:val="CharAttribute0"/>
          <w:rFonts w:eastAsia="Batang"/>
        </w:rPr>
        <w:t>:</w:t>
      </w:r>
    </w:p>
    <w:p w:rsidR="003D2D00" w:rsidRDefault="001622AD">
      <w:pPr>
        <w:pStyle w:val="ParaAttribute0"/>
        <w:spacing w:line="276" w:lineRule="auto"/>
        <w:rPr>
          <w:rStyle w:val="CharAttribute1"/>
          <w:rFonts w:eastAsia="Batang"/>
        </w:rPr>
      </w:pPr>
      <w:r>
        <w:rPr>
          <w:rStyle w:val="CharAttribute1"/>
          <w:rFonts w:eastAsia="Batang"/>
        </w:rPr>
        <w:t>Sustaining Gains in Child Health</w:t>
      </w:r>
    </w:p>
    <w:p w:rsidR="00877026" w:rsidRPr="00877026" w:rsidRDefault="00877026">
      <w:pPr>
        <w:pStyle w:val="ParaAttribute0"/>
        <w:spacing w:line="276" w:lineRule="auto"/>
        <w:rPr>
          <w:rFonts w:ascii="Arial" w:eastAsia="Arial" w:hAnsi="Arial"/>
          <w:sz w:val="16"/>
        </w:rPr>
      </w:pPr>
      <w:r w:rsidRPr="00877026">
        <w:rPr>
          <w:rStyle w:val="CharAttribute1"/>
          <w:rFonts w:eastAsia="Batang"/>
          <w:sz w:val="16"/>
        </w:rPr>
        <w:t xml:space="preserve">By Mr </w:t>
      </w:r>
      <w:r>
        <w:rPr>
          <w:rStyle w:val="CharAttribute1"/>
          <w:rFonts w:eastAsia="Batang"/>
          <w:sz w:val="16"/>
        </w:rPr>
        <w:t xml:space="preserve">Humphreys </w:t>
      </w:r>
      <w:proofErr w:type="spellStart"/>
      <w:r w:rsidRPr="00877026">
        <w:rPr>
          <w:rStyle w:val="CharAttribute1"/>
          <w:rFonts w:eastAsia="Batang"/>
          <w:sz w:val="16"/>
        </w:rPr>
        <w:t>Nsona</w:t>
      </w:r>
      <w:proofErr w:type="spellEnd"/>
      <w:r w:rsidRPr="00877026">
        <w:rPr>
          <w:rStyle w:val="CharAttribute1"/>
          <w:rFonts w:eastAsia="Batang"/>
          <w:sz w:val="16"/>
        </w:rPr>
        <w:t xml:space="preserve">, Leslie </w:t>
      </w:r>
      <w:r>
        <w:rPr>
          <w:rStyle w:val="CharAttribute1"/>
          <w:rFonts w:eastAsia="Batang"/>
          <w:sz w:val="16"/>
        </w:rPr>
        <w:t>M</w:t>
      </w:r>
      <w:r w:rsidRPr="00877026">
        <w:rPr>
          <w:rStyle w:val="CharAttribute1"/>
          <w:rFonts w:eastAsia="Batang"/>
          <w:sz w:val="16"/>
        </w:rPr>
        <w:t>galula and Amos Misomali</w:t>
      </w:r>
    </w:p>
    <w:p w:rsidR="003D2D00" w:rsidRDefault="001622AD">
      <w:pPr>
        <w:pStyle w:val="ParaAttribute1"/>
        <w:spacing w:line="276" w:lineRule="auto"/>
        <w:rPr>
          <w:rFonts w:ascii="Arial" w:eastAsia="Arial" w:hAnsi="Arial"/>
        </w:rPr>
      </w:pPr>
      <w:r>
        <w:rPr>
          <w:rStyle w:val="CharAttribute2"/>
          <w:rFonts w:eastAsia="Batang"/>
        </w:rPr>
        <w:t>As a strategy to reduce child mortality, the Government of Malawi, in 2008, initiat</w:t>
      </w:r>
      <w:bookmarkStart w:id="0" w:name="_GoBack"/>
      <w:bookmarkEnd w:id="0"/>
      <w:r>
        <w:rPr>
          <w:rStyle w:val="CharAttribute2"/>
          <w:rFonts w:eastAsia="Batang"/>
        </w:rPr>
        <w:t xml:space="preserve">ed integrated community case management </w:t>
      </w:r>
      <w:proofErr w:type="spellStart"/>
      <w:r>
        <w:rPr>
          <w:rStyle w:val="CharAttribute2"/>
          <w:rFonts w:eastAsia="Batang"/>
        </w:rPr>
        <w:t>iCCM</w:t>
      </w:r>
      <w:proofErr w:type="spellEnd"/>
      <w:r>
        <w:rPr>
          <w:rStyle w:val="CharAttribute2"/>
          <w:rFonts w:eastAsia="Batang"/>
        </w:rPr>
        <w:t xml:space="preserve"> allowing health surveillance assistants (HSAs) to treat sick children in communities. Updated WHO guidelines were adapted and </w:t>
      </w:r>
      <w:proofErr w:type="spellStart"/>
      <w:r>
        <w:rPr>
          <w:rStyle w:val="CharAttribute2"/>
          <w:rFonts w:eastAsia="Batang"/>
        </w:rPr>
        <w:t>iCCM</w:t>
      </w:r>
      <w:proofErr w:type="spellEnd"/>
      <w:r>
        <w:rPr>
          <w:rStyle w:val="CharAttribute2"/>
          <w:rFonts w:eastAsia="Batang"/>
        </w:rPr>
        <w:t xml:space="preserve"> was implemented in all the 28 districts.</w:t>
      </w:r>
    </w:p>
    <w:p w:rsidR="003D2D00" w:rsidRPr="00906632" w:rsidRDefault="001622AD">
      <w:pPr>
        <w:pStyle w:val="ParaAttribute2"/>
        <w:spacing w:line="255" w:lineRule="atLeast"/>
        <w:rPr>
          <w:rFonts w:ascii="Arial"/>
        </w:rPr>
      </w:pPr>
      <w:r>
        <w:rPr>
          <w:rStyle w:val="CharAttribute2"/>
          <w:rFonts w:eastAsia="Batang"/>
        </w:rPr>
        <w:t xml:space="preserve">Malawi however, faces health infrastructure challenges, including weak supply chain </w:t>
      </w:r>
      <w:r w:rsidR="00E7111B">
        <w:rPr>
          <w:rStyle w:val="CharAttribute2"/>
          <w:rFonts w:eastAsia="Batang"/>
        </w:rPr>
        <w:t xml:space="preserve">management </w:t>
      </w:r>
      <w:r>
        <w:rPr>
          <w:rStyle w:val="CharAttribute2"/>
          <w:rFonts w:eastAsia="Batang"/>
        </w:rPr>
        <w:t xml:space="preserve">systems leading to low product availability. A baseline assessment conducted in 2010 identified data visibility, transport and motivation of HSAs as challenges to continuous product availability. The JSI supported Improving Supply Chains for Community Case Management (SC4CCM) Project designed a </w:t>
      </w:r>
      <w:proofErr w:type="spellStart"/>
      <w:r>
        <w:rPr>
          <w:rStyle w:val="CharAttribute2"/>
          <w:rFonts w:eastAsia="Batang"/>
        </w:rPr>
        <w:t>mHealth</w:t>
      </w:r>
      <w:proofErr w:type="spellEnd"/>
      <w:r>
        <w:rPr>
          <w:rStyle w:val="CharAttribute2"/>
          <w:rFonts w:eastAsia="Batang"/>
        </w:rPr>
        <w:t xml:space="preserve"> tool as part of two interventions to address these challenges. This mobile health (</w:t>
      </w:r>
      <w:proofErr w:type="spellStart"/>
      <w:r>
        <w:rPr>
          <w:rStyle w:val="CharAttribute2"/>
          <w:rFonts w:eastAsia="Batang"/>
        </w:rPr>
        <w:t>mHealth</w:t>
      </w:r>
      <w:proofErr w:type="spellEnd"/>
      <w:r>
        <w:rPr>
          <w:rStyle w:val="CharAttribute2"/>
          <w:rFonts w:eastAsia="Batang"/>
        </w:rPr>
        <w:t xml:space="preserve">) technology - </w:t>
      </w:r>
      <w:proofErr w:type="spellStart"/>
      <w:r>
        <w:rPr>
          <w:rStyle w:val="CharAttribute3"/>
          <w:rFonts w:eastAsia="Batang"/>
        </w:rPr>
        <w:t>cStock</w:t>
      </w:r>
      <w:proofErr w:type="spellEnd"/>
      <w:r>
        <w:rPr>
          <w:rStyle w:val="CharAttribute2"/>
          <w:rFonts w:eastAsia="Batang"/>
        </w:rPr>
        <w:t>, for reporting on community stock data - was designed and implemented as an integral component of the Enhanced Management (EM) and Efficient Product Transport (EPT) interventions.</w:t>
      </w:r>
    </w:p>
    <w:p w:rsidR="003D2D00" w:rsidRDefault="001622AD">
      <w:pPr>
        <w:pStyle w:val="ParaAttribute2"/>
        <w:spacing w:line="255" w:lineRule="atLeast"/>
        <w:rPr>
          <w:rFonts w:ascii="Arial" w:eastAsia="Arial" w:hAnsi="Arial"/>
        </w:rPr>
      </w:pPr>
      <w:r>
        <w:rPr>
          <w:rStyle w:val="CharAttribute2"/>
          <w:rFonts w:eastAsia="Batang"/>
        </w:rPr>
        <w:t xml:space="preserve">During the first year of piloting in 6 districts, partners received regular feedback on the progress and achievements in all the 6 districts. The </w:t>
      </w:r>
      <w:proofErr w:type="spellStart"/>
      <w:r>
        <w:rPr>
          <w:rStyle w:val="CharAttribute2"/>
          <w:rFonts w:eastAsia="Batang"/>
        </w:rPr>
        <w:t>cStock</w:t>
      </w:r>
      <w:proofErr w:type="spellEnd"/>
      <w:r>
        <w:rPr>
          <w:rStyle w:val="CharAttribute2"/>
          <w:rFonts w:eastAsia="Batang"/>
        </w:rPr>
        <w:t xml:space="preserve"> initiative generated significant interest among MOH and </w:t>
      </w:r>
      <w:proofErr w:type="spellStart"/>
      <w:r>
        <w:rPr>
          <w:rStyle w:val="CharAttribute2"/>
          <w:rFonts w:eastAsia="Batang"/>
        </w:rPr>
        <w:t>iCCM</w:t>
      </w:r>
      <w:proofErr w:type="spellEnd"/>
      <w:r>
        <w:rPr>
          <w:rStyle w:val="CharAttribute2"/>
          <w:rFonts w:eastAsia="Batang"/>
        </w:rPr>
        <w:t xml:space="preserve"> partners as a very promising solution to the long standing product availability problem. Recognizing the significant role that </w:t>
      </w:r>
      <w:proofErr w:type="spellStart"/>
      <w:r>
        <w:rPr>
          <w:rStyle w:val="CharAttribute2"/>
          <w:rFonts w:eastAsia="Batang"/>
        </w:rPr>
        <w:t>cStock</w:t>
      </w:r>
      <w:proofErr w:type="spellEnd"/>
      <w:r>
        <w:rPr>
          <w:rStyle w:val="CharAttribute2"/>
          <w:rFonts w:eastAsia="Batang"/>
        </w:rPr>
        <w:t xml:space="preserve"> played in enhancing product data visibility by all players and promoting proactive managerial oversight/action in addressing product stock outs for all community level managed health programs, WHO through the Partnership for Maternal </w:t>
      </w:r>
      <w:proofErr w:type="spellStart"/>
      <w:r>
        <w:rPr>
          <w:rStyle w:val="CharAttribute2"/>
          <w:rFonts w:eastAsia="Batang"/>
        </w:rPr>
        <w:t>Newborn</w:t>
      </w:r>
      <w:proofErr w:type="spellEnd"/>
      <w:r>
        <w:rPr>
          <w:rStyle w:val="CharAttribute2"/>
          <w:rFonts w:eastAsia="Batang"/>
        </w:rPr>
        <w:t xml:space="preserve"> and Child Health advocated for the accelerated roll out of </w:t>
      </w:r>
      <w:proofErr w:type="spellStart"/>
      <w:r>
        <w:rPr>
          <w:rStyle w:val="CharAttribute2"/>
          <w:rFonts w:eastAsia="Batang"/>
        </w:rPr>
        <w:t>cStock</w:t>
      </w:r>
      <w:proofErr w:type="spellEnd"/>
      <w:r>
        <w:rPr>
          <w:rStyle w:val="CharAttribute2"/>
          <w:rFonts w:eastAsia="Batang"/>
        </w:rPr>
        <w:t xml:space="preserve"> in the country. </w:t>
      </w:r>
    </w:p>
    <w:p w:rsidR="003D2D00" w:rsidRDefault="001622AD">
      <w:pPr>
        <w:pStyle w:val="ParaAttribute2"/>
        <w:spacing w:line="255" w:lineRule="atLeast"/>
        <w:rPr>
          <w:rFonts w:ascii="Arial" w:eastAsia="Arial" w:hAnsi="Arial"/>
        </w:rPr>
      </w:pPr>
      <w:r>
        <w:rPr>
          <w:rStyle w:val="CharAttribute2"/>
          <w:rFonts w:eastAsia="Batang"/>
        </w:rPr>
        <w:t xml:space="preserve">In November 2012 the Ministry of Health (MOH) convened a meeting with various partner institutions supporting community level managed health programs, including other relevant managers for MOH health programs. The goal of the meeting was to facilitate the formation of a sub-committee that would support the Ministry in planning and managing the scale up of </w:t>
      </w:r>
      <w:proofErr w:type="spellStart"/>
      <w:r>
        <w:rPr>
          <w:rStyle w:val="CharAttribute2"/>
          <w:rFonts w:eastAsia="Batang"/>
        </w:rPr>
        <w:t>cStock</w:t>
      </w:r>
      <w:proofErr w:type="spellEnd"/>
      <w:r>
        <w:rPr>
          <w:rStyle w:val="CharAttribute2"/>
          <w:rFonts w:eastAsia="Batang"/>
        </w:rPr>
        <w:t xml:space="preserve"> from the project coverage of 6 districts (</w:t>
      </w:r>
      <w:proofErr w:type="spellStart"/>
      <w:r>
        <w:rPr>
          <w:rStyle w:val="CharAttribute5"/>
          <w:rFonts w:eastAsia="Batang"/>
        </w:rPr>
        <w:t>Dedza</w:t>
      </w:r>
      <w:proofErr w:type="spellEnd"/>
      <w:r>
        <w:rPr>
          <w:rStyle w:val="CharAttribute5"/>
          <w:rFonts w:eastAsia="Batang"/>
        </w:rPr>
        <w:t xml:space="preserve">, Lilongwe, </w:t>
      </w:r>
      <w:proofErr w:type="spellStart"/>
      <w:r>
        <w:rPr>
          <w:rStyle w:val="CharAttribute2"/>
          <w:rFonts w:eastAsia="Batang"/>
        </w:rPr>
        <w:t>Nkhatabay</w:t>
      </w:r>
      <w:proofErr w:type="spellEnd"/>
      <w:r>
        <w:rPr>
          <w:rStyle w:val="CharAttribute2"/>
          <w:rFonts w:eastAsia="Batang"/>
        </w:rPr>
        <w:t xml:space="preserve">, </w:t>
      </w:r>
      <w:proofErr w:type="spellStart"/>
      <w:r>
        <w:rPr>
          <w:rStyle w:val="CharAttribute2"/>
          <w:rFonts w:eastAsia="Batang"/>
        </w:rPr>
        <w:t>Nkhotakota</w:t>
      </w:r>
      <w:proofErr w:type="spellEnd"/>
      <w:r>
        <w:rPr>
          <w:rStyle w:val="CharAttribute2"/>
          <w:rFonts w:eastAsia="Batang"/>
        </w:rPr>
        <w:t xml:space="preserve">, </w:t>
      </w:r>
      <w:proofErr w:type="spellStart"/>
      <w:r>
        <w:rPr>
          <w:rStyle w:val="CharAttribute2"/>
          <w:rFonts w:eastAsia="Batang"/>
        </w:rPr>
        <w:t>Kasungu</w:t>
      </w:r>
      <w:proofErr w:type="spellEnd"/>
      <w:r>
        <w:rPr>
          <w:rStyle w:val="CharAttribute2"/>
          <w:rFonts w:eastAsia="Batang"/>
        </w:rPr>
        <w:t xml:space="preserve">, </w:t>
      </w:r>
      <w:proofErr w:type="spellStart"/>
      <w:r>
        <w:rPr>
          <w:rStyle w:val="CharAttribute2"/>
          <w:rFonts w:eastAsia="Batang"/>
        </w:rPr>
        <w:t>Machinga</w:t>
      </w:r>
      <w:proofErr w:type="spellEnd"/>
      <w:r>
        <w:rPr>
          <w:rStyle w:val="CharAttribute2"/>
          <w:rFonts w:eastAsia="Batang"/>
        </w:rPr>
        <w:t xml:space="preserve">, </w:t>
      </w:r>
      <w:proofErr w:type="spellStart"/>
      <w:r>
        <w:rPr>
          <w:rStyle w:val="CharAttribute2"/>
          <w:rFonts w:eastAsia="Batang"/>
        </w:rPr>
        <w:t>Mulanje</w:t>
      </w:r>
      <w:proofErr w:type="spellEnd"/>
      <w:r>
        <w:rPr>
          <w:rStyle w:val="CharAttribute2"/>
          <w:rFonts w:eastAsia="Batang"/>
        </w:rPr>
        <w:t xml:space="preserve"> and </w:t>
      </w:r>
      <w:proofErr w:type="spellStart"/>
      <w:r>
        <w:rPr>
          <w:rStyle w:val="CharAttribute2"/>
          <w:rFonts w:eastAsia="Batang"/>
        </w:rPr>
        <w:t>Nsanje</w:t>
      </w:r>
      <w:proofErr w:type="spellEnd"/>
      <w:r>
        <w:rPr>
          <w:rStyle w:val="CharAttribute2"/>
          <w:rFonts w:eastAsia="Batang"/>
        </w:rPr>
        <w:t xml:space="preserve">) to all remaining districts and to help guide institutionalization of ownership and management of </w:t>
      </w:r>
      <w:proofErr w:type="spellStart"/>
      <w:r>
        <w:rPr>
          <w:rStyle w:val="CharAttribute2"/>
          <w:rFonts w:eastAsia="Batang"/>
        </w:rPr>
        <w:t>cStock</w:t>
      </w:r>
      <w:proofErr w:type="spellEnd"/>
      <w:r>
        <w:rPr>
          <w:rStyle w:val="CharAttribute2"/>
          <w:rFonts w:eastAsia="Batang"/>
        </w:rPr>
        <w:t xml:space="preserve"> from SC4CCM Project to the Ministry of Health. </w:t>
      </w:r>
    </w:p>
    <w:p w:rsidR="003D2D00" w:rsidRDefault="001622AD">
      <w:pPr>
        <w:pStyle w:val="ParaAttribute2"/>
        <w:spacing w:line="255" w:lineRule="atLeast"/>
        <w:rPr>
          <w:rFonts w:ascii="Arial" w:eastAsia="Arial" w:hAnsi="Arial"/>
        </w:rPr>
      </w:pPr>
      <w:r>
        <w:rPr>
          <w:rStyle w:val="CharAttribute2"/>
          <w:rFonts w:eastAsia="Batang"/>
        </w:rPr>
        <w:t xml:space="preserve">In order to achieve the rapid scale up, WHO through the PMNCH supported the target priority districts to include the following activities in planning for scale-up and supporting institutionalization of </w:t>
      </w:r>
      <w:proofErr w:type="spellStart"/>
      <w:r>
        <w:rPr>
          <w:rStyle w:val="CharAttribute2"/>
          <w:rFonts w:eastAsia="Batang"/>
        </w:rPr>
        <w:t>cStock</w:t>
      </w:r>
      <w:proofErr w:type="spellEnd"/>
      <w:r>
        <w:rPr>
          <w:rStyle w:val="CharAttribute2"/>
          <w:rFonts w:eastAsia="Batang"/>
        </w:rPr>
        <w:t xml:space="preserve"> within the </w:t>
      </w:r>
      <w:proofErr w:type="gramStart"/>
      <w:r>
        <w:rPr>
          <w:rStyle w:val="CharAttribute2"/>
          <w:rFonts w:eastAsia="Batang"/>
        </w:rPr>
        <w:t>MOH:</w:t>
      </w:r>
      <w:proofErr w:type="gramEnd"/>
    </w:p>
    <w:p w:rsidR="00445AE0" w:rsidRDefault="001622AD" w:rsidP="00906632">
      <w:pPr>
        <w:pStyle w:val="CommentText"/>
        <w:numPr>
          <w:ilvl w:val="0"/>
          <w:numId w:val="1"/>
        </w:numPr>
      </w:pPr>
      <w:r>
        <w:rPr>
          <w:rStyle w:val="CharAttribute5"/>
          <w:rFonts w:eastAsia="Batang"/>
        </w:rPr>
        <w:t xml:space="preserve">Training of trainers (TOT) in districts where </w:t>
      </w:r>
      <w:proofErr w:type="spellStart"/>
      <w:r>
        <w:rPr>
          <w:rStyle w:val="CharAttribute5"/>
          <w:rFonts w:eastAsia="Batang"/>
        </w:rPr>
        <w:t>cStock</w:t>
      </w:r>
      <w:proofErr w:type="spellEnd"/>
      <w:r>
        <w:rPr>
          <w:rStyle w:val="CharAttribute5"/>
          <w:rFonts w:eastAsia="Batang"/>
        </w:rPr>
        <w:t xml:space="preserve"> and Enhanced Management intervention scale up was to be implemented</w:t>
      </w:r>
      <w:r>
        <w:rPr>
          <w:rStyle w:val="CharAttribute2"/>
          <w:rFonts w:eastAsia="Batang"/>
        </w:rPr>
        <w:t xml:space="preserve">. </w:t>
      </w:r>
      <w:r w:rsidR="00445AE0" w:rsidRPr="001E429B">
        <w:rPr>
          <w:rFonts w:hint="eastAsia"/>
          <w:i/>
        </w:rPr>
        <w:t>Participants were district based MOH staff to promote long term ownership and sustained support to the interventions right at implementation level;</w:t>
      </w:r>
    </w:p>
    <w:p w:rsidR="003D2D00" w:rsidRDefault="003D2D00">
      <w:pPr>
        <w:pStyle w:val="ListParagraph"/>
        <w:numPr>
          <w:ilvl w:val="0"/>
          <w:numId w:val="1"/>
        </w:numPr>
        <w:shd w:val="solid" w:color="FFFFFF" w:fill="auto"/>
        <w:spacing w:after="120" w:line="255" w:lineRule="atLeast"/>
        <w:jc w:val="left"/>
      </w:pPr>
    </w:p>
    <w:p w:rsidR="00445AE0" w:rsidRPr="001E429B" w:rsidRDefault="001622AD" w:rsidP="00906632">
      <w:pPr>
        <w:pStyle w:val="CommentText"/>
        <w:numPr>
          <w:ilvl w:val="0"/>
          <w:numId w:val="1"/>
        </w:numPr>
        <w:rPr>
          <w:i/>
        </w:rPr>
      </w:pPr>
      <w:r>
        <w:rPr>
          <w:rStyle w:val="CharAttribute2"/>
          <w:rFonts w:eastAsia="Batang"/>
        </w:rPr>
        <w:t xml:space="preserve">Training of health facilities </w:t>
      </w:r>
      <w:proofErr w:type="spellStart"/>
      <w:r>
        <w:rPr>
          <w:rStyle w:val="CharAttribute2"/>
          <w:rFonts w:eastAsia="Batang"/>
        </w:rPr>
        <w:t>staff,HSAs</w:t>
      </w:r>
      <w:proofErr w:type="spellEnd"/>
      <w:r>
        <w:rPr>
          <w:rStyle w:val="CharAttribute2"/>
          <w:rFonts w:eastAsia="Batang"/>
        </w:rPr>
        <w:t>, and district teams;</w:t>
      </w:r>
      <w:r w:rsidR="00445AE0">
        <w:rPr>
          <w:rStyle w:val="CharAttribute2"/>
          <w:rFonts w:eastAsia="Batang"/>
        </w:rPr>
        <w:t xml:space="preserve"> </w:t>
      </w:r>
      <w:r w:rsidR="00445AE0" w:rsidRPr="001E429B">
        <w:rPr>
          <w:rFonts w:hint="eastAsia"/>
          <w:i/>
        </w:rPr>
        <w:t xml:space="preserve">Scale up trainings included 1) creating shared vision around maintaining adequate supplies at district level; 2) creating district teams and champions to drive intervention adoption and promote district-level ownership; provide supportive supervision, and sustained management of </w:t>
      </w:r>
      <w:proofErr w:type="spellStart"/>
      <w:r w:rsidR="00445AE0" w:rsidRPr="001E429B">
        <w:rPr>
          <w:rFonts w:hint="eastAsia"/>
          <w:i/>
        </w:rPr>
        <w:t>cStock</w:t>
      </w:r>
      <w:proofErr w:type="spellEnd"/>
      <w:r w:rsidR="00445AE0" w:rsidRPr="001E429B">
        <w:rPr>
          <w:rFonts w:hint="eastAsia"/>
          <w:i/>
        </w:rPr>
        <w:t xml:space="preserve">/Enhanced Management intervention; including  promoting proactive and regular use of </w:t>
      </w:r>
      <w:proofErr w:type="spellStart"/>
      <w:r w:rsidR="00445AE0" w:rsidRPr="001E429B">
        <w:rPr>
          <w:rFonts w:hint="eastAsia"/>
          <w:i/>
        </w:rPr>
        <w:t>cStock</w:t>
      </w:r>
      <w:proofErr w:type="spellEnd"/>
      <w:r w:rsidR="00445AE0" w:rsidRPr="001E429B">
        <w:rPr>
          <w:rFonts w:hint="eastAsia"/>
          <w:i/>
        </w:rPr>
        <w:t xml:space="preserve"> data to solve supply chain problems and improve supply chain performance in their districts</w:t>
      </w:r>
    </w:p>
    <w:p w:rsidR="003D2D00" w:rsidRDefault="003D2D00" w:rsidP="001E429B">
      <w:pPr>
        <w:pStyle w:val="ListParagraph"/>
        <w:shd w:val="solid" w:color="FFFFFF" w:fill="auto"/>
        <w:spacing w:after="120" w:line="255" w:lineRule="atLeast"/>
        <w:ind w:left="720"/>
        <w:jc w:val="left"/>
      </w:pPr>
    </w:p>
    <w:p w:rsidR="003D2D00" w:rsidRDefault="001622AD">
      <w:pPr>
        <w:pStyle w:val="ListParagraph"/>
        <w:numPr>
          <w:ilvl w:val="0"/>
          <w:numId w:val="1"/>
        </w:numPr>
        <w:shd w:val="solid" w:color="FFFFFF" w:fill="auto"/>
        <w:spacing w:after="120" w:line="255" w:lineRule="atLeast"/>
        <w:jc w:val="left"/>
      </w:pPr>
      <w:r>
        <w:rPr>
          <w:rStyle w:val="CharAttribute2"/>
          <w:rFonts w:eastAsia="Batang"/>
        </w:rPr>
        <w:t>Production of training materials;</w:t>
      </w:r>
    </w:p>
    <w:p w:rsidR="003D2D00" w:rsidRDefault="001622AD">
      <w:pPr>
        <w:pStyle w:val="ListParagraph"/>
        <w:numPr>
          <w:ilvl w:val="0"/>
          <w:numId w:val="1"/>
        </w:numPr>
        <w:shd w:val="solid" w:color="FFFFFF" w:fill="auto"/>
        <w:spacing w:after="120" w:line="255" w:lineRule="atLeast"/>
        <w:jc w:val="left"/>
      </w:pPr>
      <w:r>
        <w:rPr>
          <w:rStyle w:val="CharAttribute5"/>
          <w:rFonts w:eastAsia="Batang"/>
        </w:rPr>
        <w:t xml:space="preserve">Scale up of </w:t>
      </w:r>
      <w:proofErr w:type="spellStart"/>
      <w:r>
        <w:rPr>
          <w:rStyle w:val="CharAttribute5"/>
          <w:rFonts w:eastAsia="Batang"/>
        </w:rPr>
        <w:t>cStock</w:t>
      </w:r>
      <w:proofErr w:type="spellEnd"/>
      <w:r>
        <w:rPr>
          <w:rStyle w:val="CharAttribute5"/>
          <w:rFonts w:eastAsia="Batang"/>
        </w:rPr>
        <w:t>/Enhanced Management intervention to 10 additional districts</w:t>
      </w:r>
      <w:r>
        <w:rPr>
          <w:rStyle w:val="CharAttribute2"/>
          <w:rFonts w:eastAsia="Batang"/>
        </w:rPr>
        <w:t>.</w:t>
      </w:r>
    </w:p>
    <w:p w:rsidR="003D2D00" w:rsidRDefault="001622AD">
      <w:pPr>
        <w:pStyle w:val="ParaAttribute2"/>
        <w:spacing w:line="255" w:lineRule="atLeast"/>
        <w:rPr>
          <w:rFonts w:ascii="Arial" w:eastAsia="Arial" w:hAnsi="Arial"/>
        </w:rPr>
      </w:pPr>
      <w:r>
        <w:rPr>
          <w:rStyle w:val="CharAttribute2"/>
          <w:rFonts w:eastAsia="Batang"/>
        </w:rPr>
        <w:lastRenderedPageBreak/>
        <w:t xml:space="preserve">Thereafter, within a period of 12 months WHO had supported </w:t>
      </w:r>
      <w:proofErr w:type="spellStart"/>
      <w:r>
        <w:rPr>
          <w:rStyle w:val="CharAttribute2"/>
          <w:rFonts w:eastAsia="Batang"/>
        </w:rPr>
        <w:t>cStock</w:t>
      </w:r>
      <w:proofErr w:type="spellEnd"/>
      <w:r>
        <w:rPr>
          <w:rStyle w:val="CharAttribute2"/>
          <w:rFonts w:eastAsia="Batang"/>
        </w:rPr>
        <w:t xml:space="preserve"> scale up to 10 districts.</w:t>
      </w:r>
    </w:p>
    <w:p w:rsidR="003D2D00" w:rsidRDefault="003D2D00">
      <w:pPr>
        <w:pStyle w:val="ParaAttribute2"/>
        <w:spacing w:line="255" w:lineRule="atLeast"/>
        <w:rPr>
          <w:rFonts w:ascii="Arial" w:eastAsia="Arial" w:hAnsi="Arial"/>
        </w:rPr>
      </w:pPr>
    </w:p>
    <w:p w:rsidR="003D2D00" w:rsidRDefault="001622AD">
      <w:pPr>
        <w:pStyle w:val="ParaAttribute2"/>
        <w:spacing w:line="255" w:lineRule="atLeast"/>
        <w:rPr>
          <w:rFonts w:ascii="Arial" w:eastAsia="Arial" w:hAnsi="Arial"/>
        </w:rPr>
      </w:pPr>
      <w:r>
        <w:rPr>
          <w:rStyle w:val="CharAttribute9"/>
          <w:rFonts w:eastAsia="Batang"/>
        </w:rPr>
        <w:t>Achievements:</w:t>
      </w:r>
    </w:p>
    <w:p w:rsidR="003D2D00" w:rsidRDefault="001622AD">
      <w:pPr>
        <w:pStyle w:val="ListParagraph"/>
        <w:numPr>
          <w:ilvl w:val="0"/>
          <w:numId w:val="2"/>
        </w:numPr>
        <w:shd w:val="solid" w:color="FFFFFF" w:fill="auto"/>
        <w:spacing w:after="120" w:line="255" w:lineRule="atLeast"/>
        <w:jc w:val="left"/>
      </w:pPr>
      <w:r>
        <w:rPr>
          <w:rStyle w:val="CharAttribute2"/>
          <w:rFonts w:eastAsia="Batang"/>
        </w:rPr>
        <w:t>Availability of 6 tracer products significantly improved from 22% to 66%</w:t>
      </w:r>
      <w:proofErr w:type="gramStart"/>
      <w:r>
        <w:rPr>
          <w:rStyle w:val="CharAttribute2"/>
          <w:rFonts w:eastAsia="Batang"/>
        </w:rPr>
        <w:t>;.</w:t>
      </w:r>
      <w:proofErr w:type="gramEnd"/>
      <w:r>
        <w:rPr>
          <w:rStyle w:val="CharAttribute2"/>
          <w:rFonts w:eastAsia="Batang"/>
        </w:rPr>
        <w:t xml:space="preserve"> </w:t>
      </w:r>
    </w:p>
    <w:p w:rsidR="003D2D00" w:rsidRDefault="001622AD">
      <w:pPr>
        <w:pStyle w:val="ListParagraph"/>
        <w:numPr>
          <w:ilvl w:val="0"/>
          <w:numId w:val="2"/>
        </w:numPr>
        <w:shd w:val="solid" w:color="FFFFFF" w:fill="auto"/>
        <w:spacing w:after="120" w:line="255" w:lineRule="atLeast"/>
        <w:jc w:val="left"/>
      </w:pPr>
      <w:r>
        <w:rPr>
          <w:rStyle w:val="CharAttribute2"/>
          <w:rFonts w:eastAsia="Batang"/>
        </w:rPr>
        <w:t>Mean stock reporting improved significantly to 90%;</w:t>
      </w:r>
    </w:p>
    <w:p w:rsidR="003D2D00" w:rsidRDefault="001622AD">
      <w:pPr>
        <w:pStyle w:val="ListParagraph"/>
        <w:numPr>
          <w:ilvl w:val="0"/>
          <w:numId w:val="2"/>
        </w:numPr>
        <w:shd w:val="solid" w:color="FFFFFF" w:fill="auto"/>
        <w:spacing w:after="120" w:line="255" w:lineRule="atLeast"/>
        <w:jc w:val="left"/>
      </w:pPr>
      <w:r>
        <w:rPr>
          <w:rStyle w:val="CharAttribute2"/>
          <w:rFonts w:eastAsia="Batang"/>
        </w:rPr>
        <w:t>Lead time for HSA product resupply reduced significantly to about 10 days;</w:t>
      </w:r>
    </w:p>
    <w:p w:rsidR="003D2D00" w:rsidRDefault="001622AD">
      <w:pPr>
        <w:pStyle w:val="ListParagraph"/>
        <w:numPr>
          <w:ilvl w:val="0"/>
          <w:numId w:val="2"/>
        </w:numPr>
        <w:shd w:val="solid" w:color="FFFFFF" w:fill="auto"/>
        <w:spacing w:after="120" w:line="255" w:lineRule="atLeast"/>
        <w:jc w:val="left"/>
      </w:pPr>
      <w:r>
        <w:rPr>
          <w:rStyle w:val="CharAttribute2"/>
          <w:rFonts w:eastAsia="Batang"/>
        </w:rPr>
        <w:t>Mean stock out rate was much lower</w:t>
      </w:r>
      <w:r w:rsidR="00445AE0">
        <w:rPr>
          <w:rStyle w:val="CharAttribute2"/>
          <w:rFonts w:eastAsia="Batang"/>
        </w:rPr>
        <w:t xml:space="preserve"> down to about 20%</w:t>
      </w:r>
    </w:p>
    <w:p w:rsidR="00445AE0" w:rsidRDefault="001622AD" w:rsidP="00906632">
      <w:pPr>
        <w:pStyle w:val="CommentText"/>
        <w:numPr>
          <w:ilvl w:val="0"/>
          <w:numId w:val="2"/>
        </w:numPr>
      </w:pPr>
      <w:r>
        <w:rPr>
          <w:rStyle w:val="CharAttribute5"/>
          <w:rFonts w:eastAsia="Batang"/>
        </w:rPr>
        <w:t>Real-time visibility into stock situation at national, district, facility, and HSA levels;</w:t>
      </w:r>
      <w:r w:rsidR="00445AE0">
        <w:rPr>
          <w:rStyle w:val="CharAttribute5"/>
          <w:rFonts w:eastAsia="Batang"/>
        </w:rPr>
        <w:t xml:space="preserve"> </w:t>
      </w:r>
      <w:r w:rsidR="00445AE0" w:rsidRPr="001E429B">
        <w:rPr>
          <w:rFonts w:hint="eastAsia"/>
          <w:i/>
        </w:rPr>
        <w:t xml:space="preserve">For the first time, MOH and </w:t>
      </w:r>
      <w:proofErr w:type="spellStart"/>
      <w:r w:rsidR="00445AE0" w:rsidRPr="001E429B">
        <w:rPr>
          <w:rFonts w:hint="eastAsia"/>
          <w:i/>
        </w:rPr>
        <w:t>iCCM</w:t>
      </w:r>
      <w:proofErr w:type="spellEnd"/>
      <w:r w:rsidR="00445AE0" w:rsidRPr="001E429B">
        <w:rPr>
          <w:rFonts w:hint="eastAsia"/>
          <w:i/>
        </w:rPr>
        <w:t xml:space="preserve"> partners in Malawi had real-time visibility into stock situation at national, district, facility, and HSA levels for community managed health products;</w:t>
      </w:r>
    </w:p>
    <w:p w:rsidR="003D2D00" w:rsidRDefault="003D2D00" w:rsidP="001E429B">
      <w:pPr>
        <w:pStyle w:val="ListParagraph"/>
        <w:shd w:val="solid" w:color="FFFFFF" w:fill="auto"/>
        <w:spacing w:after="120" w:line="255" w:lineRule="atLeast"/>
        <w:ind w:left="720"/>
        <w:jc w:val="left"/>
      </w:pPr>
    </w:p>
    <w:p w:rsidR="00906632" w:rsidRPr="00877026" w:rsidRDefault="00877026" w:rsidP="00906632">
      <w:pPr>
        <w:pStyle w:val="CommentText"/>
        <w:numPr>
          <w:ilvl w:val="0"/>
          <w:numId w:val="2"/>
        </w:numPr>
        <w:rPr>
          <w:i/>
        </w:rPr>
      </w:pPr>
      <w:r w:rsidRPr="00877026">
        <w:rPr>
          <w:rStyle w:val="CharAttribute5"/>
          <w:rFonts w:eastAsia="Batang"/>
        </w:rPr>
        <w:t>Data visibility and direct performance comparison drove up supply chain performance and product availability</w:t>
      </w:r>
      <w:r w:rsidRPr="00877026">
        <w:rPr>
          <w:rFonts w:hint="eastAsia"/>
          <w:b/>
        </w:rPr>
        <w:t xml:space="preserve"> </w:t>
      </w:r>
      <w:r w:rsidR="00906632" w:rsidRPr="00877026">
        <w:rPr>
          <w:rFonts w:hint="eastAsia"/>
          <w:i/>
        </w:rPr>
        <w:t xml:space="preserve">Improved data visibility and the direct performance comparison approach that is possible with </w:t>
      </w:r>
      <w:proofErr w:type="spellStart"/>
      <w:r w:rsidR="00906632" w:rsidRPr="00877026">
        <w:rPr>
          <w:rFonts w:hint="eastAsia"/>
          <w:i/>
        </w:rPr>
        <w:t>cStock</w:t>
      </w:r>
      <w:proofErr w:type="spellEnd"/>
      <w:r w:rsidR="00906632" w:rsidRPr="00877026">
        <w:rPr>
          <w:rFonts w:hint="eastAsia"/>
          <w:i/>
        </w:rPr>
        <w:t xml:space="preserve"> across HSAs (per facility); across facilities (per district); and across districts (for national level dashboard) greatly exposed system weak point areas /players and that helped promote positive competition which drove up overall supply chain performance and product availability (best performers were being recognized in a transparent way to promote superior performance)</w:t>
      </w:r>
    </w:p>
    <w:p w:rsidR="00906632" w:rsidRPr="00906632" w:rsidRDefault="00906632" w:rsidP="001E429B">
      <w:pPr>
        <w:pStyle w:val="ListParagraph"/>
        <w:shd w:val="solid" w:color="FFFFFF" w:fill="auto"/>
        <w:spacing w:after="120" w:line="255" w:lineRule="atLeast"/>
        <w:ind w:left="720"/>
        <w:jc w:val="left"/>
        <w:rPr>
          <w:rStyle w:val="CharAttribute5"/>
          <w:rFonts w:ascii="Batang" w:eastAsia="Batang"/>
        </w:rPr>
      </w:pPr>
    </w:p>
    <w:p w:rsidR="003D2D00" w:rsidRDefault="003D2D00" w:rsidP="00877026">
      <w:pPr>
        <w:pStyle w:val="ListParagraph"/>
        <w:shd w:val="solid" w:color="FFFFFF" w:fill="auto"/>
        <w:spacing w:after="120" w:line="255" w:lineRule="atLeast"/>
        <w:ind w:left="720"/>
        <w:jc w:val="left"/>
      </w:pPr>
    </w:p>
    <w:p w:rsidR="003D2D00" w:rsidRDefault="001622AD">
      <w:pPr>
        <w:pStyle w:val="ParaAttribute2"/>
        <w:spacing w:line="255" w:lineRule="atLeast"/>
        <w:rPr>
          <w:rFonts w:ascii="Arial" w:eastAsia="Arial" w:hAnsi="Arial"/>
        </w:rPr>
      </w:pPr>
      <w:r>
        <w:rPr>
          <w:rStyle w:val="CharAttribute2"/>
          <w:rFonts w:eastAsia="Batang"/>
        </w:rPr>
        <w:t xml:space="preserve">Results above clearly demonstrate that </w:t>
      </w:r>
      <w:proofErr w:type="spellStart"/>
      <w:r>
        <w:rPr>
          <w:rStyle w:val="CharAttribute2"/>
          <w:rFonts w:eastAsia="Batang"/>
        </w:rPr>
        <w:t>cStock</w:t>
      </w:r>
      <w:proofErr w:type="spellEnd"/>
      <w:r>
        <w:rPr>
          <w:rStyle w:val="CharAttribute2"/>
          <w:rFonts w:eastAsia="Batang"/>
        </w:rPr>
        <w:t xml:space="preserve"> was feasible and acceptable to all levels of users in Malawi. The use of </w:t>
      </w:r>
      <w:proofErr w:type="spellStart"/>
      <w:r>
        <w:rPr>
          <w:rStyle w:val="CharAttribute2"/>
          <w:rFonts w:eastAsia="Batang"/>
        </w:rPr>
        <w:t>cStock</w:t>
      </w:r>
      <w:proofErr w:type="spellEnd"/>
      <w:r>
        <w:rPr>
          <w:rStyle w:val="CharAttribute2"/>
          <w:rFonts w:eastAsia="Batang"/>
        </w:rPr>
        <w:t xml:space="preserve"> enabled Malawi to achieve the best supply chain performance outcomes and supply reliability. Multi-level teams served to connect HSAs (demand side) with decision makers (supply side) at higher levels of the health system, promoting needs-based resupply and optimal allocation of the limited supplies, alignment of objectives, and role clarity. This facilitated mutual trust and collaboration among players in supply chain as a system, C stock will </w:t>
      </w:r>
      <w:proofErr w:type="spellStart"/>
      <w:r>
        <w:rPr>
          <w:rStyle w:val="CharAttribute2"/>
          <w:rFonts w:eastAsia="Batang"/>
        </w:rPr>
        <w:t>definetly</w:t>
      </w:r>
      <w:proofErr w:type="spellEnd"/>
      <w:r>
        <w:rPr>
          <w:rStyle w:val="CharAttribute2"/>
          <w:rFonts w:eastAsia="Batang"/>
        </w:rPr>
        <w:t xml:space="preserve"> contribute to any positive outcomes of </w:t>
      </w:r>
      <w:proofErr w:type="spellStart"/>
      <w:r>
        <w:rPr>
          <w:rStyle w:val="CharAttribute2"/>
          <w:rFonts w:eastAsia="Batang"/>
        </w:rPr>
        <w:t>iCCM</w:t>
      </w:r>
      <w:proofErr w:type="spellEnd"/>
      <w:r>
        <w:rPr>
          <w:rStyle w:val="CharAttribute2"/>
          <w:rFonts w:eastAsia="Batang"/>
        </w:rPr>
        <w:t xml:space="preserve"> on child health and national efforts to strengthen the six pillars of the health system</w:t>
      </w:r>
    </w:p>
    <w:p w:rsidR="003D2D00" w:rsidRDefault="003D2D00">
      <w:pPr>
        <w:pStyle w:val="ParaAttribute2"/>
        <w:spacing w:line="255" w:lineRule="atLeast"/>
        <w:rPr>
          <w:rFonts w:ascii="Arial" w:eastAsia="Arial" w:hAnsi="Arial"/>
        </w:rPr>
      </w:pPr>
    </w:p>
    <w:p w:rsidR="003D2D00" w:rsidRDefault="003D2D00">
      <w:pPr>
        <w:pStyle w:val="ParaAttribute2"/>
        <w:spacing w:line="255" w:lineRule="atLeast"/>
        <w:rPr>
          <w:rFonts w:ascii="Arial" w:eastAsia="Arial" w:hAnsi="Arial"/>
        </w:rPr>
      </w:pPr>
    </w:p>
    <w:p w:rsidR="003D2D00" w:rsidRDefault="003D2D00">
      <w:pPr>
        <w:pStyle w:val="ParaAttribute5"/>
        <w:spacing w:line="276" w:lineRule="auto"/>
        <w:rPr>
          <w:rFonts w:ascii="Calibri" w:eastAsia="Calibri" w:hAnsi="Calibri"/>
          <w:sz w:val="22"/>
          <w:szCs w:val="22"/>
        </w:rPr>
      </w:pPr>
    </w:p>
    <w:sectPr w:rsidR="003D2D00">
      <w:pgSz w:w="12240" w:h="15840" w:orient="landscape" w:code="9"/>
      <w:pgMar w:top="1440" w:right="1440" w:bottom="1440" w:left="1440" w:header="851" w:footer="992" w:gutter="0"/>
      <w:cols w:space="720"/>
      <w:docGrid w:linePitch="360"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FB22FCD0"/>
    <w:lvl w:ilvl="0" w:tplc="2F0E96CE">
      <w:start w:val="1"/>
      <w:numFmt w:val="decimal"/>
      <w:lvlText w:val="%1."/>
      <w:lvlJc w:val="left"/>
      <w:pPr>
        <w:ind w:left="720" w:hanging="360"/>
      </w:pPr>
      <w:rPr>
        <w:rFonts w:ascii="Arial" w:eastAsia="Times New Roman" w:hAnsi="Arial" w:hint="default"/>
        <w:b w:val="0"/>
        <w:color w:val="000000"/>
      </w:rPr>
    </w:lvl>
    <w:lvl w:ilvl="1" w:tplc="D3A86674">
      <w:start w:val="1"/>
      <w:numFmt w:val="decimal"/>
      <w:lvlText w:val="%2."/>
      <w:lvlJc w:val="left"/>
      <w:pPr>
        <w:ind w:left="1440" w:hanging="360"/>
      </w:pPr>
      <w:rPr>
        <w:rFonts w:ascii="Arial" w:eastAsia="Times New Roman" w:hAnsi="Arial" w:hint="default"/>
      </w:rPr>
    </w:lvl>
    <w:lvl w:ilvl="2" w:tplc="FDC0791C">
      <w:start w:val="1"/>
      <w:numFmt w:val="decimal"/>
      <w:lvlText w:val="%3."/>
      <w:lvlJc w:val="left"/>
      <w:pPr>
        <w:ind w:left="2160" w:hanging="180"/>
      </w:pPr>
      <w:rPr>
        <w:rFonts w:ascii="Arial" w:eastAsia="Times New Roman" w:hAnsi="Arial" w:hint="default"/>
      </w:rPr>
    </w:lvl>
    <w:lvl w:ilvl="3" w:tplc="A2A2A0FA">
      <w:start w:val="1"/>
      <w:numFmt w:val="decimal"/>
      <w:lvlText w:val="%4."/>
      <w:lvlJc w:val="left"/>
      <w:pPr>
        <w:ind w:left="2880" w:hanging="360"/>
      </w:pPr>
      <w:rPr>
        <w:rFonts w:ascii="Arial" w:eastAsia="Times New Roman" w:hAnsi="Arial" w:hint="default"/>
      </w:rPr>
    </w:lvl>
    <w:lvl w:ilvl="4" w:tplc="44B082A8">
      <w:start w:val="1"/>
      <w:numFmt w:val="decimal"/>
      <w:lvlText w:val="%5."/>
      <w:lvlJc w:val="left"/>
      <w:pPr>
        <w:ind w:left="3600" w:hanging="360"/>
      </w:pPr>
      <w:rPr>
        <w:rFonts w:ascii="Arial" w:eastAsia="Times New Roman" w:hAnsi="Arial" w:hint="default"/>
      </w:rPr>
    </w:lvl>
    <w:lvl w:ilvl="5" w:tplc="C9B269F8">
      <w:start w:val="1"/>
      <w:numFmt w:val="decimal"/>
      <w:lvlText w:val="%6."/>
      <w:lvlJc w:val="left"/>
      <w:pPr>
        <w:ind w:left="4320" w:hanging="180"/>
      </w:pPr>
      <w:rPr>
        <w:rFonts w:ascii="Arial" w:eastAsia="Times New Roman" w:hAnsi="Arial" w:hint="default"/>
      </w:rPr>
    </w:lvl>
    <w:lvl w:ilvl="6" w:tplc="DA14D206">
      <w:start w:val="1"/>
      <w:numFmt w:val="decimal"/>
      <w:lvlText w:val="%7."/>
      <w:lvlJc w:val="left"/>
      <w:pPr>
        <w:ind w:left="5040" w:hanging="360"/>
      </w:pPr>
      <w:rPr>
        <w:rFonts w:ascii="Arial" w:eastAsia="Times New Roman" w:hAnsi="Arial" w:hint="default"/>
      </w:rPr>
    </w:lvl>
    <w:lvl w:ilvl="7" w:tplc="DB38A1D2">
      <w:start w:val="1"/>
      <w:numFmt w:val="decimal"/>
      <w:lvlText w:val="%8."/>
      <w:lvlJc w:val="left"/>
      <w:pPr>
        <w:ind w:left="5760" w:hanging="360"/>
      </w:pPr>
      <w:rPr>
        <w:rFonts w:ascii="Arial" w:eastAsia="Times New Roman" w:hAnsi="Arial" w:hint="default"/>
      </w:rPr>
    </w:lvl>
    <w:lvl w:ilvl="8" w:tplc="87FC52DE">
      <w:start w:val="1"/>
      <w:numFmt w:val="decimal"/>
      <w:lvlText w:val="%9."/>
      <w:lvlJc w:val="left"/>
      <w:pPr>
        <w:ind w:left="6480" w:hanging="180"/>
      </w:pPr>
      <w:rPr>
        <w:rFonts w:ascii="Arial" w:eastAsia="Times New Roman" w:hAnsi="Arial" w:hint="default"/>
      </w:rPr>
    </w:lvl>
  </w:abstractNum>
  <w:abstractNum w:abstractNumId="1">
    <w:nsid w:val="3EE751F1"/>
    <w:multiLevelType w:val="hybridMultilevel"/>
    <w:tmpl w:val="B9B27B56"/>
    <w:lvl w:ilvl="0" w:tplc="91D2A368">
      <w:start w:val="1"/>
      <w:numFmt w:val="decimal"/>
      <w:lvlText w:val="%1."/>
      <w:lvlJc w:val="left"/>
      <w:pPr>
        <w:ind w:left="720" w:hanging="360"/>
      </w:pPr>
      <w:rPr>
        <w:rFonts w:ascii="Arial" w:eastAsia="Times New Roman" w:hAnsi="Arial" w:hint="default"/>
        <w:b w:val="0"/>
        <w:color w:val="000000"/>
      </w:rPr>
    </w:lvl>
    <w:lvl w:ilvl="1" w:tplc="3572A952">
      <w:start w:val="1"/>
      <w:numFmt w:val="decimal"/>
      <w:lvlText w:val="%2."/>
      <w:lvlJc w:val="left"/>
      <w:pPr>
        <w:ind w:left="1440" w:hanging="360"/>
      </w:pPr>
      <w:rPr>
        <w:rFonts w:ascii="Arial" w:eastAsia="Times New Roman" w:hAnsi="Arial" w:hint="default"/>
      </w:rPr>
    </w:lvl>
    <w:lvl w:ilvl="2" w:tplc="5D922F08">
      <w:start w:val="1"/>
      <w:numFmt w:val="decimal"/>
      <w:lvlText w:val="%3."/>
      <w:lvlJc w:val="left"/>
      <w:pPr>
        <w:ind w:left="2160" w:hanging="180"/>
      </w:pPr>
      <w:rPr>
        <w:rFonts w:ascii="Arial" w:eastAsia="Times New Roman" w:hAnsi="Arial" w:hint="default"/>
      </w:rPr>
    </w:lvl>
    <w:lvl w:ilvl="3" w:tplc="99CE1A76">
      <w:start w:val="1"/>
      <w:numFmt w:val="decimal"/>
      <w:lvlText w:val="%4."/>
      <w:lvlJc w:val="left"/>
      <w:pPr>
        <w:ind w:left="2880" w:hanging="360"/>
      </w:pPr>
      <w:rPr>
        <w:rFonts w:ascii="Arial" w:eastAsia="Times New Roman" w:hAnsi="Arial" w:hint="default"/>
      </w:rPr>
    </w:lvl>
    <w:lvl w:ilvl="4" w:tplc="9AE49BC2">
      <w:start w:val="1"/>
      <w:numFmt w:val="decimal"/>
      <w:lvlText w:val="%5."/>
      <w:lvlJc w:val="left"/>
      <w:pPr>
        <w:ind w:left="3600" w:hanging="360"/>
      </w:pPr>
      <w:rPr>
        <w:rFonts w:ascii="Arial" w:eastAsia="Times New Roman" w:hAnsi="Arial" w:hint="default"/>
      </w:rPr>
    </w:lvl>
    <w:lvl w:ilvl="5" w:tplc="CB12E8EE">
      <w:start w:val="1"/>
      <w:numFmt w:val="decimal"/>
      <w:lvlText w:val="%6."/>
      <w:lvlJc w:val="left"/>
      <w:pPr>
        <w:ind w:left="4320" w:hanging="180"/>
      </w:pPr>
      <w:rPr>
        <w:rFonts w:ascii="Arial" w:eastAsia="Times New Roman" w:hAnsi="Arial" w:hint="default"/>
      </w:rPr>
    </w:lvl>
    <w:lvl w:ilvl="6" w:tplc="90D0FE5C">
      <w:start w:val="1"/>
      <w:numFmt w:val="decimal"/>
      <w:lvlText w:val="%7."/>
      <w:lvlJc w:val="left"/>
      <w:pPr>
        <w:ind w:left="5040" w:hanging="360"/>
      </w:pPr>
      <w:rPr>
        <w:rFonts w:ascii="Arial" w:eastAsia="Times New Roman" w:hAnsi="Arial" w:hint="default"/>
      </w:rPr>
    </w:lvl>
    <w:lvl w:ilvl="7" w:tplc="A210BDA4">
      <w:start w:val="1"/>
      <w:numFmt w:val="decimal"/>
      <w:lvlText w:val="%8."/>
      <w:lvlJc w:val="left"/>
      <w:pPr>
        <w:ind w:left="5760" w:hanging="360"/>
      </w:pPr>
      <w:rPr>
        <w:rFonts w:ascii="Arial" w:eastAsia="Times New Roman" w:hAnsi="Arial" w:hint="default"/>
      </w:rPr>
    </w:lvl>
    <w:lvl w:ilvl="8" w:tplc="F5E278CE">
      <w:start w:val="1"/>
      <w:numFmt w:val="decimal"/>
      <w:lvlText w:val="%9."/>
      <w:lvlJc w:val="left"/>
      <w:pPr>
        <w:ind w:left="6480" w:hanging="180"/>
      </w:pPr>
      <w:rPr>
        <w:rFonts w:ascii="Arial" w:eastAsia="Times New Roman"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D00"/>
    <w:rsid w:val="001622AD"/>
    <w:rsid w:val="001E429B"/>
    <w:rsid w:val="002A1437"/>
    <w:rsid w:val="003D2D00"/>
    <w:rsid w:val="00445AE0"/>
    <w:rsid w:val="00877026"/>
    <w:rsid w:val="00906632"/>
    <w:rsid w:val="00C76958"/>
    <w:rsid w:val="00E7111B"/>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ZW" w:eastAsia="en-Z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wordWrap w:val="0"/>
      <w:autoSpaceDE w:val="0"/>
      <w:autoSpaceDN w:val="0"/>
      <w:jc w:val="both"/>
    </w:pPr>
    <w:rPr>
      <w:rFonts w:ascii="Batang"/>
      <w:kern w:val="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pPr>
      <w:ind w:left="400"/>
    </w:p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har"/>
    <w:uiPriority w:val="99"/>
    <w:semiHidden/>
    <w:unhideWhenUsed/>
    <w:pPr>
      <w:jc w:val="left"/>
    </w:pPr>
  </w:style>
  <w:style w:type="character" w:customStyle="1" w:styleId="Char">
    <w:name w:val="메모 텍스트 Char"/>
    <w:basedOn w:val="DefaultParagraphFont"/>
    <w:link w:val="CommentText"/>
    <w:uiPriority w:val="99"/>
    <w:semiHidden/>
  </w:style>
  <w:style w:type="paragraph" w:styleId="CommentSubject">
    <w:name w:val="annotation subject"/>
    <w:basedOn w:val="CommentText"/>
    <w:next w:val="CommentText"/>
    <w:link w:val="Char0"/>
    <w:uiPriority w:val="99"/>
    <w:semiHidden/>
    <w:unhideWhenUsed/>
    <w:rPr>
      <w:b/>
    </w:rPr>
  </w:style>
  <w:style w:type="character" w:customStyle="1" w:styleId="Char0">
    <w:name w:val="메모 텍스트 Char"/>
    <w:basedOn w:val="Char"/>
    <w:link w:val="CommentSubject"/>
    <w:uiPriority w:val="99"/>
    <w:semiHidden/>
    <w:rPr>
      <w:b/>
    </w:rPr>
  </w:style>
  <w:style w:type="paragraph" w:styleId="BalloonText">
    <w:name w:val="Balloon Text"/>
    <w:basedOn w:val="Normal"/>
    <w:link w:val="Char1"/>
    <w:uiPriority w:val="99"/>
    <w:semiHidden/>
    <w:unhideWhenUsed/>
    <w:rPr>
      <w:rFonts w:asciiTheme="majorHAnsi" w:eastAsiaTheme="majorEastAsia" w:hAnsiTheme="majorHAnsi" w:cstheme="majorBidi"/>
      <w:sz w:val="18"/>
      <w:szCs w:val="18"/>
    </w:rPr>
  </w:style>
  <w:style w:type="character" w:customStyle="1" w:styleId="Char1">
    <w:name w:val="풍선 도움말 텍스트 Char"/>
    <w:basedOn w:val="DefaultParagraphFont"/>
    <w:link w:val="BalloonText"/>
    <w:uiPriority w:val="99"/>
    <w:semiHidden/>
    <w:rPr>
      <w:rFonts w:asciiTheme="majorHAnsi" w:eastAsiaTheme="majorEastAsia" w:hAnsiTheme="majorHAnsi" w:cstheme="majorBidi"/>
      <w:sz w:val="18"/>
      <w:szCs w:val="18"/>
    </w:rPr>
  </w:style>
  <w:style w:type="paragraph" w:customStyle="1" w:styleId="ParaAttribute0">
    <w:name w:val="ParaAttribute0"/>
    <w:pPr>
      <w:widowControl w:val="0"/>
      <w:wordWrap w:val="0"/>
      <w:spacing w:after="200"/>
      <w:jc w:val="center"/>
    </w:pPr>
  </w:style>
  <w:style w:type="paragraph" w:customStyle="1" w:styleId="ParaAttribute1">
    <w:name w:val="ParaAttribute1"/>
    <w:pPr>
      <w:widowControl w:val="0"/>
      <w:wordWrap w:val="0"/>
      <w:spacing w:after="200"/>
    </w:pPr>
  </w:style>
  <w:style w:type="paragraph" w:customStyle="1" w:styleId="ParaAttribute2">
    <w:name w:val="ParaAttribute2"/>
    <w:pPr>
      <w:widowControl w:val="0"/>
      <w:shd w:val="solid" w:color="FFFFFF" w:fill="auto"/>
      <w:wordWrap w:val="0"/>
      <w:spacing w:after="120"/>
    </w:pPr>
  </w:style>
  <w:style w:type="paragraph" w:customStyle="1" w:styleId="ParaAttribute3">
    <w:name w:val="ParaAttribute3"/>
    <w:pPr>
      <w:widowControl w:val="0"/>
      <w:shd w:val="solid" w:color="FFFFFF" w:fill="auto"/>
      <w:wordWrap w:val="0"/>
      <w:spacing w:after="120"/>
      <w:ind w:left="720"/>
    </w:pPr>
  </w:style>
  <w:style w:type="paragraph" w:customStyle="1" w:styleId="ParaAttribute4">
    <w:name w:val="ParaAttribute4"/>
    <w:pPr>
      <w:widowControl w:val="0"/>
      <w:shd w:val="solid" w:color="FFFFFF" w:fill="auto"/>
      <w:wordWrap w:val="0"/>
      <w:spacing w:after="120"/>
      <w:ind w:left="720" w:hanging="360"/>
    </w:pPr>
  </w:style>
  <w:style w:type="paragraph" w:customStyle="1" w:styleId="ParaAttribute5">
    <w:name w:val="ParaAttribute5"/>
    <w:pPr>
      <w:widowControl w:val="0"/>
      <w:wordWrap w:val="0"/>
      <w:spacing w:after="200"/>
    </w:pPr>
  </w:style>
  <w:style w:type="character" w:customStyle="1" w:styleId="CharAttribute0">
    <w:name w:val="CharAttribute0"/>
    <w:rPr>
      <w:rFonts w:ascii="Arial" w:eastAsia="Times New Roman" w:hAnsi="Times New Roman"/>
      <w:b/>
    </w:rPr>
  </w:style>
  <w:style w:type="character" w:customStyle="1" w:styleId="CharAttribute1">
    <w:name w:val="CharAttribute1"/>
    <w:rPr>
      <w:rFonts w:ascii="Arial" w:eastAsia="Times New Roman" w:hAnsi="Times New Roman"/>
      <w:b/>
      <w:i/>
    </w:rPr>
  </w:style>
  <w:style w:type="character" w:customStyle="1" w:styleId="CharAttribute2">
    <w:name w:val="CharAttribute2"/>
    <w:rPr>
      <w:rFonts w:ascii="Arial" w:eastAsia="Times New Roman" w:hAnsi="Times New Roman"/>
    </w:rPr>
  </w:style>
  <w:style w:type="character" w:customStyle="1" w:styleId="CharAttribute3">
    <w:name w:val="CharAttribute3"/>
    <w:rPr>
      <w:rFonts w:ascii="Arial" w:eastAsia="Times New Roman" w:hAnsi="Times New Roman"/>
      <w:i/>
    </w:rPr>
  </w:style>
  <w:style w:type="character" w:customStyle="1" w:styleId="CharAttribute4">
    <w:name w:val="CharAttribute4"/>
    <w:rPr>
      <w:rFonts w:ascii="Arial" w:eastAsia="Times New Roman" w:hAnsi="Times New Roman"/>
      <w:b/>
    </w:rPr>
  </w:style>
  <w:style w:type="character" w:customStyle="1" w:styleId="CharAttribute5">
    <w:name w:val="CharAttribute5"/>
    <w:rPr>
      <w:rFonts w:ascii="Arial" w:eastAsia="Times New Roman" w:hAnsi="Times New Roman"/>
    </w:rPr>
  </w:style>
  <w:style w:type="character" w:customStyle="1" w:styleId="CharAttribute6">
    <w:name w:val="CharAttribute6"/>
    <w:rPr>
      <w:rFonts w:ascii="Calibri" w:eastAsia="Calibri" w:hAnsi="Calibri"/>
      <w:sz w:val="16"/>
    </w:rPr>
  </w:style>
  <w:style w:type="character" w:customStyle="1" w:styleId="CharAttribute7">
    <w:name w:val="CharAttribute7"/>
    <w:rPr>
      <w:rFonts w:ascii="Times New Roman" w:eastAsia="Times New Roman" w:hAnsi="Times New Roman"/>
    </w:rPr>
  </w:style>
  <w:style w:type="character" w:customStyle="1" w:styleId="CharAttribute8">
    <w:name w:val="CharAttribute8"/>
    <w:rPr>
      <w:rFonts w:ascii="Arial" w:eastAsia="Times New Roman" w:hAnsi="Times New Roman"/>
    </w:rPr>
  </w:style>
  <w:style w:type="character" w:customStyle="1" w:styleId="CharAttribute9">
    <w:name w:val="CharAttribute9"/>
    <w:rPr>
      <w:rFonts w:ascii="Arial" w:eastAsia="Times New Roman" w:hAnsi="Times New Roman"/>
      <w:b/>
      <w:u w:val="single"/>
    </w:rPr>
  </w:style>
  <w:style w:type="character" w:customStyle="1" w:styleId="CharAttribute10">
    <w:name w:val="CharAttribute10"/>
    <w:rPr>
      <w:rFonts w:ascii="Arial" w:eastAsia="Times New Roman" w:hAnsi="Times New Roman"/>
      <w:b/>
      <w:u w:val="single"/>
    </w:rPr>
  </w:style>
  <w:style w:type="character" w:customStyle="1" w:styleId="CharAttribute11">
    <w:name w:val="CharAttribute11"/>
    <w:rPr>
      <w:rFonts w:ascii="Calibri" w:eastAsia="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ZW" w:eastAsia="en-Z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wordWrap w:val="0"/>
      <w:autoSpaceDE w:val="0"/>
      <w:autoSpaceDN w:val="0"/>
      <w:jc w:val="both"/>
    </w:pPr>
    <w:rPr>
      <w:rFonts w:ascii="Batang"/>
      <w:kern w:val="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pPr>
      <w:ind w:left="400"/>
    </w:p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har"/>
    <w:uiPriority w:val="99"/>
    <w:semiHidden/>
    <w:unhideWhenUsed/>
    <w:pPr>
      <w:jc w:val="left"/>
    </w:pPr>
  </w:style>
  <w:style w:type="character" w:customStyle="1" w:styleId="Char">
    <w:name w:val="메모 텍스트 Char"/>
    <w:basedOn w:val="DefaultParagraphFont"/>
    <w:link w:val="CommentText"/>
    <w:uiPriority w:val="99"/>
    <w:semiHidden/>
  </w:style>
  <w:style w:type="paragraph" w:styleId="CommentSubject">
    <w:name w:val="annotation subject"/>
    <w:basedOn w:val="CommentText"/>
    <w:next w:val="CommentText"/>
    <w:link w:val="Char0"/>
    <w:uiPriority w:val="99"/>
    <w:semiHidden/>
    <w:unhideWhenUsed/>
    <w:rPr>
      <w:b/>
    </w:rPr>
  </w:style>
  <w:style w:type="character" w:customStyle="1" w:styleId="Char0">
    <w:name w:val="메모 텍스트 Char"/>
    <w:basedOn w:val="Char"/>
    <w:link w:val="CommentSubject"/>
    <w:uiPriority w:val="99"/>
    <w:semiHidden/>
    <w:rPr>
      <w:b/>
    </w:rPr>
  </w:style>
  <w:style w:type="paragraph" w:styleId="BalloonText">
    <w:name w:val="Balloon Text"/>
    <w:basedOn w:val="Normal"/>
    <w:link w:val="Char1"/>
    <w:uiPriority w:val="99"/>
    <w:semiHidden/>
    <w:unhideWhenUsed/>
    <w:rPr>
      <w:rFonts w:asciiTheme="majorHAnsi" w:eastAsiaTheme="majorEastAsia" w:hAnsiTheme="majorHAnsi" w:cstheme="majorBidi"/>
      <w:sz w:val="18"/>
      <w:szCs w:val="18"/>
    </w:rPr>
  </w:style>
  <w:style w:type="character" w:customStyle="1" w:styleId="Char1">
    <w:name w:val="풍선 도움말 텍스트 Char"/>
    <w:basedOn w:val="DefaultParagraphFont"/>
    <w:link w:val="BalloonText"/>
    <w:uiPriority w:val="99"/>
    <w:semiHidden/>
    <w:rPr>
      <w:rFonts w:asciiTheme="majorHAnsi" w:eastAsiaTheme="majorEastAsia" w:hAnsiTheme="majorHAnsi" w:cstheme="majorBidi"/>
      <w:sz w:val="18"/>
      <w:szCs w:val="18"/>
    </w:rPr>
  </w:style>
  <w:style w:type="paragraph" w:customStyle="1" w:styleId="ParaAttribute0">
    <w:name w:val="ParaAttribute0"/>
    <w:pPr>
      <w:widowControl w:val="0"/>
      <w:wordWrap w:val="0"/>
      <w:spacing w:after="200"/>
      <w:jc w:val="center"/>
    </w:pPr>
  </w:style>
  <w:style w:type="paragraph" w:customStyle="1" w:styleId="ParaAttribute1">
    <w:name w:val="ParaAttribute1"/>
    <w:pPr>
      <w:widowControl w:val="0"/>
      <w:wordWrap w:val="0"/>
      <w:spacing w:after="200"/>
    </w:pPr>
  </w:style>
  <w:style w:type="paragraph" w:customStyle="1" w:styleId="ParaAttribute2">
    <w:name w:val="ParaAttribute2"/>
    <w:pPr>
      <w:widowControl w:val="0"/>
      <w:shd w:val="solid" w:color="FFFFFF" w:fill="auto"/>
      <w:wordWrap w:val="0"/>
      <w:spacing w:after="120"/>
    </w:pPr>
  </w:style>
  <w:style w:type="paragraph" w:customStyle="1" w:styleId="ParaAttribute3">
    <w:name w:val="ParaAttribute3"/>
    <w:pPr>
      <w:widowControl w:val="0"/>
      <w:shd w:val="solid" w:color="FFFFFF" w:fill="auto"/>
      <w:wordWrap w:val="0"/>
      <w:spacing w:after="120"/>
      <w:ind w:left="720"/>
    </w:pPr>
  </w:style>
  <w:style w:type="paragraph" w:customStyle="1" w:styleId="ParaAttribute4">
    <w:name w:val="ParaAttribute4"/>
    <w:pPr>
      <w:widowControl w:val="0"/>
      <w:shd w:val="solid" w:color="FFFFFF" w:fill="auto"/>
      <w:wordWrap w:val="0"/>
      <w:spacing w:after="120"/>
      <w:ind w:left="720" w:hanging="360"/>
    </w:pPr>
  </w:style>
  <w:style w:type="paragraph" w:customStyle="1" w:styleId="ParaAttribute5">
    <w:name w:val="ParaAttribute5"/>
    <w:pPr>
      <w:widowControl w:val="0"/>
      <w:wordWrap w:val="0"/>
      <w:spacing w:after="200"/>
    </w:pPr>
  </w:style>
  <w:style w:type="character" w:customStyle="1" w:styleId="CharAttribute0">
    <w:name w:val="CharAttribute0"/>
    <w:rPr>
      <w:rFonts w:ascii="Arial" w:eastAsia="Times New Roman" w:hAnsi="Times New Roman"/>
      <w:b/>
    </w:rPr>
  </w:style>
  <w:style w:type="character" w:customStyle="1" w:styleId="CharAttribute1">
    <w:name w:val="CharAttribute1"/>
    <w:rPr>
      <w:rFonts w:ascii="Arial" w:eastAsia="Times New Roman" w:hAnsi="Times New Roman"/>
      <w:b/>
      <w:i/>
    </w:rPr>
  </w:style>
  <w:style w:type="character" w:customStyle="1" w:styleId="CharAttribute2">
    <w:name w:val="CharAttribute2"/>
    <w:rPr>
      <w:rFonts w:ascii="Arial" w:eastAsia="Times New Roman" w:hAnsi="Times New Roman"/>
    </w:rPr>
  </w:style>
  <w:style w:type="character" w:customStyle="1" w:styleId="CharAttribute3">
    <w:name w:val="CharAttribute3"/>
    <w:rPr>
      <w:rFonts w:ascii="Arial" w:eastAsia="Times New Roman" w:hAnsi="Times New Roman"/>
      <w:i/>
    </w:rPr>
  </w:style>
  <w:style w:type="character" w:customStyle="1" w:styleId="CharAttribute4">
    <w:name w:val="CharAttribute4"/>
    <w:rPr>
      <w:rFonts w:ascii="Arial" w:eastAsia="Times New Roman" w:hAnsi="Times New Roman"/>
      <w:b/>
    </w:rPr>
  </w:style>
  <w:style w:type="character" w:customStyle="1" w:styleId="CharAttribute5">
    <w:name w:val="CharAttribute5"/>
    <w:rPr>
      <w:rFonts w:ascii="Arial" w:eastAsia="Times New Roman" w:hAnsi="Times New Roman"/>
    </w:rPr>
  </w:style>
  <w:style w:type="character" w:customStyle="1" w:styleId="CharAttribute6">
    <w:name w:val="CharAttribute6"/>
    <w:rPr>
      <w:rFonts w:ascii="Calibri" w:eastAsia="Calibri" w:hAnsi="Calibri"/>
      <w:sz w:val="16"/>
    </w:rPr>
  </w:style>
  <w:style w:type="character" w:customStyle="1" w:styleId="CharAttribute7">
    <w:name w:val="CharAttribute7"/>
    <w:rPr>
      <w:rFonts w:ascii="Times New Roman" w:eastAsia="Times New Roman" w:hAnsi="Times New Roman"/>
    </w:rPr>
  </w:style>
  <w:style w:type="character" w:customStyle="1" w:styleId="CharAttribute8">
    <w:name w:val="CharAttribute8"/>
    <w:rPr>
      <w:rFonts w:ascii="Arial" w:eastAsia="Times New Roman" w:hAnsi="Times New Roman"/>
    </w:rPr>
  </w:style>
  <w:style w:type="character" w:customStyle="1" w:styleId="CharAttribute9">
    <w:name w:val="CharAttribute9"/>
    <w:rPr>
      <w:rFonts w:ascii="Arial" w:eastAsia="Times New Roman" w:hAnsi="Times New Roman"/>
      <w:b/>
      <w:u w:val="single"/>
    </w:rPr>
  </w:style>
  <w:style w:type="character" w:customStyle="1" w:styleId="CharAttribute10">
    <w:name w:val="CharAttribute10"/>
    <w:rPr>
      <w:rFonts w:ascii="Arial" w:eastAsia="Times New Roman" w:hAnsi="Times New Roman"/>
      <w:b/>
      <w:u w:val="single"/>
    </w:rPr>
  </w:style>
  <w:style w:type="character" w:customStyle="1" w:styleId="CharAttribute11">
    <w:name w:val="CharAttribute11"/>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806</Words>
  <Characters>4731</Characters>
  <Application>Microsoft Office Word</Application>
  <DocSecurity>0</DocSecurity>
  <Lines>73</Lines>
  <Paragraphs>22</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user</cp:lastModifiedBy>
  <cp:revision>6</cp:revision>
  <dcterms:created xsi:type="dcterms:W3CDTF">2016-05-02T06:25:00Z</dcterms:created>
  <dcterms:modified xsi:type="dcterms:W3CDTF">2016-05-02T06:50:00Z</dcterms:modified>
  <cp:version>1</cp:version>
</cp:coreProperties>
</file>