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19A" w:rsidRPr="0072136D" w:rsidRDefault="00834E60" w:rsidP="00AD319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16"/>
          <w:szCs w:val="20"/>
        </w:rPr>
      </w:pPr>
      <w:r w:rsidRPr="0072136D">
        <w:rPr>
          <w:rFonts w:ascii="Times New Roman" w:hAnsi="Times New Roman" w:cs="Times New Roman"/>
          <w:noProof/>
          <w:sz w:val="16"/>
          <w:szCs w:val="20"/>
          <w:lang w:eastAsia="en-US"/>
        </w:rPr>
        <w:drawing>
          <wp:inline distT="0" distB="0" distL="0" distR="0">
            <wp:extent cx="3894674" cy="482138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902" cy="4840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36D" w:rsidRPr="0072136D" w:rsidRDefault="0072136D" w:rsidP="0072136D">
      <w:pPr>
        <w:pStyle w:val="Heading1"/>
        <w:rPr>
          <w:szCs w:val="24"/>
        </w:rPr>
      </w:pPr>
      <w:r w:rsidRPr="0072136D">
        <w:rPr>
          <w:szCs w:val="24"/>
        </w:rPr>
        <w:t xml:space="preserve">S2 Fig. Genotyping and association analysis of the breeding panel. </w:t>
      </w:r>
      <w:r w:rsidRPr="0072136D">
        <w:rPr>
          <w:b w:val="0"/>
          <w:szCs w:val="24"/>
        </w:rPr>
        <w:t>(a) Linkage disequilibrium (</w:t>
      </w:r>
      <w:r w:rsidRPr="0072136D">
        <w:rPr>
          <w:b w:val="0"/>
          <w:i/>
          <w:szCs w:val="24"/>
        </w:rPr>
        <w:t>r</w:t>
      </w:r>
      <w:r w:rsidRPr="0072136D">
        <w:rPr>
          <w:b w:val="0"/>
          <w:i/>
          <w:szCs w:val="24"/>
          <w:vertAlign w:val="superscript"/>
        </w:rPr>
        <w:t>2</w:t>
      </w:r>
      <w:r w:rsidRPr="0072136D">
        <w:rPr>
          <w:b w:val="0"/>
          <w:szCs w:val="24"/>
        </w:rPr>
        <w:t>) decay plot of pair-wise markers as a function of genetic distance (</w:t>
      </w:r>
      <w:proofErr w:type="spellStart"/>
      <w:r w:rsidRPr="0072136D">
        <w:rPr>
          <w:b w:val="0"/>
          <w:szCs w:val="24"/>
        </w:rPr>
        <w:t>cM</w:t>
      </w:r>
      <w:proofErr w:type="spellEnd"/>
      <w:r w:rsidRPr="0072136D">
        <w:rPr>
          <w:b w:val="0"/>
          <w:szCs w:val="24"/>
        </w:rPr>
        <w:t xml:space="preserve">) for the breeding panel. The fitted curve (red) shows the expected LD decay between adjacent 90K iSelect SNP array markers based on a nonlinear regression model. The critical </w:t>
      </w:r>
      <w:r w:rsidRPr="0072136D">
        <w:rPr>
          <w:b w:val="0"/>
          <w:i/>
          <w:szCs w:val="24"/>
        </w:rPr>
        <w:t>r</w:t>
      </w:r>
      <w:r w:rsidRPr="0072136D">
        <w:rPr>
          <w:b w:val="0"/>
          <w:i/>
          <w:szCs w:val="24"/>
          <w:vertAlign w:val="superscript"/>
        </w:rPr>
        <w:t>2</w:t>
      </w:r>
      <w:r w:rsidRPr="0072136D">
        <w:rPr>
          <w:b w:val="0"/>
          <w:szCs w:val="24"/>
        </w:rPr>
        <w:t xml:space="preserve"> v</w:t>
      </w:r>
      <w:bookmarkStart w:id="0" w:name="_GoBack"/>
      <w:bookmarkEnd w:id="0"/>
      <w:r w:rsidRPr="0072136D">
        <w:rPr>
          <w:b w:val="0"/>
          <w:szCs w:val="24"/>
        </w:rPr>
        <w:t xml:space="preserve">alue (dashed line) is the 95% quantile of </w:t>
      </w:r>
      <w:r w:rsidRPr="0072136D">
        <w:rPr>
          <w:b w:val="0"/>
          <w:i/>
          <w:szCs w:val="24"/>
        </w:rPr>
        <w:t>r</w:t>
      </w:r>
      <w:r w:rsidRPr="0072136D">
        <w:rPr>
          <w:b w:val="0"/>
          <w:i/>
          <w:szCs w:val="24"/>
          <w:vertAlign w:val="superscript"/>
        </w:rPr>
        <w:t xml:space="preserve">2 </w:t>
      </w:r>
      <w:r w:rsidRPr="0072136D">
        <w:rPr>
          <w:b w:val="0"/>
          <w:szCs w:val="24"/>
        </w:rPr>
        <w:t xml:space="preserve">value of unlinked SNP markers. (b) Quantile-Quantile (Q-Q) plot of three different models for population structure and kinship. The expected </w:t>
      </w:r>
      <w:r w:rsidRPr="0072136D">
        <w:rPr>
          <w:b w:val="0"/>
          <w:i/>
          <w:szCs w:val="24"/>
        </w:rPr>
        <w:t>P</w:t>
      </w:r>
      <w:r w:rsidRPr="0072136D">
        <w:rPr>
          <w:b w:val="0"/>
          <w:szCs w:val="24"/>
        </w:rPr>
        <w:t xml:space="preserve">-values were plotted against observed </w:t>
      </w:r>
      <w:r w:rsidRPr="0072136D">
        <w:rPr>
          <w:b w:val="0"/>
          <w:i/>
          <w:szCs w:val="24"/>
        </w:rPr>
        <w:t>P</w:t>
      </w:r>
      <w:r w:rsidRPr="0072136D">
        <w:rPr>
          <w:b w:val="0"/>
          <w:szCs w:val="24"/>
        </w:rPr>
        <w:t xml:space="preserve">-values for each SNP, based on three different models: the naïve model (blue), GLM with three sub-populations (red), and MLM with three sub-populations and kinship (green). The diagonal reference line (dashed line) represented the null hypothesis of no association. The Q-Q plot was based on the seedling test of isolate W009, which is the most representative Q-Q plot among all phenotypic data. </w:t>
      </w:r>
    </w:p>
    <w:p w:rsidR="00AD319A" w:rsidRPr="0072136D" w:rsidRDefault="00AD319A" w:rsidP="00AD319A">
      <w:pPr>
        <w:pStyle w:val="Heading1"/>
        <w:rPr>
          <w:rFonts w:cs="Times New Roman"/>
          <w:b w:val="0"/>
          <w:sz w:val="16"/>
          <w:szCs w:val="20"/>
        </w:rPr>
      </w:pPr>
    </w:p>
    <w:p w:rsidR="0052636E" w:rsidRPr="0072136D" w:rsidRDefault="0072136D" w:rsidP="00516883">
      <w:pPr>
        <w:rPr>
          <w:rFonts w:ascii="Times New Roman" w:eastAsiaTheme="majorEastAsia" w:hAnsi="Times New Roman" w:cs="Times New Roman"/>
          <w:sz w:val="16"/>
          <w:szCs w:val="20"/>
        </w:rPr>
      </w:pPr>
    </w:p>
    <w:sectPr w:rsidR="0052636E" w:rsidRPr="007213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46"/>
    <w:rsid w:val="002D21D9"/>
    <w:rsid w:val="00516883"/>
    <w:rsid w:val="005E5F54"/>
    <w:rsid w:val="006A62DE"/>
    <w:rsid w:val="0072136D"/>
    <w:rsid w:val="007977E7"/>
    <w:rsid w:val="00834E60"/>
    <w:rsid w:val="0099699B"/>
    <w:rsid w:val="00AD319A"/>
    <w:rsid w:val="00D87794"/>
    <w:rsid w:val="00EE1D32"/>
    <w:rsid w:val="00FD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0C0079-FFF4-4434-8841-270A0853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E46"/>
    <w:rPr>
      <w:rFonts w:eastAsiaTheme="minorEastAsia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7E46"/>
    <w:pPr>
      <w:keepNext/>
      <w:keepLines/>
      <w:spacing w:after="0" w:line="480" w:lineRule="auto"/>
      <w:outlineLvl w:val="0"/>
    </w:pPr>
    <w:rPr>
      <w:rFonts w:ascii="Times New Roman" w:eastAsiaTheme="majorEastAsia" w:hAnsi="Times New Roman" w:cstheme="majorBidi"/>
      <w:b/>
      <w:sz w:val="2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7E46"/>
    <w:rPr>
      <w:rFonts w:ascii="Times New Roman" w:eastAsiaTheme="majorEastAsia" w:hAnsi="Times New Roman" w:cstheme="majorBidi"/>
      <w:b/>
      <w:sz w:val="20"/>
      <w:szCs w:val="3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W.</dc:creator>
  <cp:keywords/>
  <dc:description/>
  <cp:lastModifiedBy>Administrator</cp:lastModifiedBy>
  <cp:revision>3</cp:revision>
  <dcterms:created xsi:type="dcterms:W3CDTF">2018-06-01T17:34:00Z</dcterms:created>
  <dcterms:modified xsi:type="dcterms:W3CDTF">2018-06-02T03:16:00Z</dcterms:modified>
</cp:coreProperties>
</file>