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4C9F" w:rsidRPr="003D19B6" w:rsidRDefault="00B64C9F" w:rsidP="00B64C9F">
      <w:pPr>
        <w:spacing w:after="200" w:line="480" w:lineRule="auto"/>
        <w:jc w:val="both"/>
        <w:rPr>
          <w:rFonts w:ascii="Arial" w:eastAsia="SimSun" w:hAnsi="Arial" w:cs="Arial"/>
          <w:b/>
          <w:bCs/>
          <w:lang w:val="en-US" w:eastAsia="zh-CN"/>
        </w:rPr>
      </w:pPr>
      <w:r w:rsidRPr="003D19B6">
        <w:rPr>
          <w:rFonts w:ascii="Arial" w:eastAsia="SimSun" w:hAnsi="Arial" w:cs="Arial"/>
          <w:b/>
          <w:bCs/>
          <w:noProof/>
          <w:color w:val="4F81BD"/>
          <w:sz w:val="18"/>
          <w:szCs w:val="18"/>
          <w:lang w:val="de-DE" w:eastAsia="de-DE"/>
        </w:rPr>
        <w:drawing>
          <wp:inline distT="0" distB="0" distL="0" distR="0" wp14:anchorId="05B479AF" wp14:editId="77ACD6BC">
            <wp:extent cx="5249907" cy="4500000"/>
            <wp:effectExtent l="0" t="0" r="8255" b="0"/>
            <wp:docPr id="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9907" cy="45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451F" w:rsidRPr="00B64C9F" w:rsidRDefault="00B64C9F" w:rsidP="001B32B5">
      <w:pPr>
        <w:jc w:val="both"/>
        <w:rPr>
          <w:rFonts w:ascii="Arial" w:hAnsi="Arial" w:cs="Arial"/>
          <w:b/>
          <w:lang w:val="en-US"/>
        </w:rPr>
      </w:pPr>
      <w:r w:rsidRPr="00B64C9F">
        <w:rPr>
          <w:rFonts w:ascii="Arial" w:hAnsi="Arial" w:cs="Arial"/>
          <w:b/>
          <w:sz w:val="24"/>
          <w:szCs w:val="24"/>
        </w:rPr>
        <w:t>S2</w:t>
      </w:r>
      <w:r w:rsidR="00A04D3E">
        <w:rPr>
          <w:rFonts w:ascii="Arial" w:hAnsi="Arial" w:cs="Arial"/>
          <w:b/>
          <w:sz w:val="24"/>
          <w:szCs w:val="24"/>
        </w:rPr>
        <w:t xml:space="preserve"> Fig.</w:t>
      </w:r>
      <w:r w:rsidRPr="00B64C9F">
        <w:rPr>
          <w:rFonts w:ascii="Arial" w:hAnsi="Arial" w:cs="Arial"/>
          <w:b/>
          <w:sz w:val="24"/>
          <w:szCs w:val="24"/>
        </w:rPr>
        <w:t xml:space="preserve"> The Principal component analysis (PCA) of 11 soil variables for 22 </w:t>
      </w:r>
      <w:r w:rsidRPr="00B64C9F">
        <w:rPr>
          <w:rFonts w:ascii="Arial" w:hAnsi="Arial" w:cs="Arial"/>
          <w:b/>
          <w:i/>
          <w:sz w:val="24"/>
          <w:szCs w:val="24"/>
        </w:rPr>
        <w:t>Juncus effusus</w:t>
      </w:r>
      <w:r w:rsidRPr="00B64C9F">
        <w:rPr>
          <w:rFonts w:ascii="Arial" w:hAnsi="Arial" w:cs="Arial"/>
          <w:b/>
          <w:sz w:val="24"/>
          <w:szCs w:val="24"/>
        </w:rPr>
        <w:t xml:space="preserve"> populations. </w:t>
      </w:r>
      <w:r w:rsidRPr="004F2720">
        <w:rPr>
          <w:rFonts w:ascii="Arial" w:hAnsi="Arial" w:cs="Arial"/>
          <w:sz w:val="24"/>
          <w:szCs w:val="24"/>
        </w:rPr>
        <w:t>Grey arrows indicate loadings of each soil varia</w:t>
      </w:r>
      <w:bookmarkStart w:id="0" w:name="_GoBack"/>
      <w:bookmarkEnd w:id="0"/>
      <w:r w:rsidRPr="004F2720">
        <w:rPr>
          <w:rFonts w:ascii="Arial" w:hAnsi="Arial" w:cs="Arial"/>
          <w:sz w:val="24"/>
          <w:szCs w:val="24"/>
        </w:rPr>
        <w:t>ble on the two axes (particle size distribution: clay-, silt- and sand content, coarse fragments, pH (CaCl</w:t>
      </w:r>
      <w:r w:rsidRPr="004F2720">
        <w:rPr>
          <w:rFonts w:ascii="Arial" w:hAnsi="Arial" w:cs="Arial"/>
          <w:sz w:val="24"/>
          <w:szCs w:val="24"/>
          <w:vertAlign w:val="subscript"/>
        </w:rPr>
        <w:t>2</w:t>
      </w:r>
      <w:r w:rsidRPr="004F2720">
        <w:rPr>
          <w:rFonts w:ascii="Arial" w:hAnsi="Arial" w:cs="Arial"/>
          <w:sz w:val="24"/>
          <w:szCs w:val="24"/>
        </w:rPr>
        <w:t>), organic carbon (OC), potassium- (K), phosphorus- (P), carbonate- (CACO</w:t>
      </w:r>
      <w:r w:rsidRPr="004F2720">
        <w:rPr>
          <w:rFonts w:ascii="Arial" w:hAnsi="Arial" w:cs="Arial"/>
          <w:sz w:val="24"/>
          <w:szCs w:val="24"/>
          <w:vertAlign w:val="subscript"/>
        </w:rPr>
        <w:t>3</w:t>
      </w:r>
      <w:r w:rsidRPr="004F2720">
        <w:rPr>
          <w:rFonts w:ascii="Arial" w:hAnsi="Arial" w:cs="Arial"/>
          <w:sz w:val="24"/>
          <w:szCs w:val="24"/>
        </w:rPr>
        <w:t xml:space="preserve">) and total nitrogen (N) content and cation exchange capacity (CEC)), while </w:t>
      </w:r>
      <w:r w:rsidRPr="004F2720">
        <w:rPr>
          <w:rFonts w:ascii="Arial" w:hAnsi="Arial" w:cs="Arial"/>
          <w:sz w:val="24"/>
          <w:szCs w:val="24"/>
          <w:lang w:val="en-US"/>
        </w:rPr>
        <w:t>colored</w:t>
      </w:r>
      <w:r w:rsidRPr="004F2720">
        <w:rPr>
          <w:rFonts w:ascii="Arial" w:hAnsi="Arial" w:cs="Arial"/>
          <w:sz w:val="24"/>
          <w:szCs w:val="24"/>
        </w:rPr>
        <w:t xml:space="preserve"> symbols represent populations and their underlying genotype (red: Eff1, blue: Eff2, green: Eff3) in the environmental space.</w:t>
      </w:r>
    </w:p>
    <w:sectPr w:rsidR="0098451F" w:rsidRPr="00B64C9F" w:rsidSect="00B64C9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C9F"/>
    <w:rsid w:val="001B32B5"/>
    <w:rsid w:val="004F2720"/>
    <w:rsid w:val="0098451F"/>
    <w:rsid w:val="00A04D3E"/>
    <w:rsid w:val="00B6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B3F0C9-AC72-42CA-9008-6D5C5A91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64C9F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5D55C0-CB8B-46FF-8C07-2CE56A47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4</cp:revision>
  <dcterms:created xsi:type="dcterms:W3CDTF">2018-12-18T10:21:00Z</dcterms:created>
  <dcterms:modified xsi:type="dcterms:W3CDTF">2018-12-18T10:44:00Z</dcterms:modified>
</cp:coreProperties>
</file>