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7C71" w:rsidRPr="00D67C71" w:rsidRDefault="00D67C71" w:rsidP="00D67C71">
      <w:pPr>
        <w:suppressLineNumbers/>
        <w:spacing w:after="120"/>
        <w:jc w:val="both"/>
        <w:rPr>
          <w:rFonts w:ascii="Arial" w:hAnsi="Arial" w:cs="Arial"/>
          <w:b/>
          <w:sz w:val="28"/>
          <w:szCs w:val="28"/>
        </w:rPr>
      </w:pPr>
      <w:r w:rsidRPr="00D67C71">
        <w:rPr>
          <w:rFonts w:ascii="Arial" w:hAnsi="Arial" w:cs="Arial"/>
          <w:b/>
          <w:sz w:val="28"/>
          <w:szCs w:val="28"/>
          <w:lang w:val="en-US"/>
        </w:rPr>
        <w:t>S</w:t>
      </w:r>
      <w:r w:rsidRPr="00D67C71">
        <w:rPr>
          <w:rFonts w:ascii="Arial" w:hAnsi="Arial" w:cs="Arial"/>
          <w:b/>
          <w:sz w:val="28"/>
          <w:szCs w:val="28"/>
          <w:lang w:val="en-US"/>
        </w:rPr>
        <w:t>4</w:t>
      </w:r>
      <w:r w:rsidRPr="00D67C71">
        <w:rPr>
          <w:rFonts w:ascii="Arial" w:hAnsi="Arial" w:cs="Arial"/>
          <w:b/>
          <w:sz w:val="28"/>
          <w:szCs w:val="28"/>
          <w:lang w:val="en-US"/>
        </w:rPr>
        <w:t xml:space="preserve"> Table. </w:t>
      </w:r>
      <w:r w:rsidRPr="00D67C71">
        <w:rPr>
          <w:rFonts w:ascii="Arial" w:hAnsi="Arial" w:cs="Arial"/>
          <w:b/>
          <w:sz w:val="28"/>
          <w:szCs w:val="28"/>
        </w:rPr>
        <w:t xml:space="preserve">Regression analysis to test the suitability of variable ‘lack of extension services in the district as the reason for not accessing extension’ as instrument </w:t>
      </w:r>
      <w:bookmarkStart w:id="0" w:name="_GoBack"/>
      <w:bookmarkEnd w:id="0"/>
    </w:p>
    <w:tbl>
      <w:tblPr>
        <w:tblStyle w:val="TableGrid"/>
        <w:tblW w:w="9085" w:type="dxa"/>
        <w:tblLook w:val="04A0" w:firstRow="1" w:lastRow="0" w:firstColumn="1" w:lastColumn="0" w:noHBand="0" w:noVBand="1"/>
      </w:tblPr>
      <w:tblGrid>
        <w:gridCol w:w="3325"/>
        <w:gridCol w:w="2520"/>
        <w:gridCol w:w="3240"/>
      </w:tblGrid>
      <w:tr w:rsidR="00D67C71" w:rsidRPr="000D168D" w:rsidTr="000057F8">
        <w:tc>
          <w:tcPr>
            <w:tcW w:w="3325" w:type="dxa"/>
            <w:vMerge w:val="restart"/>
            <w:shd w:val="clear" w:color="auto" w:fill="D9D9D9" w:themeFill="background1" w:themeFillShade="D9"/>
          </w:tcPr>
          <w:p w:rsidR="00D67C71" w:rsidRPr="000D168D" w:rsidRDefault="00D67C71" w:rsidP="000057F8">
            <w:pPr>
              <w:suppressLineNumber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D67C71" w:rsidRPr="000D168D" w:rsidRDefault="00D67C71" w:rsidP="000057F8">
            <w:pPr>
              <w:suppressLineNumbers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168D">
              <w:rPr>
                <w:rFonts w:ascii="Arial" w:hAnsi="Arial" w:cs="Arial"/>
                <w:b/>
                <w:sz w:val="20"/>
                <w:szCs w:val="20"/>
              </w:rPr>
              <w:t xml:space="preserve">Model 1 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:rsidR="00D67C71" w:rsidRPr="000D168D" w:rsidRDefault="00D67C71" w:rsidP="000057F8">
            <w:pPr>
              <w:suppressLineNumbers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D168D">
              <w:rPr>
                <w:rFonts w:ascii="Arial" w:hAnsi="Arial" w:cs="Arial"/>
                <w:b/>
                <w:sz w:val="20"/>
                <w:szCs w:val="20"/>
              </w:rPr>
              <w:t>Model 2</w:t>
            </w:r>
          </w:p>
        </w:tc>
      </w:tr>
      <w:tr w:rsidR="00D67C71" w:rsidRPr="000D168D" w:rsidTr="000057F8">
        <w:tc>
          <w:tcPr>
            <w:tcW w:w="3325" w:type="dxa"/>
            <w:vMerge/>
            <w:shd w:val="clear" w:color="auto" w:fill="D9D9D9" w:themeFill="background1" w:themeFillShade="D9"/>
          </w:tcPr>
          <w:p w:rsidR="00D67C71" w:rsidRPr="000D168D" w:rsidRDefault="00D67C71" w:rsidP="000057F8">
            <w:pPr>
              <w:suppressLineNumber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D9D9D9" w:themeFill="background1" w:themeFillShade="D9"/>
          </w:tcPr>
          <w:p w:rsidR="00D67C71" w:rsidRPr="00D5155F" w:rsidRDefault="00D67C71" w:rsidP="000057F8">
            <w:pPr>
              <w:suppressLineNumbers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155F">
              <w:rPr>
                <w:rFonts w:ascii="Arial" w:hAnsi="Arial" w:cs="Arial"/>
                <w:b/>
                <w:bCs/>
                <w:sz w:val="18"/>
                <w:szCs w:val="18"/>
              </w:rPr>
              <w:t>Access to extension services [dummy variable]</w:t>
            </w:r>
          </w:p>
        </w:tc>
        <w:tc>
          <w:tcPr>
            <w:tcW w:w="3240" w:type="dxa"/>
            <w:shd w:val="clear" w:color="auto" w:fill="D9D9D9" w:themeFill="background1" w:themeFillShade="D9"/>
          </w:tcPr>
          <w:p w:rsidR="00D67C71" w:rsidRPr="00D5155F" w:rsidRDefault="00D67C71" w:rsidP="000057F8">
            <w:pPr>
              <w:suppressLineNumbers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5155F">
              <w:rPr>
                <w:rFonts w:ascii="Arial" w:hAnsi="Arial" w:cs="Arial"/>
                <w:b/>
                <w:bCs/>
                <w:sz w:val="18"/>
                <w:szCs w:val="18"/>
              </w:rPr>
              <w:t>Crop income obtained by farm households that did not access extension services</w:t>
            </w:r>
          </w:p>
        </w:tc>
      </w:tr>
      <w:tr w:rsidR="00D67C71" w:rsidRPr="000D168D" w:rsidTr="000057F8">
        <w:tc>
          <w:tcPr>
            <w:tcW w:w="3325" w:type="dxa"/>
          </w:tcPr>
          <w:p w:rsidR="00D67C71" w:rsidRPr="000D168D" w:rsidRDefault="00D67C71" w:rsidP="000057F8">
            <w:pPr>
              <w:suppressLineNumber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68D">
              <w:rPr>
                <w:rFonts w:ascii="Arial" w:hAnsi="Arial" w:cs="Arial"/>
                <w:sz w:val="20"/>
                <w:szCs w:val="20"/>
              </w:rPr>
              <w:t xml:space="preserve">Overall </w:t>
            </w:r>
          </w:p>
        </w:tc>
        <w:tc>
          <w:tcPr>
            <w:tcW w:w="2520" w:type="dxa"/>
          </w:tcPr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-0.297*</w:t>
            </w:r>
          </w:p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(0.152)</w:t>
            </w:r>
          </w:p>
        </w:tc>
        <w:tc>
          <w:tcPr>
            <w:tcW w:w="3240" w:type="dxa"/>
          </w:tcPr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-0.047</w:t>
            </w:r>
          </w:p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(2.917)</w:t>
            </w:r>
          </w:p>
        </w:tc>
      </w:tr>
      <w:tr w:rsidR="00D67C71" w:rsidRPr="000D168D" w:rsidTr="000057F8">
        <w:tc>
          <w:tcPr>
            <w:tcW w:w="3325" w:type="dxa"/>
          </w:tcPr>
          <w:p w:rsidR="00D67C71" w:rsidRPr="000D168D" w:rsidRDefault="00D67C71" w:rsidP="000057F8">
            <w:pPr>
              <w:suppressLineNumber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68D">
              <w:rPr>
                <w:rFonts w:ascii="Arial" w:hAnsi="Arial" w:cs="Arial"/>
                <w:sz w:val="20"/>
                <w:szCs w:val="20"/>
              </w:rPr>
              <w:t>Among marginalized castes</w:t>
            </w:r>
          </w:p>
        </w:tc>
        <w:tc>
          <w:tcPr>
            <w:tcW w:w="2520" w:type="dxa"/>
          </w:tcPr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-0.419*</w:t>
            </w:r>
          </w:p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(0.194)</w:t>
            </w:r>
          </w:p>
        </w:tc>
        <w:tc>
          <w:tcPr>
            <w:tcW w:w="3240" w:type="dxa"/>
          </w:tcPr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-1.349</w:t>
            </w:r>
          </w:p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(3.195)</w:t>
            </w:r>
          </w:p>
        </w:tc>
      </w:tr>
      <w:tr w:rsidR="00D67C71" w:rsidRPr="000D168D" w:rsidTr="000057F8">
        <w:trPr>
          <w:trHeight w:val="70"/>
        </w:trPr>
        <w:tc>
          <w:tcPr>
            <w:tcW w:w="3325" w:type="dxa"/>
          </w:tcPr>
          <w:p w:rsidR="00D67C71" w:rsidRPr="000D168D" w:rsidRDefault="00D67C71" w:rsidP="000057F8">
            <w:pPr>
              <w:suppressLineNumbers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168D">
              <w:rPr>
                <w:rFonts w:ascii="Arial" w:hAnsi="Arial" w:cs="Arial"/>
                <w:sz w:val="20"/>
                <w:szCs w:val="20"/>
              </w:rPr>
              <w:t>Among non-marginalized castes</w:t>
            </w:r>
          </w:p>
        </w:tc>
        <w:tc>
          <w:tcPr>
            <w:tcW w:w="2520" w:type="dxa"/>
          </w:tcPr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0.037</w:t>
            </w:r>
          </w:p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(0.217)</w:t>
            </w:r>
          </w:p>
        </w:tc>
        <w:tc>
          <w:tcPr>
            <w:tcW w:w="3240" w:type="dxa"/>
          </w:tcPr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9.535</w:t>
            </w:r>
          </w:p>
          <w:p w:rsidR="00D67C71" w:rsidRPr="00D5155F" w:rsidRDefault="00D67C71" w:rsidP="000057F8">
            <w:pPr>
              <w:suppressLineNumbers/>
              <w:spacing w:after="0" w:line="240" w:lineRule="auto"/>
              <w:ind w:firstLine="256"/>
              <w:rPr>
                <w:rFonts w:ascii="Arial" w:hAnsi="Arial" w:cs="Arial"/>
                <w:sz w:val="18"/>
                <w:szCs w:val="18"/>
              </w:rPr>
            </w:pPr>
            <w:r w:rsidRPr="00D5155F">
              <w:rPr>
                <w:rFonts w:ascii="Arial" w:hAnsi="Arial" w:cs="Arial"/>
                <w:sz w:val="18"/>
                <w:szCs w:val="18"/>
              </w:rPr>
              <w:t>(7.226)</w:t>
            </w:r>
          </w:p>
        </w:tc>
      </w:tr>
    </w:tbl>
    <w:p w:rsidR="00D67C71" w:rsidRDefault="00D67C71" w:rsidP="00D67C71">
      <w:pPr>
        <w:suppressLineNumbers/>
        <w:autoSpaceDE w:val="0"/>
        <w:autoSpaceDN w:val="0"/>
        <w:adjustRightInd w:val="0"/>
        <w:spacing w:after="0" w:line="240" w:lineRule="auto"/>
        <w:jc w:val="both"/>
      </w:pPr>
      <w:r w:rsidRPr="000D168D">
        <w:rPr>
          <w:rFonts w:ascii="Arial" w:hAnsi="Arial" w:cs="Arial"/>
          <w:sz w:val="20"/>
          <w:szCs w:val="20"/>
        </w:rPr>
        <w:t xml:space="preserve">Notes: Coefficients </w:t>
      </w:r>
      <w:proofErr w:type="gramStart"/>
      <w:r w:rsidRPr="000D168D">
        <w:rPr>
          <w:rFonts w:ascii="Arial" w:hAnsi="Arial" w:cs="Arial"/>
          <w:sz w:val="20"/>
          <w:szCs w:val="20"/>
        </w:rPr>
        <w:t>are shown</w:t>
      </w:r>
      <w:proofErr w:type="gramEnd"/>
      <w:r w:rsidRPr="000D168D">
        <w:rPr>
          <w:rFonts w:ascii="Arial" w:hAnsi="Arial" w:cs="Arial"/>
          <w:sz w:val="20"/>
          <w:szCs w:val="20"/>
        </w:rPr>
        <w:t xml:space="preserve"> with std. errors in parentheses. Sampling weights </w:t>
      </w:r>
      <w:proofErr w:type="gramStart"/>
      <w:r w:rsidRPr="000D168D">
        <w:rPr>
          <w:rFonts w:ascii="Arial" w:hAnsi="Arial" w:cs="Arial"/>
          <w:sz w:val="20"/>
          <w:szCs w:val="20"/>
        </w:rPr>
        <w:t>are used</w:t>
      </w:r>
      <w:proofErr w:type="gramEnd"/>
      <w:r w:rsidRPr="000D168D">
        <w:rPr>
          <w:rFonts w:ascii="Arial" w:hAnsi="Arial" w:cs="Arial"/>
          <w:sz w:val="20"/>
          <w:szCs w:val="20"/>
        </w:rPr>
        <w:t xml:space="preserve"> in the estimation. The dependent variable of model 2 </w:t>
      </w:r>
      <w:proofErr w:type="gramStart"/>
      <w:r w:rsidRPr="000D168D">
        <w:rPr>
          <w:rFonts w:ascii="Arial" w:hAnsi="Arial" w:cs="Arial"/>
          <w:sz w:val="20"/>
          <w:szCs w:val="20"/>
        </w:rPr>
        <w:t>is measured</w:t>
      </w:r>
      <w:proofErr w:type="gramEnd"/>
      <w:r w:rsidRPr="000D168D">
        <w:rPr>
          <w:rFonts w:ascii="Arial" w:hAnsi="Arial" w:cs="Arial"/>
          <w:sz w:val="20"/>
          <w:szCs w:val="20"/>
        </w:rPr>
        <w:t xml:space="preserve"> as thousand Indian rupees</w:t>
      </w:r>
      <w:r w:rsidRPr="000D168D">
        <w:rPr>
          <w:rFonts w:ascii="Arial" w:eastAsia="Times New Roman" w:hAnsi="Arial" w:cs="Arial"/>
          <w:sz w:val="20"/>
          <w:szCs w:val="20"/>
        </w:rPr>
        <w:t>.</w:t>
      </w:r>
      <w:r w:rsidRPr="000D168D">
        <w:rPr>
          <w:rFonts w:ascii="Arial" w:hAnsi="Arial" w:cs="Arial"/>
          <w:sz w:val="20"/>
          <w:szCs w:val="20"/>
        </w:rPr>
        <w:t xml:space="preserve"> For </w:t>
      </w:r>
      <w:r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  <w:lang w:val="en-US"/>
        </w:rPr>
        <w:t>complete models, the readers may contact the corresponding author</w:t>
      </w:r>
      <w:r w:rsidRPr="000D168D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>
        <w:rPr>
          <w:rFonts w:ascii="Arial" w:hAnsi="Arial" w:cs="Arial"/>
          <w:sz w:val="20"/>
          <w:szCs w:val="20"/>
        </w:rPr>
        <w:t xml:space="preserve">: </w:t>
      </w:r>
      <w:r w:rsidRPr="000D168D">
        <w:rPr>
          <w:rFonts w:ascii="Arial" w:hAnsi="Arial" w:cs="Arial"/>
          <w:sz w:val="20"/>
          <w:szCs w:val="20"/>
        </w:rPr>
        <w:t>Statistically significant at 0.0</w:t>
      </w:r>
      <w:r>
        <w:rPr>
          <w:rFonts w:ascii="Arial" w:hAnsi="Arial" w:cs="Arial"/>
          <w:sz w:val="20"/>
          <w:szCs w:val="20"/>
        </w:rPr>
        <w:t>5</w:t>
      </w:r>
      <w:r w:rsidRPr="000D168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level</w:t>
      </w:r>
      <w:r w:rsidRPr="000D168D">
        <w:rPr>
          <w:rFonts w:ascii="Arial" w:hAnsi="Arial" w:cs="Arial"/>
          <w:sz w:val="20"/>
          <w:szCs w:val="20"/>
        </w:rPr>
        <w:t xml:space="preserve">. </w:t>
      </w:r>
    </w:p>
    <w:p w:rsidR="002D2CAF" w:rsidRDefault="002D2CAF"/>
    <w:sectPr w:rsidR="002D2C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tik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C71"/>
    <w:rsid w:val="002D2CAF"/>
    <w:rsid w:val="00517308"/>
    <w:rsid w:val="00826A66"/>
    <w:rsid w:val="00D6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ACC33"/>
  <w15:chartTrackingRefBased/>
  <w15:docId w15:val="{E310C0A3-DDF5-420B-A08C-26E3190AA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C71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aramond">
    <w:name w:val="Garamond"/>
    <w:basedOn w:val="Normal"/>
    <w:next w:val="Normal"/>
    <w:link w:val="GaramondChar"/>
    <w:autoRedefine/>
    <w:qFormat/>
    <w:rsid w:val="00517308"/>
    <w:pPr>
      <w:spacing w:after="160" w:line="259" w:lineRule="auto"/>
    </w:pPr>
    <w:rPr>
      <w:rFonts w:ascii="Garamond" w:hAnsi="Garamond"/>
      <w:color w:val="000000" w:themeColor="text1"/>
      <w:sz w:val="24"/>
      <w:lang w:val="en-US"/>
    </w:rPr>
  </w:style>
  <w:style w:type="character" w:customStyle="1" w:styleId="GaramondChar">
    <w:name w:val="Garamond Char"/>
    <w:basedOn w:val="DefaultParagraphFont"/>
    <w:link w:val="Garamond"/>
    <w:rsid w:val="00517308"/>
    <w:rPr>
      <w:rFonts w:ascii="Garamond" w:hAnsi="Garamond"/>
      <w:color w:val="000000" w:themeColor="text1"/>
      <w:sz w:val="24"/>
    </w:rPr>
  </w:style>
  <w:style w:type="table" w:styleId="TableGrid">
    <w:name w:val="Table Grid"/>
    <w:basedOn w:val="TableNormal"/>
    <w:uiPriority w:val="59"/>
    <w:rsid w:val="00D67C71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>CIMMYT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KRISHNA, Vijesh (CIMMYT)</dc:creator>
  <cp:keywords/>
  <dc:description/>
  <cp:lastModifiedBy>KRISHNA, Vijesh (CIMMYT)</cp:lastModifiedBy>
  <cp:revision>1</cp:revision>
  <dcterms:created xsi:type="dcterms:W3CDTF">2019-01-07T18:34:00Z</dcterms:created>
  <dcterms:modified xsi:type="dcterms:W3CDTF">2019-01-07T18:34:00Z</dcterms:modified>
</cp:coreProperties>
</file>