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62C" w:rsidRDefault="0046562C" w:rsidP="0046562C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</w:t>
      </w:r>
      <w:r w:rsidR="00BA152D">
        <w:rPr>
          <w:rFonts w:ascii="Arial" w:hAnsi="Arial" w:cs="Arial"/>
          <w:b/>
          <w:sz w:val="28"/>
          <w:szCs w:val="28"/>
        </w:rPr>
        <w:t>3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Table. </w:t>
      </w:r>
      <w:r w:rsidRPr="009760AD">
        <w:rPr>
          <w:rFonts w:ascii="Arial" w:hAnsi="Arial" w:cs="Arial"/>
          <w:b/>
          <w:sz w:val="28"/>
          <w:szCs w:val="28"/>
        </w:rPr>
        <w:t>Heterogeneous effects of extension contact on crop income</w:t>
      </w:r>
    </w:p>
    <w:tbl>
      <w:tblPr>
        <w:tblW w:w="13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5"/>
        <w:gridCol w:w="2250"/>
        <w:gridCol w:w="2070"/>
        <w:gridCol w:w="2160"/>
        <w:gridCol w:w="2250"/>
      </w:tblGrid>
      <w:tr w:rsidR="0046562C" w:rsidRPr="000D168D" w:rsidTr="000057F8">
        <w:trPr>
          <w:trHeight w:val="271"/>
        </w:trPr>
        <w:tc>
          <w:tcPr>
            <w:tcW w:w="4675" w:type="dxa"/>
            <w:vMerge w:val="restart"/>
            <w:shd w:val="clear" w:color="auto" w:fill="D9E2F3" w:themeFill="accent5" w:themeFillTint="33"/>
          </w:tcPr>
          <w:p w:rsidR="0046562C" w:rsidRPr="00971B59" w:rsidRDefault="0046562C" w:rsidP="000057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8730" w:type="dxa"/>
            <w:gridSpan w:val="4"/>
            <w:shd w:val="clear" w:color="auto" w:fill="D9E2F3" w:themeFill="accent5" w:themeFillTint="33"/>
          </w:tcPr>
          <w:p w:rsidR="0046562C" w:rsidRPr="00971B59" w:rsidRDefault="0046562C" w:rsidP="000057F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71B59">
              <w:rPr>
                <w:rFonts w:ascii="Arial" w:hAnsi="Arial" w:cs="Arial"/>
                <w:b/>
                <w:bCs/>
                <w:sz w:val="18"/>
                <w:szCs w:val="18"/>
              </w:rPr>
              <w:t>Farmer is residing in districts where</w:t>
            </w:r>
          </w:p>
        </w:tc>
      </w:tr>
      <w:tr w:rsidR="0046562C" w:rsidRPr="009D6943" w:rsidTr="000057F8">
        <w:trPr>
          <w:trHeight w:val="593"/>
        </w:trPr>
        <w:tc>
          <w:tcPr>
            <w:tcW w:w="4675" w:type="dxa"/>
            <w:vMerge/>
            <w:shd w:val="clear" w:color="auto" w:fill="D9E2F3" w:themeFill="accent5" w:themeFillTint="33"/>
          </w:tcPr>
          <w:p w:rsidR="0046562C" w:rsidRPr="00971B59" w:rsidRDefault="0046562C" w:rsidP="000057F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D9E2F3" w:themeFill="accent5" w:themeFillTint="33"/>
          </w:tcPr>
          <w:p w:rsidR="0046562C" w:rsidRPr="00DD0309" w:rsidRDefault="0046562C" w:rsidP="000057F8">
            <w:pPr>
              <w:suppressLineNumbers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D030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Non-marginalized communities form a majority [&gt;67%]</w:t>
            </w:r>
          </w:p>
        </w:tc>
        <w:tc>
          <w:tcPr>
            <w:tcW w:w="2070" w:type="dxa"/>
            <w:shd w:val="clear" w:color="auto" w:fill="D9E2F3" w:themeFill="accent5" w:themeFillTint="33"/>
          </w:tcPr>
          <w:p w:rsidR="0046562C" w:rsidRPr="00DD0309" w:rsidRDefault="0046562C" w:rsidP="000057F8">
            <w:pPr>
              <w:suppressLineNumbers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D030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Marginalized communities form a majority [&gt;67%]</w:t>
            </w:r>
          </w:p>
        </w:tc>
        <w:tc>
          <w:tcPr>
            <w:tcW w:w="2160" w:type="dxa"/>
            <w:shd w:val="clear" w:color="auto" w:fill="D9E2F3" w:themeFill="accent5" w:themeFillTint="33"/>
          </w:tcPr>
          <w:p w:rsidR="0046562C" w:rsidRPr="00DD0309" w:rsidRDefault="0046562C" w:rsidP="000057F8">
            <w:pPr>
              <w:suppressLineNumbers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D030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Non-BPL households form a majority [&gt;67%]</w:t>
            </w:r>
          </w:p>
        </w:tc>
        <w:tc>
          <w:tcPr>
            <w:tcW w:w="2250" w:type="dxa"/>
            <w:shd w:val="clear" w:color="auto" w:fill="D9E2F3" w:themeFill="accent5" w:themeFillTint="33"/>
          </w:tcPr>
          <w:p w:rsidR="0046562C" w:rsidRPr="00DD0309" w:rsidRDefault="0046562C" w:rsidP="000057F8">
            <w:pPr>
              <w:suppressLineNumbers/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D030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BPL households form a majority [&gt;67%]</w:t>
            </w:r>
          </w:p>
        </w:tc>
      </w:tr>
      <w:tr w:rsidR="0046562C" w:rsidRPr="000D168D" w:rsidTr="000057F8">
        <w:trPr>
          <w:trHeight w:val="253"/>
        </w:trPr>
        <w:tc>
          <w:tcPr>
            <w:tcW w:w="4675" w:type="dxa"/>
            <w:shd w:val="clear" w:color="auto" w:fill="auto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i/>
                <w:sz w:val="18"/>
                <w:szCs w:val="18"/>
              </w:rPr>
              <w:t>Caste categories [dummy variables; reference: non-marginalized castes]</w:t>
            </w:r>
          </w:p>
        </w:tc>
        <w:tc>
          <w:tcPr>
            <w:tcW w:w="2250" w:type="dxa"/>
            <w:shd w:val="clear" w:color="auto" w:fill="auto"/>
          </w:tcPr>
          <w:p w:rsidR="0046562C" w:rsidRPr="00EA71D3" w:rsidRDefault="0046562C" w:rsidP="000057F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auto"/>
          </w:tcPr>
          <w:p w:rsidR="0046562C" w:rsidRPr="00EA71D3" w:rsidRDefault="0046562C" w:rsidP="000057F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auto"/>
          </w:tcPr>
          <w:p w:rsidR="0046562C" w:rsidRPr="00EA71D3" w:rsidRDefault="0046562C" w:rsidP="000057F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auto"/>
          </w:tcPr>
          <w:p w:rsidR="0046562C" w:rsidRPr="00EA71D3" w:rsidRDefault="0046562C" w:rsidP="000057F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sz w:val="18"/>
                <w:szCs w:val="18"/>
              </w:rPr>
              <w:t>Scheduled castes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-5.1346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(3.7042)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-7.8025**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(2.4452)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-6.0012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(2.1034)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-12.4108**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(4.6188)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sz w:val="18"/>
                <w:szCs w:val="18"/>
              </w:rPr>
              <w:t>Scheduled tribes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-2.8575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(12.5718)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-9.9877**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(2.5661)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-7.8566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(3.2593)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-9.4849*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(4.7015)</w:t>
            </w:r>
          </w:p>
        </w:tc>
      </w:tr>
      <w:tr w:rsidR="0046562C" w:rsidRPr="000D168D" w:rsidTr="000057F8">
        <w:trPr>
          <w:trHeight w:val="220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A71D3">
              <w:rPr>
                <w:rFonts w:ascii="Arial" w:hAnsi="Arial" w:cs="Arial"/>
                <w:sz w:val="18"/>
                <w:szCs w:val="18"/>
              </w:rPr>
              <w:t>OBC</w:t>
            </w:r>
            <w:r w:rsidRPr="00EA71D3">
              <w:rPr>
                <w:rFonts w:ascii="Arial" w:eastAsia="Times New Roman" w:hAnsi="Arial" w:cs="Arial"/>
                <w:sz w:val="18"/>
                <w:szCs w:val="18"/>
              </w:rPr>
              <w:t xml:space="preserve"> Muslim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26.5226**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(8.1836)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-7.1160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(4.9783)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-0.0346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(5.1305)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-14.7092*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(6.4950)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A71D3">
              <w:rPr>
                <w:rFonts w:ascii="Arial" w:hAnsi="Arial" w:cs="Arial"/>
                <w:sz w:val="18"/>
                <w:szCs w:val="18"/>
              </w:rPr>
              <w:t>OBC</w:t>
            </w:r>
            <w:r w:rsidRPr="00EA71D3">
              <w:rPr>
                <w:rFonts w:ascii="Arial" w:eastAsia="Times New Roman" w:hAnsi="Arial" w:cs="Arial"/>
                <w:sz w:val="18"/>
                <w:szCs w:val="18"/>
              </w:rPr>
              <w:t xml:space="preserve"> non-Muslim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4.4455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(4.6249)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-1.3758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(2.3943)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-1.8941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(2.1694)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-11.0475*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(4.6953)</w:t>
            </w:r>
          </w:p>
        </w:tc>
      </w:tr>
      <w:tr w:rsidR="0046562C" w:rsidRPr="000D168D" w:rsidTr="000057F8">
        <w:trPr>
          <w:trHeight w:val="121"/>
        </w:trPr>
        <w:tc>
          <w:tcPr>
            <w:tcW w:w="4675" w:type="dxa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i/>
                <w:sz w:val="18"/>
                <w:szCs w:val="18"/>
              </w:rPr>
              <w:t>Extension [dummy] and interaction terms</w:t>
            </w:r>
          </w:p>
        </w:tc>
        <w:tc>
          <w:tcPr>
            <w:tcW w:w="2250" w:type="dxa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562C" w:rsidRPr="000D168D" w:rsidTr="000057F8">
        <w:trPr>
          <w:trHeight w:val="92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sz w:val="18"/>
                <w:szCs w:val="18"/>
              </w:rPr>
              <w:t>Extension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29.3153**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(8.1635)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3.4102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(5.7948)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19.0256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(5.0745)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1.7772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(7.7530)</w:t>
            </w:r>
          </w:p>
        </w:tc>
      </w:tr>
      <w:tr w:rsidR="0046562C" w:rsidRPr="000D168D" w:rsidTr="000057F8">
        <w:trPr>
          <w:trHeight w:val="65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sz w:val="18"/>
                <w:szCs w:val="18"/>
              </w:rPr>
              <w:t>Scheduled castes x Extension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-45.1821*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(22.4521)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-1.4780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(6.5579)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-18.5658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(7.9054)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8.0726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(9.5959)</w:t>
            </w:r>
          </w:p>
        </w:tc>
      </w:tr>
      <w:tr w:rsidR="0046562C" w:rsidRPr="000D168D" w:rsidTr="000057F8">
        <w:trPr>
          <w:trHeight w:val="194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sz w:val="18"/>
                <w:szCs w:val="18"/>
              </w:rPr>
              <w:t>Scheduled tribes x Extension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-15.4520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(34.4024)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4.0102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(6.6260)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-17.8654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(7.9715)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8.7311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(9.9665)</w:t>
            </w:r>
          </w:p>
        </w:tc>
      </w:tr>
      <w:tr w:rsidR="0046562C" w:rsidRPr="000D168D" w:rsidTr="000057F8">
        <w:trPr>
          <w:trHeight w:val="126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sz w:val="18"/>
                <w:szCs w:val="18"/>
              </w:rPr>
              <w:t>OBC Muslim x Extension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-94.5199**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(16.4424)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-2.1773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(9.2885)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-23.5385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(10.9836)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1.5231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(12.2741)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sz w:val="18"/>
                <w:szCs w:val="18"/>
              </w:rPr>
              <w:t>OBC non-Muslim x Extension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-28.6369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(16.6931)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8.3070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(6.2227)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-10.3954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(6.3368)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8.4573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(8.8906)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before="120"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Farm-household characteristics </w:t>
            </w:r>
          </w:p>
        </w:tc>
        <w:tc>
          <w:tcPr>
            <w:tcW w:w="2250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Homestead farming [dummy]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0.5060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(12.4744)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-5.3624*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(2.5148)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-3.4914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(3.5736)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-12.7414**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(3.8667)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Size of land owned [ha] per adult equivalent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43.7483**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(12.5589)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42.1543**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(2.6795)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56.8940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(4.2927)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31.8757**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(4.0786)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Household size [adult equivalents]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14.8712**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(2.9502)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11.9793**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(0.7718)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12.4301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(0.8777)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10.3267**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(1.6704)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Household head age [years]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0.1198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(0.1559)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0.0586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(0.0495)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0.0618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(0.0648)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-0.0231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(0.0960)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Female household head [dummy]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-1.6882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(5.5268)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0.5430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(1.5439)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3.4810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(1.9685)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-1.9551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(3.2687)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Household head education [years]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1.1598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(0.6471)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0.9915**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(0.1898)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0.7860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(0.2375)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0.4026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(0.3353)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Possess owned dwelling [dummy]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8.2494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(12.7644)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-6.9492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(3.8986)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1.1285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(4.6134)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-0.4623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(6.6405)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Type of dwelling [1 = bad / </w:t>
            </w:r>
            <w:proofErr w:type="spellStart"/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kaccha</w:t>
            </w:r>
            <w:proofErr w:type="spellEnd"/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2 = medium / semi-</w:t>
            </w:r>
            <w:proofErr w:type="spellStart"/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pucca</w:t>
            </w:r>
            <w:proofErr w:type="spellEnd"/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3 = good / </w:t>
            </w:r>
            <w:proofErr w:type="spellStart"/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pucca</w:t>
            </w:r>
            <w:proofErr w:type="spellEnd"/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0.5544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(4.0246)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3.0012**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(0.8608)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2.9696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(1.1676)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2.0169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(1.4447)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before="120"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Off-farm income sources [dummy variables]</w:t>
            </w:r>
          </w:p>
        </w:tc>
        <w:tc>
          <w:tcPr>
            <w:tcW w:w="2250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0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60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0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Livestock production 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-63.7783**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(12.4881)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-19.0566**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(3.1396)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-32.1736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(4.0844)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0.4083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(7.7926)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Non-farm employment 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-32.2957**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(5.8679)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-18.1716**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(1.9271)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-20.4041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(2.4593)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-12.4205**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(3.3747)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Wage employment 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-28.2397**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(4.2204)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-15.6211**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(1.3195)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-17.7705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(1.7393)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-14.0062**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(1.8100)</w:t>
            </w:r>
          </w:p>
        </w:tc>
      </w:tr>
      <w:tr w:rsidR="0046562C" w:rsidRPr="000D168D" w:rsidTr="000057F8">
        <w:trPr>
          <w:trHeight w:val="78"/>
        </w:trPr>
        <w:tc>
          <w:tcPr>
            <w:tcW w:w="4675" w:type="dxa"/>
            <w:shd w:val="clear" w:color="auto" w:fill="FFFFFF" w:themeFill="background1"/>
          </w:tcPr>
          <w:p w:rsidR="0046562C" w:rsidRPr="00EA71D3" w:rsidRDefault="0046562C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Pension and remittance 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-26.2009**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(6.1245)</w:t>
            </w:r>
          </w:p>
        </w:tc>
        <w:tc>
          <w:tcPr>
            <w:tcW w:w="207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-9.7180**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(1.8616)</w:t>
            </w:r>
          </w:p>
        </w:tc>
        <w:tc>
          <w:tcPr>
            <w:tcW w:w="216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-14.9661</w:t>
            </w: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2190D">
              <w:rPr>
                <w:rFonts w:ascii="Arial" w:hAnsi="Arial" w:cs="Arial"/>
                <w:color w:val="000000"/>
                <w:sz w:val="18"/>
                <w:szCs w:val="18"/>
              </w:rPr>
              <w:t>(2.2019)</w:t>
            </w:r>
          </w:p>
        </w:tc>
        <w:tc>
          <w:tcPr>
            <w:tcW w:w="2250" w:type="dxa"/>
            <w:shd w:val="clear" w:color="auto" w:fill="FFFFFF" w:themeFill="background1"/>
            <w:vAlign w:val="bottom"/>
          </w:tcPr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-0.5297</w:t>
            </w:r>
          </w:p>
          <w:p w:rsidR="0046562C" w:rsidRPr="0002190D" w:rsidRDefault="0046562C" w:rsidP="000057F8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02190D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(5.0480)</w:t>
            </w:r>
          </w:p>
        </w:tc>
      </w:tr>
      <w:tr w:rsidR="0046562C" w:rsidRPr="000D168D" w:rsidTr="000057F8">
        <w:tc>
          <w:tcPr>
            <w:tcW w:w="4675" w:type="dxa"/>
            <w:shd w:val="clear" w:color="auto" w:fill="D9D9D9" w:themeFill="background1" w:themeFillShade="D9"/>
          </w:tcPr>
          <w:p w:rsidR="0046562C" w:rsidRPr="00EA71D3" w:rsidRDefault="0046562C" w:rsidP="000057F8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EA71D3">
              <w:rPr>
                <w:rFonts w:ascii="Arial" w:eastAsia="Times New Roman" w:hAnsi="Arial" w:cs="Arial"/>
                <w:i/>
                <w:sz w:val="18"/>
                <w:szCs w:val="18"/>
              </w:rPr>
              <w:t>Number of observations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A71D3">
              <w:rPr>
                <w:rFonts w:ascii="Arial" w:hAnsi="Arial" w:cs="Arial"/>
                <w:sz w:val="18"/>
                <w:szCs w:val="18"/>
              </w:rPr>
              <w:t>3,031</w:t>
            </w:r>
          </w:p>
        </w:tc>
        <w:tc>
          <w:tcPr>
            <w:tcW w:w="2070" w:type="dxa"/>
            <w:shd w:val="clear" w:color="auto" w:fill="D9D9D9" w:themeFill="background1" w:themeFillShade="D9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76A00">
              <w:rPr>
                <w:rFonts w:ascii="Arial" w:hAnsi="Arial" w:cs="Arial"/>
                <w:sz w:val="18"/>
                <w:szCs w:val="18"/>
              </w:rPr>
              <w:t>20,274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EA71D3">
              <w:rPr>
                <w:rFonts w:ascii="Arial" w:hAnsi="Arial" w:cs="Arial"/>
                <w:sz w:val="18"/>
                <w:szCs w:val="18"/>
              </w:rPr>
              <w:t>14,689</w:t>
            </w:r>
          </w:p>
        </w:tc>
        <w:tc>
          <w:tcPr>
            <w:tcW w:w="2250" w:type="dxa"/>
            <w:shd w:val="clear" w:color="auto" w:fill="D9D9D9" w:themeFill="background1" w:themeFillShade="D9"/>
          </w:tcPr>
          <w:p w:rsidR="0046562C" w:rsidRPr="00EA71D3" w:rsidRDefault="0046562C" w:rsidP="000057F8">
            <w:pPr>
              <w:spacing w:after="0" w:line="240" w:lineRule="auto"/>
              <w:jc w:val="right"/>
              <w:rPr>
                <w:rFonts w:ascii="Arial" w:hAnsi="Arial" w:cs="Arial"/>
                <w:i/>
                <w:sz w:val="18"/>
                <w:szCs w:val="18"/>
              </w:rPr>
            </w:pPr>
            <w:r w:rsidRPr="00D76A00">
              <w:rPr>
                <w:rFonts w:ascii="Arial" w:hAnsi="Arial" w:cs="Arial"/>
                <w:sz w:val="18"/>
                <w:szCs w:val="18"/>
              </w:rPr>
              <w:t>5,371</w:t>
            </w:r>
          </w:p>
        </w:tc>
      </w:tr>
    </w:tbl>
    <w:p w:rsidR="0046562C" w:rsidRDefault="0046562C" w:rsidP="004656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All models are with district-level fixed effects. S</w:t>
      </w:r>
      <w:r w:rsidRPr="0062095F">
        <w:rPr>
          <w:rFonts w:ascii="Arial" w:hAnsi="Arial" w:cs="Arial"/>
          <w:sz w:val="20"/>
          <w:szCs w:val="20"/>
        </w:rPr>
        <w:t>tandard errors</w:t>
      </w:r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are shown</w:t>
      </w:r>
      <w:proofErr w:type="gramEnd"/>
      <w:r w:rsidRPr="0062095F">
        <w:rPr>
          <w:rFonts w:ascii="Arial" w:hAnsi="Arial" w:cs="Arial"/>
          <w:sz w:val="20"/>
          <w:szCs w:val="20"/>
        </w:rPr>
        <w:t xml:space="preserve"> in parentheses</w:t>
      </w:r>
      <w:r>
        <w:rPr>
          <w:rFonts w:ascii="Arial" w:hAnsi="Arial" w:cs="Arial"/>
          <w:sz w:val="20"/>
          <w:szCs w:val="20"/>
        </w:rPr>
        <w:t xml:space="preserve">. </w:t>
      </w:r>
      <w:r w:rsidRPr="005F282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5F2828">
        <w:rPr>
          <w:rFonts w:ascii="Arial" w:hAnsi="Arial" w:cs="Arial"/>
          <w:sz w:val="20"/>
          <w:szCs w:val="20"/>
          <w:vertAlign w:val="superscript"/>
        </w:rPr>
        <w:t>*</w:t>
      </w:r>
      <w:r w:rsidRPr="005F2828">
        <w:rPr>
          <w:rFonts w:ascii="Arial" w:hAnsi="Arial" w:cs="Arial"/>
          <w:sz w:val="20"/>
          <w:szCs w:val="20"/>
        </w:rPr>
        <w:t xml:space="preserve">, </w:t>
      </w:r>
      <w:r w:rsidRPr="005F2828">
        <w:rPr>
          <w:rFonts w:ascii="Arial" w:hAnsi="Arial" w:cs="Arial"/>
          <w:sz w:val="20"/>
          <w:szCs w:val="20"/>
          <w:vertAlign w:val="superscript"/>
        </w:rPr>
        <w:t>**</w:t>
      </w:r>
      <w:r>
        <w:rPr>
          <w:rFonts w:ascii="Arial" w:hAnsi="Arial" w:cs="Arial"/>
          <w:sz w:val="20"/>
          <w:szCs w:val="20"/>
        </w:rPr>
        <w:t xml:space="preserve"> </w:t>
      </w:r>
      <w:r w:rsidRPr="005F2828">
        <w:rPr>
          <w:rFonts w:ascii="Arial" w:hAnsi="Arial" w:cs="Arial"/>
          <w:sz w:val="20"/>
          <w:szCs w:val="20"/>
        </w:rPr>
        <w:t>Statistically significant at 0.05</w:t>
      </w:r>
      <w:r>
        <w:rPr>
          <w:rFonts w:ascii="Arial" w:hAnsi="Arial" w:cs="Arial"/>
          <w:sz w:val="20"/>
          <w:szCs w:val="20"/>
        </w:rPr>
        <w:t xml:space="preserve"> </w:t>
      </w:r>
      <w:r w:rsidRPr="005F2828">
        <w:rPr>
          <w:rFonts w:ascii="Arial" w:hAnsi="Arial" w:cs="Arial"/>
          <w:sz w:val="20"/>
          <w:szCs w:val="20"/>
        </w:rPr>
        <w:t xml:space="preserve">and 0.01 levels respectively. </w:t>
      </w:r>
    </w:p>
    <w:p w:rsidR="0046562C" w:rsidRDefault="0046562C" w:rsidP="004656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6562C" w:rsidRDefault="0046562C" w:rsidP="0046562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6562C" w:rsidRPr="009D6943" w:rsidRDefault="0046562C" w:rsidP="0046562C">
      <w:pPr>
        <w:spacing w:after="0" w:line="240" w:lineRule="auto"/>
        <w:jc w:val="both"/>
        <w:rPr>
          <w:rFonts w:ascii="Arial" w:hAnsi="Arial" w:cs="Arial"/>
        </w:rPr>
      </w:pPr>
    </w:p>
    <w:p w:rsidR="0046562C" w:rsidRDefault="0046562C" w:rsidP="0046562C"/>
    <w:p w:rsidR="002D2CAF" w:rsidRDefault="002D2CAF"/>
    <w:sectPr w:rsidR="002D2CAF" w:rsidSect="00A519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tik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62C"/>
    <w:rsid w:val="002D2CAF"/>
    <w:rsid w:val="0046562C"/>
    <w:rsid w:val="00517308"/>
    <w:rsid w:val="00826A66"/>
    <w:rsid w:val="0099364D"/>
    <w:rsid w:val="00BA1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C9DAF"/>
  <w15:chartTrackingRefBased/>
  <w15:docId w15:val="{EA3777DB-E1C1-4DF4-8AC0-1E477717C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5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aramond">
    <w:name w:val="Garamond"/>
    <w:basedOn w:val="Normal"/>
    <w:next w:val="Normal"/>
    <w:link w:val="GaramondChar"/>
    <w:autoRedefine/>
    <w:qFormat/>
    <w:rsid w:val="00517308"/>
    <w:rPr>
      <w:rFonts w:ascii="Garamond" w:hAnsi="Garamond"/>
      <w:color w:val="000000" w:themeColor="text1"/>
      <w:sz w:val="24"/>
    </w:rPr>
  </w:style>
  <w:style w:type="character" w:customStyle="1" w:styleId="GaramondChar">
    <w:name w:val="Garamond Char"/>
    <w:basedOn w:val="DefaultParagraphFont"/>
    <w:link w:val="Garamond"/>
    <w:rsid w:val="00517308"/>
    <w:rPr>
      <w:rFonts w:ascii="Garamond" w:hAnsi="Garamond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2400</Characters>
  <Application>Microsoft Office Word</Application>
  <DocSecurity>0</DocSecurity>
  <Lines>20</Lines>
  <Paragraphs>5</Paragraphs>
  <ScaleCrop>false</ScaleCrop>
  <Company>CIMMYT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KRISHNA, Vijesh (CIMMYT)</dc:creator>
  <cp:keywords/>
  <dc:description/>
  <cp:lastModifiedBy>KRISHNA, Vijesh (CIMMYT)</cp:lastModifiedBy>
  <cp:revision>3</cp:revision>
  <dcterms:created xsi:type="dcterms:W3CDTF">2019-01-07T17:29:00Z</dcterms:created>
  <dcterms:modified xsi:type="dcterms:W3CDTF">2019-01-07T18:40:00Z</dcterms:modified>
</cp:coreProperties>
</file>