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1F5" w:rsidRPr="009C7F62" w:rsidRDefault="008D66A5" w:rsidP="008D66A5">
      <w:pPr>
        <w:suppressLineNumbers/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9C7F62">
        <w:rPr>
          <w:rFonts w:ascii="Arial" w:hAnsi="Arial" w:cs="Arial"/>
          <w:b/>
          <w:sz w:val="28"/>
          <w:szCs w:val="28"/>
          <w:lang w:val="en-US"/>
        </w:rPr>
        <w:t>S</w:t>
      </w:r>
      <w:r w:rsidR="009C7F62" w:rsidRPr="009C7F62">
        <w:rPr>
          <w:rFonts w:ascii="Arial" w:hAnsi="Arial" w:cs="Arial"/>
          <w:b/>
          <w:sz w:val="28"/>
          <w:szCs w:val="28"/>
          <w:lang w:val="en-US"/>
        </w:rPr>
        <w:t>1</w:t>
      </w:r>
      <w:r w:rsidRPr="009C7F62">
        <w:rPr>
          <w:rFonts w:ascii="Arial" w:hAnsi="Arial" w:cs="Arial"/>
          <w:b/>
          <w:sz w:val="28"/>
          <w:szCs w:val="28"/>
          <w:lang w:val="en-US"/>
        </w:rPr>
        <w:t xml:space="preserve"> Figure. </w:t>
      </w:r>
      <w:r w:rsidR="00A011F5" w:rsidRPr="009C7F62">
        <w:rPr>
          <w:rFonts w:ascii="Arial" w:hAnsi="Arial" w:cs="Arial"/>
          <w:b/>
          <w:sz w:val="28"/>
          <w:szCs w:val="28"/>
        </w:rPr>
        <w:t>Association between non-access due to non-availability of extension services and access probability</w:t>
      </w:r>
    </w:p>
    <w:p w:rsidR="00A011F5" w:rsidRPr="000D168D" w:rsidRDefault="00A011F5" w:rsidP="00A011F5">
      <w:pPr>
        <w:suppressLineNumbers/>
        <w:spacing w:after="120"/>
        <w:jc w:val="both"/>
        <w:rPr>
          <w:rFonts w:ascii="Arial" w:hAnsi="Arial" w:cs="Arial"/>
          <w:b/>
        </w:rPr>
      </w:pPr>
      <w:r w:rsidRPr="000D168D">
        <w:rPr>
          <w:rFonts w:ascii="Arial" w:hAnsi="Arial" w:cs="Arial"/>
          <w:noProof/>
          <w:lang w:val="en-US" w:bidi="ml-IN"/>
        </w:rPr>
        <w:drawing>
          <wp:inline distT="0" distB="0" distL="0" distR="0" wp14:anchorId="2A8F9974" wp14:editId="61FEBDA5">
            <wp:extent cx="5800725" cy="4343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A011F5" w:rsidRPr="000D168D" w:rsidRDefault="00A011F5" w:rsidP="00A011F5">
      <w:pPr>
        <w:suppressLineNumbers/>
        <w:spacing w:after="120"/>
        <w:jc w:val="both"/>
        <w:rPr>
          <w:rFonts w:ascii="Arial" w:hAnsi="Arial" w:cs="Arial"/>
          <w:sz w:val="20"/>
          <w:szCs w:val="20"/>
        </w:rPr>
      </w:pPr>
      <w:r w:rsidRPr="000D168D">
        <w:rPr>
          <w:rFonts w:ascii="Arial" w:hAnsi="Arial" w:cs="Arial"/>
          <w:sz w:val="20"/>
          <w:szCs w:val="20"/>
        </w:rPr>
        <w:t xml:space="preserve">Note: The dotted line shows </w:t>
      </w:r>
      <w:r w:rsidR="0006240D">
        <w:rPr>
          <w:rFonts w:ascii="Arial" w:hAnsi="Arial" w:cs="Arial"/>
          <w:sz w:val="20"/>
          <w:szCs w:val="20"/>
        </w:rPr>
        <w:t xml:space="preserve">the </w:t>
      </w:r>
      <w:r w:rsidRPr="000D168D">
        <w:rPr>
          <w:rFonts w:ascii="Arial" w:hAnsi="Arial" w:cs="Arial"/>
          <w:sz w:val="20"/>
          <w:szCs w:val="20"/>
        </w:rPr>
        <w:t xml:space="preserve">logarithmic trend. </w:t>
      </w:r>
    </w:p>
    <w:p w:rsidR="00A011F5" w:rsidRPr="000D168D" w:rsidRDefault="00A011F5" w:rsidP="00A011F5">
      <w:pPr>
        <w:suppressLineNumbers/>
        <w:spacing w:after="12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A011F5" w:rsidRPr="000D1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04E33"/>
    <w:multiLevelType w:val="hybridMultilevel"/>
    <w:tmpl w:val="87B22A66"/>
    <w:lvl w:ilvl="0" w:tplc="5406F6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1F5"/>
    <w:rsid w:val="0006240D"/>
    <w:rsid w:val="001C29B5"/>
    <w:rsid w:val="002D2CAF"/>
    <w:rsid w:val="00517308"/>
    <w:rsid w:val="00826A66"/>
    <w:rsid w:val="008D66A5"/>
    <w:rsid w:val="009C7F62"/>
    <w:rsid w:val="00A01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77B4C"/>
  <w15:chartTrackingRefBased/>
  <w15:docId w15:val="{7BC7676B-350E-4C75-B765-0B042D2BE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1F5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amond">
    <w:name w:val="Garamond"/>
    <w:basedOn w:val="Normal"/>
    <w:next w:val="Normal"/>
    <w:link w:val="GaramondChar"/>
    <w:autoRedefine/>
    <w:qFormat/>
    <w:rsid w:val="00517308"/>
    <w:rPr>
      <w:rFonts w:ascii="Garamond" w:hAnsi="Garamond"/>
      <w:color w:val="000000" w:themeColor="text1"/>
      <w:sz w:val="24"/>
    </w:rPr>
  </w:style>
  <w:style w:type="character" w:customStyle="1" w:styleId="GaramondChar">
    <w:name w:val="Garamond Char"/>
    <w:basedOn w:val="DefaultParagraphFont"/>
    <w:link w:val="Garamond"/>
    <w:rsid w:val="00517308"/>
    <w:rPr>
      <w:rFonts w:ascii="Garamond" w:hAnsi="Garamond"/>
      <w:color w:val="000000" w:themeColor="text1"/>
      <w:sz w:val="24"/>
    </w:rPr>
  </w:style>
  <w:style w:type="paragraph" w:styleId="ListParagraph">
    <w:name w:val="List Paragraph"/>
    <w:basedOn w:val="Normal"/>
    <w:uiPriority w:val="34"/>
    <w:qFormat/>
    <w:rsid w:val="00A011F5"/>
    <w:pPr>
      <w:ind w:left="720"/>
      <w:contextualSpacing/>
    </w:pPr>
  </w:style>
  <w:style w:type="table" w:styleId="TableGrid">
    <w:name w:val="Table Grid"/>
    <w:basedOn w:val="TableNormal"/>
    <w:uiPriority w:val="59"/>
    <w:rsid w:val="00A011F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327577778008901"/>
          <c:y val="6.1432767185093599E-2"/>
          <c:w val="0.83498510836739903"/>
          <c:h val="0.8001625980947130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Access probability</c:v>
                </c:pt>
              </c:strCache>
            </c:strRef>
          </c:tx>
          <c:spPr>
            <a:solidFill>
              <a:schemeClr val="accent1">
                <a:lumMod val="60000"/>
                <a:lumOff val="40000"/>
              </a:schemeClr>
            </a:solidFill>
            <a:ln w="12700">
              <a:solidFill>
                <a:schemeClr val="tx1">
                  <a:lumMod val="50000"/>
                  <a:lumOff val="50000"/>
                </a:schemeClr>
              </a:solidFill>
            </a:ln>
            <a:effectLst/>
          </c:spPr>
          <c:invertIfNegative val="0"/>
          <c:trendline>
            <c:spPr>
              <a:ln w="15875" cap="rnd">
                <a:solidFill>
                  <a:srgbClr val="C00000"/>
                </a:solidFill>
                <a:prstDash val="dash"/>
                <a:round/>
              </a:ln>
              <a:effectLst/>
            </c:spPr>
            <c:trendlineType val="log"/>
            <c:dispRSqr val="0"/>
            <c:dispEq val="0"/>
          </c:trendline>
          <c:cat>
            <c:strRef>
              <c:f>Sheet1!$A$2:$A$7</c:f>
              <c:strCache>
                <c:ptCount val="6"/>
                <c:pt idx="0">
                  <c:v>0%</c:v>
                </c:pt>
                <c:pt idx="1">
                  <c:v>1-20%</c:v>
                </c:pt>
                <c:pt idx="2">
                  <c:v>21-40%</c:v>
                </c:pt>
                <c:pt idx="3">
                  <c:v>41-60%</c:v>
                </c:pt>
                <c:pt idx="4">
                  <c:v>61-80%</c:v>
                </c:pt>
                <c:pt idx="5">
                  <c:v>&gt;80%</c:v>
                </c:pt>
              </c:strCache>
            </c:strRef>
          </c:cat>
          <c:val>
            <c:numRef>
              <c:f>Sheet1!$B$2:$B$7</c:f>
              <c:numCache>
                <c:formatCode>0.000</c:formatCode>
                <c:ptCount val="6"/>
                <c:pt idx="0">
                  <c:v>13.603719999999999</c:v>
                </c:pt>
                <c:pt idx="1">
                  <c:v>12.115309999999999</c:v>
                </c:pt>
                <c:pt idx="2">
                  <c:v>6.7819400000000014</c:v>
                </c:pt>
                <c:pt idx="3">
                  <c:v>6.9858500000000001</c:v>
                </c:pt>
                <c:pt idx="4">
                  <c:v>8.5856300000000001</c:v>
                </c:pt>
                <c:pt idx="5">
                  <c:v>3.6745300000000012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D9-476F-9877-CBA7685F867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9"/>
        <c:axId val="780523840"/>
        <c:axId val="780526384"/>
      </c:barChart>
      <c:catAx>
        <c:axId val="780523840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Share (%) of non-access due to non-availabilty</a:t>
                </a:r>
              </a:p>
            </c:rich>
          </c:tx>
          <c:layout>
            <c:manualLayout>
              <c:xMode val="edge"/>
              <c:yMode val="edge"/>
              <c:x val="0.27850213406283297"/>
              <c:y val="0.9290902343886470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80526384"/>
        <c:crosses val="autoZero"/>
        <c:auto val="1"/>
        <c:lblAlgn val="ctr"/>
        <c:lblOffset val="100"/>
        <c:noMultiLvlLbl val="0"/>
      </c:catAx>
      <c:valAx>
        <c:axId val="780526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100" b="0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Access probabilty (%)</a:t>
                </a:r>
              </a:p>
            </c:rich>
          </c:tx>
          <c:layout>
            <c:manualLayout>
              <c:xMode val="edge"/>
              <c:yMode val="edge"/>
              <c:x val="3.23695567805342E-2"/>
              <c:y val="0.37124157827379001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805238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1100"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>CIMMYT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KRISHNA, Vijesh (CIMMYT)</dc:creator>
  <cp:keywords/>
  <dc:description/>
  <cp:lastModifiedBy>KRISHNA, Vijesh (CIMMYT)</cp:lastModifiedBy>
  <cp:revision>2</cp:revision>
  <dcterms:created xsi:type="dcterms:W3CDTF">2019-01-10T20:12:00Z</dcterms:created>
  <dcterms:modified xsi:type="dcterms:W3CDTF">2019-01-10T20:12:00Z</dcterms:modified>
</cp:coreProperties>
</file>