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5D7" w:rsidRDefault="008065D7" w:rsidP="008065D7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S1 Text, Searching for interaction partners of Trx2 </w:t>
      </w:r>
    </w:p>
    <w:p w:rsidR="008065D7" w:rsidRDefault="008065D7" w:rsidP="008065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Methods</w:t>
      </w:r>
    </w:p>
    <w:p w:rsidR="008065D7" w:rsidRDefault="008065D7" w:rsidP="008065D7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x 10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C-terminally myc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-tagged WT-Trx2, C63/66S-Trx2 and 5S-Trx2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cell lines as well as PC WT cells were centrifuged, washed with PBS and snap frozen. All subsequent steps were conducted at 4°C. Cell pellets were reconstituted in immunoprecipitation (IP) lysis buffer (50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pH 8.0, 120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0.5% NP-40,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DTT and 50 µg/ml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leupeptin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and lysed by passing through a 25 gauge needle 20 times. The lysate was centrifuged at 13,000 rpm for 10 min and the supernatant was incubated with 200 µl anti-c-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-coupled agarose beads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Biomol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with rotation for 4 h. After 3-5 washes with IP wash buffer (50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pH 8.0, 120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0.5% NP-40), proteins were eluted from the beads by 30 min rotation in 0.1 M glycine, pH 2.5. To validate the procedure, aliquots of the cell lysate, unbound fraction, washes and elution fractions were analyzed by Western blotting using anti-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antibodies. The eluates were concentrated, and the buffer was exchanged to 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ammonium bicarbonate, pH 7.5, using a 3,000 Da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Amicon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filter (Merck). Subsequently, 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he elution fractions from the </w:t>
      </w:r>
      <w:r>
        <w:rPr>
          <w:rFonts w:ascii="Times New Roman" w:hAnsi="Times New Roman" w:cs="Times New Roman"/>
          <w:sz w:val="24"/>
          <w:szCs w:val="24"/>
          <w:lang w:val="en-US"/>
        </w:rPr>
        <w:t>WT-</w:t>
      </w:r>
      <w:r>
        <w:rPr>
          <w:rFonts w:ascii="Times New Roman" w:hAnsi="Times New Roman" w:cs="Times New Roman"/>
          <w:sz w:val="24"/>
          <w:szCs w:val="24"/>
          <w:lang w:val="en-GB"/>
        </w:rPr>
        <w:t>Trx2,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C63/66S-Trx2 and 5S-Trx2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cKO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cells as well as the WT cell lysates were subjected to SDS-PAGE on 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short 15% gel, run for 15 min and stained with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Coomassie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Blue. The gel lanes were cut into three fractions and the proteins in-gel digested with trypsin as described previously (Chi et al. 2011). The eluted peptides were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desalted using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ZipTip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lang w:val="en-US"/>
        </w:rPr>
        <w:t>C18 material (Merck Millipore) and re-suspended in 0.1% (v/v) formic acid. The peptide solutions from the three gel fractions of the same sample were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combined and the peptides of the four Trx2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CoIP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samples subjected to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nLC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-MS/MS analysis using an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Orbitrap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Fusion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Fisher Scientific) coupled to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TriVersa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NanoMate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Advion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Ltd.) </w:t>
      </w:r>
      <w:r>
        <w:rPr>
          <w:rFonts w:ascii="Times New Roman" w:hAnsi="Times New Roman" w:cs="Times New Roman"/>
          <w:sz w:val="24"/>
          <w:szCs w:val="24"/>
          <w:lang w:val="en-GB"/>
        </w:rPr>
        <w:t>as described previously (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Kublik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et al. 2016).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In total,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 peptide solution was separated at a constant flow of 300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/min on 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15 cm analytical column (Acclaim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PepMap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100 RSLC, 2 µm C18 particles,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nanoViper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connections, 75 µm x 25 cm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Thermo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Scientific) at 35°C 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Dionex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Ultimate 3000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nano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-LC system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Dionex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Fisher Scientific) using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0.1% formic acid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(solvent A)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and 80% acetonitrile, 0.08% formic acid (solvent B) and a linear 90 min gradient of 4% to 55% solvent B.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Peptide identification was conducted by Proteome Discoverer (version 2.2,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Fisher Scientific) using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SequestHT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search engine as described (Seidel et al. 2018) and the annotated protein databases for the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brucei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427 and 927 strains accessed from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TriTrypDB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(current release, last modified 24.08.18). Peptides were considered to be identified with high and medium confidence at a target false discovery rate (FDR) of ≤0.01 and ≤0.05, respectively, based on the q-values. Identified proteins were quantified by the '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Percursor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Ions Quantifier' implemented in Proteome Discoverer 2.2 as based on peak intensities to estimate the abundance of the Trx2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proteins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analysed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samples.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For determination of fold-enrichment of Trx2 interaction partners, 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he total abundance of each protein detected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CoIP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eluates of the three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myc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-tagged cell lines was divided by the abundance detected in the WT cell background.  Proteins which were enriched in at least two of the three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myc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-tagged cell lines were considered. Proteins were cross-referenced against a list of non-specific proteins identified by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BioID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with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Myc-BirA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*-CIF1 as the bait (Zhou et al. 2018).</w:t>
      </w:r>
    </w:p>
    <w:p w:rsidR="008065D7" w:rsidRDefault="008065D7" w:rsidP="008065D7">
      <w:pPr>
        <w:spacing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Results</w:t>
      </w:r>
    </w:p>
    <w:p w:rsidR="008065D7" w:rsidRDefault="008065D7" w:rsidP="008065D7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WT-Trx2,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C63/66S-Trx2 or 5S-Trx2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cKO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cells, alongside WT cells, were subjected to co-immunoprecipitation. The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myc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-tagged proteins were detected in the total lysate and elution fractions derived from the three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cKO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cell lines but not in the WT control cells, validating the overall procedure (S10 Fig). The eluates were subjected to label-free quantitative mass spectrometry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Trx2 species were enriched between 40 and 112-fold. In addition, 264 (320) proteins were found to be enriched &gt;3-fold and 61 (95) proteins were enriched &gt;5-fold, when searching against the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T.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brucei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427 (or 927) database. To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reduce the number of putatively non-specifically binding proteins, we repeated the </w:t>
      </w:r>
      <w:r>
        <w:rPr>
          <w:rFonts w:ascii="Times New Roman" w:hAnsi="Times New Roman" w:cs="Times New Roman"/>
          <w:sz w:val="24"/>
          <w:szCs w:val="24"/>
          <w:lang w:val="en-GB"/>
        </w:rPr>
        <w:t>analysis but incl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uded two further washing steps of the agarose beads until we could no longer detect any protein in the wash fraction. Again,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myc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-tagged Trx2 proteins were enriched between 100 and 183-fold. F</w:t>
      </w:r>
      <w:r>
        <w:rPr>
          <w:rFonts w:ascii="Times New Roman" w:hAnsi="Times New Roman" w:cs="Times New Roman"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T.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brucei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427 (or 927), we identified 292 (283) and 144 (138) proteins with &gt;3 and &gt;5-fold enrichment, respectively. Clearly, the more stringent washing did not reduce the number of proteins. To further evaluate the data obtained, we compared the proteins which were enriched &gt;5-fold in both co-immunoprecipitation experiments. Proteasome regulatory ATPase subunit 2 (Tb427tmp.02.1220, Tb927.11.3740) was the only protein which was identified as being ≥5-fold enriched in both co-immunoprecipitation experiments by searching the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T.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brucei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427 and 927 databases. We did not find any strong evidence from the current literature or from the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TrypTag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database 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http://tryptag.org</w:t>
        </w:r>
      </w:hyperlink>
      <w:r>
        <w:rPr>
          <w:rFonts w:ascii="Times New Roman" w:hAnsi="Times New Roman" w:cs="Times New Roman"/>
          <w:sz w:val="24"/>
          <w:szCs w:val="24"/>
          <w:lang w:val="en-GB"/>
        </w:rPr>
        <w:t xml:space="preserve">) for a mitochondrial localisation. Therefore, we conclude that our approach did not yield a specific interaction partner of Trx2. </w:t>
      </w:r>
    </w:p>
    <w:p w:rsidR="008065D7" w:rsidRDefault="008065D7" w:rsidP="008065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8065D7" w:rsidRDefault="008065D7" w:rsidP="008065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References</w:t>
      </w:r>
    </w:p>
    <w:p w:rsidR="008065D7" w:rsidRDefault="008065D7" w:rsidP="008065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 BK,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Gronau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Hessling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B, Becher D,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Antelmann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H. S-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bacillithiolation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protects against hypochlorite stress in Bacillus subtilis as revealed by transcriptomics and redox proteomics.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Cell Proteomics. 2011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;10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(11):M111 009506.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: 10.1074/mcp.M111.009506.</w:t>
      </w: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Kublik A, Deobald D, Hartwig S, Schiffmann CL, Andrades A, von Bergen M, et al. Identification of a multi-protein reductive dehalogenase complex in Dehalococcoides mccartyi strain CBDB1 suggests a protein-dependent respiratory electron transport chain obviating quinone involvement. Environmental Microbiology. 2016;18(9):3044-56. doi: 10.1111/1462-2920.13200.</w:t>
      </w: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Seidel K, Kühnert J, Adrian L. The Complexome of Dehalococcoides mccartyi Reveals Its Organohalide Respiration-Complex Is Modular. Frontiers in Microbiology. 2018;9:1130-. doi: 10.3389/fmicb.2018.01130.</w:t>
      </w: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8065D7" w:rsidRDefault="008065D7" w:rsidP="008065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Sievers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F.,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Wilm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A., Dineen D., Gibson T.J.,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Karplus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K., Li W., Lopez R.,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McWilliam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H.,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Remmert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M.,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Söding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J., Thompson J.D. and Higgins D.G. (2011) Fast, scalable generation of high-quality protein multiple sequence alignments using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Clustal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 xml:space="preserve"> Omega. Mol. Syst. Biol. 7:539.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doi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" w:eastAsia="de-DE"/>
        </w:rPr>
        <w:t>: 10.1186/1471-2105-6-29.</w:t>
      </w: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8065D7" w:rsidRDefault="008065D7" w:rsidP="008065D7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Zhou Q, An T, Pham KTM, Hu H, Li Z. The CIF1 protein is a master orchestrator of trypanosome cytokinesis that recruits several cytokinesis regulators to the cytokinesis initiation site. Journal of Biological Chemistry. 2018;293(42):16177-92. doi: 10.1074/jbc.RA118.004888.</w:t>
      </w:r>
    </w:p>
    <w:p w:rsidR="008065D7" w:rsidRDefault="008065D7" w:rsidP="008065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065D7" w:rsidRDefault="008065D7" w:rsidP="008065D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51F1" w:rsidRDefault="00FF51F1">
      <w:bookmarkStart w:id="0" w:name="_GoBack"/>
      <w:bookmarkEnd w:id="0"/>
    </w:p>
    <w:sectPr w:rsidR="00FF51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D7"/>
    <w:rsid w:val="008065D7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84F1E-4677-4074-85B2-BD2DF875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65D7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065D7"/>
    <w:rPr>
      <w:strike w:val="0"/>
      <w:dstrike w:val="0"/>
      <w:color w:val="222222"/>
      <w:u w:val="none"/>
      <w:effect w:val="none"/>
    </w:rPr>
  </w:style>
  <w:style w:type="character" w:customStyle="1" w:styleId="EndNoteBibliographyZchn">
    <w:name w:val="EndNote Bibliography Zchn"/>
    <w:basedOn w:val="Absatz-Standardschriftart"/>
    <w:link w:val="EndNoteBibliography"/>
    <w:locked/>
    <w:rsid w:val="008065D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8065D7"/>
    <w:pPr>
      <w:spacing w:line="240" w:lineRule="auto"/>
    </w:pPr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ryptag.or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lkrauth-siegel</dc:creator>
  <cp:keywords/>
  <dc:description/>
  <cp:lastModifiedBy>lkrauth-siegel</cp:lastModifiedBy>
  <cp:revision>1</cp:revision>
  <dcterms:created xsi:type="dcterms:W3CDTF">2019-09-09T05:45:00Z</dcterms:created>
  <dcterms:modified xsi:type="dcterms:W3CDTF">2019-09-09T05:46:00Z</dcterms:modified>
</cp:coreProperties>
</file>