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70" w:rsidRPr="000E0B4D" w:rsidRDefault="001B16F8" w:rsidP="001B16F8">
      <w:pPr>
        <w:spacing w:line="480" w:lineRule="auto"/>
        <w:rPr>
          <w:rFonts w:ascii="Times New Roman" w:hAnsi="Times New Roman" w:cs="Times New Roman"/>
          <w:sz w:val="28"/>
          <w:szCs w:val="28"/>
        </w:rPr>
      </w:pPr>
      <w:r w:rsidRPr="000E0B4D">
        <w:rPr>
          <w:rFonts w:ascii="Times New Roman" w:hAnsi="Times New Roman" w:cs="Times New Roman"/>
          <w:b/>
          <w:sz w:val="28"/>
          <w:szCs w:val="28"/>
        </w:rPr>
        <w:t>File name:</w:t>
      </w:r>
      <w:r w:rsidRPr="000E0B4D">
        <w:rPr>
          <w:rFonts w:ascii="Times New Roman" w:hAnsi="Times New Roman" w:cs="Times New Roman"/>
          <w:sz w:val="28"/>
          <w:szCs w:val="28"/>
        </w:rPr>
        <w:t xml:space="preserve"> </w:t>
      </w:r>
      <w:r w:rsidR="00821670" w:rsidRPr="000E0B4D">
        <w:rPr>
          <w:rFonts w:ascii="Times New Roman" w:hAnsi="Times New Roman" w:cs="Times New Roman"/>
          <w:sz w:val="28"/>
          <w:szCs w:val="28"/>
        </w:rPr>
        <w:t>Supplemental Information</w:t>
      </w:r>
    </w:p>
    <w:p w:rsidR="001B16F8" w:rsidRPr="000E0B4D" w:rsidRDefault="001B16F8" w:rsidP="001B16F8">
      <w:pPr>
        <w:spacing w:line="480" w:lineRule="auto"/>
        <w:rPr>
          <w:rFonts w:ascii="Times New Roman" w:hAnsi="Times New Roman"/>
          <w:sz w:val="28"/>
          <w:szCs w:val="28"/>
        </w:rPr>
      </w:pPr>
      <w:r w:rsidRPr="000E0B4D">
        <w:rPr>
          <w:rFonts w:ascii="Times New Roman" w:hAnsi="Times New Roman" w:cs="Times New Roman"/>
          <w:b/>
          <w:sz w:val="28"/>
          <w:szCs w:val="28"/>
        </w:rPr>
        <w:t>Title of data:</w:t>
      </w:r>
      <w:r w:rsidRPr="000E0B4D">
        <w:rPr>
          <w:rFonts w:ascii="Times New Roman" w:hAnsi="Times New Roman" w:cs="Times New Roman"/>
          <w:sz w:val="28"/>
          <w:szCs w:val="28"/>
        </w:rPr>
        <w:t xml:space="preserve"> HPLC analysis of </w:t>
      </w:r>
      <w:r w:rsidRPr="000E0B4D">
        <w:rPr>
          <w:rFonts w:ascii="Times New Roman" w:hAnsi="Times New Roman"/>
          <w:i/>
          <w:sz w:val="28"/>
          <w:szCs w:val="28"/>
        </w:rPr>
        <w:t>Salvia miltiorrhiza</w:t>
      </w:r>
      <w:r w:rsidRPr="000E0B4D">
        <w:rPr>
          <w:rFonts w:ascii="Times New Roman" w:hAnsi="Times New Roman"/>
          <w:sz w:val="28"/>
          <w:szCs w:val="28"/>
        </w:rPr>
        <w:t xml:space="preserve"> extract (SME) and salvianolic acid</w:t>
      </w:r>
    </w:p>
    <w:p w:rsidR="001B16F8" w:rsidRPr="000E0B4D" w:rsidRDefault="001B16F8" w:rsidP="001B16F8">
      <w:pPr>
        <w:spacing w:line="480" w:lineRule="auto"/>
        <w:rPr>
          <w:rFonts w:ascii="Times New Roman" w:hAnsi="Times New Roman" w:cs="Times New Roman"/>
          <w:sz w:val="28"/>
          <w:szCs w:val="28"/>
        </w:rPr>
      </w:pPr>
      <w:r w:rsidRPr="000E0B4D">
        <w:rPr>
          <w:rFonts w:ascii="Times New Roman" w:hAnsi="Times New Roman"/>
          <w:b/>
          <w:sz w:val="28"/>
          <w:szCs w:val="28"/>
        </w:rPr>
        <w:t>Description of data:</w:t>
      </w:r>
      <w:r w:rsidRPr="000E0B4D">
        <w:rPr>
          <w:rFonts w:ascii="Times New Roman" w:hAnsi="Times New Roman"/>
          <w:sz w:val="28"/>
          <w:szCs w:val="28"/>
        </w:rPr>
        <w:t xml:space="preserve"> The SME was analyzed by HPLC chromatogram</w:t>
      </w:r>
      <w:r w:rsidR="000E0B4D" w:rsidRPr="000E0B4D">
        <w:rPr>
          <w:rFonts w:ascii="Times New Roman" w:hAnsi="Times New Roman"/>
          <w:sz w:val="28"/>
          <w:szCs w:val="28"/>
        </w:rPr>
        <w:t>. Six principal SME peaks were detected in the chromatogram by diode array detection (DAD) at 280 nm. The highest peak was identified as salvianolic acid by comparison with the HPLC retention times of our standard compounds.</w:t>
      </w:r>
    </w:p>
    <w:p w:rsidR="00CE5FAF" w:rsidRPr="00CE5FAF" w:rsidRDefault="00CE5FAF" w:rsidP="00CE5FAF">
      <w:r w:rsidRPr="00CE5FAF">
        <w:rPr>
          <w:noProof/>
        </w:rPr>
        <w:drawing>
          <wp:anchor distT="0" distB="0" distL="114300" distR="114300" simplePos="0" relativeHeight="251660288" behindDoc="0" locked="0" layoutInCell="1" allowOverlap="1" wp14:anchorId="37834A81" wp14:editId="42CDF940">
            <wp:simplePos x="0" y="0"/>
            <wp:positionH relativeFrom="column">
              <wp:posOffset>1087755</wp:posOffset>
            </wp:positionH>
            <wp:positionV relativeFrom="paragraph">
              <wp:posOffset>487680</wp:posOffset>
            </wp:positionV>
            <wp:extent cx="4010025" cy="1706245"/>
            <wp:effectExtent l="0" t="0" r="9525" b="8255"/>
            <wp:wrapNone/>
            <wp:docPr id="1025" name="_x148081624" descr="EMB0000292c1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_x148081624" descr="EMB0000292c1d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7062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E5FAF">
        <w:rPr>
          <w:noProof/>
        </w:rPr>
        <w:drawing>
          <wp:anchor distT="0" distB="0" distL="114300" distR="114300" simplePos="0" relativeHeight="251661312" behindDoc="0" locked="0" layoutInCell="1" allowOverlap="1" wp14:anchorId="5BB6AD0F" wp14:editId="0A1A0CE4">
            <wp:simplePos x="0" y="0"/>
            <wp:positionH relativeFrom="column">
              <wp:posOffset>1087755</wp:posOffset>
            </wp:positionH>
            <wp:positionV relativeFrom="paragraph">
              <wp:posOffset>2529840</wp:posOffset>
            </wp:positionV>
            <wp:extent cx="4023360" cy="1635760"/>
            <wp:effectExtent l="0" t="0" r="0" b="2540"/>
            <wp:wrapNone/>
            <wp:docPr id="1027" name="_x148081864" descr="EMB0000292c1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148081864" descr="EMB0000292c1d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16357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E5FAF">
        <w:rPr>
          <w:noProof/>
        </w:rPr>
        <mc:AlternateContent>
          <mc:Choice Requires="wps">
            <w:drawing>
              <wp:anchor distT="0" distB="0" distL="114300" distR="114300" simplePos="0" relativeHeight="251662336" behindDoc="0" locked="0" layoutInCell="1" allowOverlap="1" wp14:anchorId="21A65BC4" wp14:editId="061B2DBF">
                <wp:simplePos x="0" y="0"/>
                <wp:positionH relativeFrom="column">
                  <wp:posOffset>462280</wp:posOffset>
                </wp:positionH>
                <wp:positionV relativeFrom="paragraph">
                  <wp:posOffset>231140</wp:posOffset>
                </wp:positionV>
                <wp:extent cx="575945" cy="276860"/>
                <wp:effectExtent l="0" t="0" r="0" b="0"/>
                <wp:wrapNone/>
                <wp:docPr id="9" name="TextBox 8"/>
                <wp:cNvGraphicFramePr/>
                <a:graphic xmlns:a="http://schemas.openxmlformats.org/drawingml/2006/main">
                  <a:graphicData uri="http://schemas.microsoft.com/office/word/2010/wordprocessingShape">
                    <wps:wsp>
                      <wps:cNvSpPr txBox="1"/>
                      <wps:spPr>
                        <a:xfrm>
                          <a:off x="0" y="0"/>
                          <a:ext cx="575945" cy="276860"/>
                        </a:xfrm>
                        <a:prstGeom prst="rect">
                          <a:avLst/>
                        </a:prstGeom>
                        <a:noFill/>
                      </wps:spPr>
                      <wps:txbx>
                        <w:txbxContent>
                          <w:p w:rsidR="00CE5FAF" w:rsidRPr="00821670" w:rsidRDefault="00CE5FAF" w:rsidP="00CE5FAF">
                            <w:pPr>
                              <w:pStyle w:val="a3"/>
                              <w:wordWrap w:val="0"/>
                              <w:spacing w:before="0" w:beforeAutospacing="0" w:after="0" w:afterAutospacing="0"/>
                              <w:jc w:val="center"/>
                              <w:rPr>
                                <w:rFonts w:ascii="Times New Roman" w:hAnsi="Times New Roman" w:cs="Times New Roman"/>
                              </w:rPr>
                            </w:pPr>
                            <w:r w:rsidRPr="00821670">
                              <w:rPr>
                                <w:rFonts w:ascii="Times New Roman" w:eastAsiaTheme="minorEastAsia" w:hAnsi="Times New Roman" w:cs="Times New Roman"/>
                                <w:b/>
                                <w:bCs/>
                                <w:color w:val="000000" w:themeColor="text1"/>
                                <w:kern w:val="24"/>
                              </w:rPr>
                              <w:t>a</w:t>
                            </w:r>
                          </w:p>
                        </w:txbxContent>
                      </wps:txbx>
                      <wps:bodyPr wrap="square" rtlCol="0">
                        <a:spAutoFit/>
                      </wps:bodyPr>
                    </wps:wsp>
                  </a:graphicData>
                </a:graphic>
              </wp:anchor>
            </w:drawing>
          </mc:Choice>
          <mc:Fallback>
            <w:pict>
              <v:shapetype w14:anchorId="21A65BC4" id="_x0000_t202" coordsize="21600,21600" o:spt="202" path="m,l,21600r21600,l21600,xe">
                <v:stroke joinstyle="miter"/>
                <v:path gradientshapeok="t" o:connecttype="rect"/>
              </v:shapetype>
              <v:shape id="TextBox 8" o:spid="_x0000_s1026" type="#_x0000_t202" style="position:absolute;left:0;text-align:left;margin-left:36.4pt;margin-top:18.2pt;width:45.35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" filled="f" stroked="f">
                <v:textbox style="mso-fit-shape-to-text:t">
                  <w:txbxContent>
                    <w:p w:rsidR="00CE5FAF" w:rsidRPr="00821670" w:rsidRDefault="00CE5FAF" w:rsidP="00CE5FAF">
                      <w:pPr>
                        <w:pStyle w:val="a3"/>
                        <w:wordWrap w:val="0"/>
                        <w:spacing w:before="0" w:beforeAutospacing="0" w:after="0" w:afterAutospacing="0"/>
                        <w:jc w:val="center"/>
                        <w:rPr>
                          <w:rFonts w:ascii="Times New Roman" w:hAnsi="Times New Roman" w:cs="Times New Roman"/>
                        </w:rPr>
                      </w:pPr>
                      <w:r w:rsidRPr="00821670">
                        <w:rPr>
                          <w:rFonts w:ascii="Times New Roman" w:eastAsiaTheme="minorEastAsia" w:hAnsi="Times New Roman" w:cs="Times New Roman"/>
                          <w:b/>
                          <w:bCs/>
                          <w:color w:val="000000" w:themeColor="text1"/>
                          <w:kern w:val="24"/>
                        </w:rPr>
                        <w:t>a</w:t>
                      </w:r>
                    </w:p>
                  </w:txbxContent>
                </v:textbox>
              </v:shape>
            </w:pict>
          </mc:Fallback>
        </mc:AlternateContent>
      </w:r>
      <w:r w:rsidRPr="00CE5FAF">
        <w:rPr>
          <w:noProof/>
        </w:rPr>
        <mc:AlternateContent>
          <mc:Choice Requires="wps">
            <w:drawing>
              <wp:anchor distT="0" distB="0" distL="114300" distR="114300" simplePos="0" relativeHeight="251663360" behindDoc="0" locked="0" layoutInCell="1" allowOverlap="1" wp14:anchorId="53D4AB3D" wp14:editId="20BA2EE9">
                <wp:simplePos x="0" y="0"/>
                <wp:positionH relativeFrom="column">
                  <wp:posOffset>462280</wp:posOffset>
                </wp:positionH>
                <wp:positionV relativeFrom="paragraph">
                  <wp:posOffset>2175510</wp:posOffset>
                </wp:positionV>
                <wp:extent cx="575945" cy="276860"/>
                <wp:effectExtent l="0" t="0" r="0" b="0"/>
                <wp:wrapNone/>
                <wp:docPr id="10" name="TextBox 9"/>
                <wp:cNvGraphicFramePr/>
                <a:graphic xmlns:a="http://schemas.openxmlformats.org/drawingml/2006/main">
                  <a:graphicData uri="http://schemas.microsoft.com/office/word/2010/wordprocessingShape">
                    <wps:wsp>
                      <wps:cNvSpPr txBox="1"/>
                      <wps:spPr>
                        <a:xfrm>
                          <a:off x="0" y="0"/>
                          <a:ext cx="575945" cy="276860"/>
                        </a:xfrm>
                        <a:prstGeom prst="rect">
                          <a:avLst/>
                        </a:prstGeom>
                        <a:noFill/>
                      </wps:spPr>
                      <wps:txbx>
                        <w:txbxContent>
                          <w:p w:rsidR="00CE5FAF" w:rsidRPr="00821670" w:rsidRDefault="00CE5FAF" w:rsidP="00CE5FAF">
                            <w:pPr>
                              <w:pStyle w:val="a3"/>
                              <w:wordWrap w:val="0"/>
                              <w:spacing w:before="0" w:beforeAutospacing="0" w:after="0" w:afterAutospacing="0"/>
                              <w:jc w:val="center"/>
                              <w:rPr>
                                <w:rFonts w:ascii="Times New Roman" w:hAnsi="Times New Roman" w:cs="Times New Roman"/>
                              </w:rPr>
                            </w:pPr>
                            <w:r w:rsidRPr="00821670">
                              <w:rPr>
                                <w:rFonts w:ascii="Times New Roman" w:eastAsiaTheme="minorEastAsia" w:hAnsi="Times New Roman" w:cs="Times New Roman"/>
                                <w:b/>
                                <w:bCs/>
                                <w:color w:val="000000" w:themeColor="text1"/>
                                <w:kern w:val="24"/>
                              </w:rPr>
                              <w:t>b</w:t>
                            </w:r>
                          </w:p>
                        </w:txbxContent>
                      </wps:txbx>
                      <wps:bodyPr wrap="square" rtlCol="0">
                        <a:spAutoFit/>
                      </wps:bodyPr>
                    </wps:wsp>
                  </a:graphicData>
                </a:graphic>
              </wp:anchor>
            </w:drawing>
          </mc:Choice>
          <mc:Fallback>
            <w:pict>
              <v:shape w14:anchorId="53D4AB3D" id="TextBox 9" o:spid="_x0000_s1027" type="#_x0000_t202" style="position:absolute;left:0;text-align:left;margin-left:36.4pt;margin-top:171.3pt;width:45.35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" filled="f" stroked="f">
                <v:textbox style="mso-fit-shape-to-text:t">
                  <w:txbxContent>
                    <w:p w:rsidR="00CE5FAF" w:rsidRPr="00821670" w:rsidRDefault="00CE5FAF" w:rsidP="00CE5FAF">
                      <w:pPr>
                        <w:pStyle w:val="a3"/>
                        <w:wordWrap w:val="0"/>
                        <w:spacing w:before="0" w:beforeAutospacing="0" w:after="0" w:afterAutospacing="0"/>
                        <w:jc w:val="center"/>
                        <w:rPr>
                          <w:rFonts w:ascii="Times New Roman" w:hAnsi="Times New Roman" w:cs="Times New Roman"/>
                        </w:rPr>
                      </w:pPr>
                      <w:r w:rsidRPr="00821670">
                        <w:rPr>
                          <w:rFonts w:ascii="Times New Roman" w:eastAsiaTheme="minorEastAsia" w:hAnsi="Times New Roman" w:cs="Times New Roman"/>
                          <w:b/>
                          <w:bCs/>
                          <w:color w:val="000000" w:themeColor="text1"/>
                          <w:kern w:val="24"/>
                        </w:rPr>
                        <w:t>b</w:t>
                      </w:r>
                    </w:p>
                  </w:txbxContent>
                </v:textbox>
              </v:shape>
            </w:pict>
          </mc:Fallback>
        </mc:AlternateContent>
      </w:r>
    </w:p>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CE5FAF" w:rsidRDefault="00CE5FAF" w:rsidP="00CE5FAF"/>
    <w:p w:rsidR="00CE5FAF" w:rsidRPr="00FC6166" w:rsidRDefault="00821670" w:rsidP="00CE5FAF">
      <w:pPr>
        <w:wordWrap/>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Figure S1</w:t>
      </w:r>
      <w:r w:rsidR="00CE5FAF" w:rsidRPr="00FC6166">
        <w:rPr>
          <w:rFonts w:ascii="Times New Roman" w:hAnsi="Times New Roman" w:cs="Times New Roman"/>
          <w:b/>
          <w:sz w:val="24"/>
          <w:szCs w:val="24"/>
        </w:rPr>
        <w:t xml:space="preserve">. HPLC analysis of SME and standards of Salvianolic acid. </w:t>
      </w:r>
      <w:r w:rsidR="00C54E6B">
        <w:rPr>
          <w:rFonts w:ascii="Times New Roman" w:hAnsi="Times New Roman" w:cs="Times New Roman"/>
          <w:b/>
          <w:sz w:val="24"/>
          <w:szCs w:val="24"/>
        </w:rPr>
        <w:t>(</w:t>
      </w:r>
      <w:r w:rsidR="00CE5FAF" w:rsidRPr="00C54E6B">
        <w:rPr>
          <w:rFonts w:ascii="Times New Roman" w:hAnsi="Times New Roman" w:cs="Times New Roman"/>
          <w:b/>
          <w:sz w:val="24"/>
          <w:szCs w:val="24"/>
        </w:rPr>
        <w:t>a</w:t>
      </w:r>
      <w:r w:rsidR="00C54E6B">
        <w:rPr>
          <w:rFonts w:ascii="Times New Roman" w:hAnsi="Times New Roman" w:cs="Times New Roman"/>
          <w:b/>
          <w:sz w:val="24"/>
          <w:szCs w:val="24"/>
        </w:rPr>
        <w:t>)</w:t>
      </w:r>
      <w:bookmarkStart w:id="0" w:name="_GoBack"/>
      <w:bookmarkEnd w:id="0"/>
      <w:r w:rsidR="00CE5FAF" w:rsidRPr="00FC6166">
        <w:rPr>
          <w:rFonts w:ascii="Times New Roman" w:hAnsi="Times New Roman" w:cs="Times New Roman"/>
          <w:sz w:val="24"/>
          <w:szCs w:val="24"/>
        </w:rPr>
        <w:t xml:space="preserve"> HPLC chromatogram of water extract of </w:t>
      </w:r>
      <w:r w:rsidR="00CE5FAF" w:rsidRPr="00FC6166">
        <w:rPr>
          <w:rFonts w:ascii="Times New Roman" w:hAnsi="Times New Roman" w:cs="Times New Roman"/>
          <w:i/>
          <w:sz w:val="24"/>
          <w:szCs w:val="24"/>
        </w:rPr>
        <w:t>Salvia miltorrhiza</w:t>
      </w:r>
      <w:r w:rsidR="00CE5FAF" w:rsidRPr="00FC6166">
        <w:rPr>
          <w:rFonts w:ascii="Times New Roman" w:hAnsi="Times New Roman" w:cs="Times New Roman"/>
          <w:sz w:val="24"/>
          <w:szCs w:val="24"/>
        </w:rPr>
        <w:t xml:space="preserve"> Bunge at 280nm </w:t>
      </w:r>
      <w:r w:rsidR="00C54E6B" w:rsidRPr="00C54E6B">
        <w:rPr>
          <w:rFonts w:ascii="Times New Roman" w:hAnsi="Times New Roman" w:cs="Times New Roman"/>
          <w:b/>
          <w:sz w:val="24"/>
          <w:szCs w:val="24"/>
        </w:rPr>
        <w:t>(</w:t>
      </w:r>
      <w:r w:rsidR="00CE5FAF" w:rsidRPr="00C54E6B">
        <w:rPr>
          <w:rFonts w:ascii="Times New Roman" w:hAnsi="Times New Roman" w:cs="Times New Roman"/>
          <w:b/>
          <w:sz w:val="24"/>
          <w:szCs w:val="24"/>
        </w:rPr>
        <w:t>b</w:t>
      </w:r>
      <w:r w:rsidR="00C54E6B" w:rsidRPr="00C54E6B">
        <w:rPr>
          <w:rFonts w:ascii="Times New Roman" w:hAnsi="Times New Roman" w:cs="Times New Roman"/>
          <w:b/>
          <w:sz w:val="24"/>
          <w:szCs w:val="24"/>
        </w:rPr>
        <w:t>)</w:t>
      </w:r>
      <w:r w:rsidR="00CE5FAF" w:rsidRPr="00FC6166">
        <w:rPr>
          <w:rFonts w:ascii="Times New Roman" w:hAnsi="Times New Roman" w:cs="Times New Roman"/>
          <w:sz w:val="24"/>
          <w:szCs w:val="24"/>
        </w:rPr>
        <w:t xml:space="preserve"> HPLC results of standard salvianolic acid from the </w:t>
      </w:r>
      <w:r w:rsidR="00CE5FAF" w:rsidRPr="00FC6166">
        <w:rPr>
          <w:rFonts w:ascii="Times New Roman" w:hAnsi="Times New Roman" w:cs="Times New Roman"/>
          <w:i/>
          <w:sz w:val="24"/>
          <w:szCs w:val="24"/>
        </w:rPr>
        <w:t>Salvia miltorrhiza</w:t>
      </w:r>
      <w:r w:rsidR="00CE5FAF" w:rsidRPr="00FC6166">
        <w:rPr>
          <w:rFonts w:ascii="Times New Roman" w:hAnsi="Times New Roman" w:cs="Times New Roman"/>
          <w:sz w:val="24"/>
          <w:szCs w:val="24"/>
        </w:rPr>
        <w:t xml:space="preserve"> Bunge.</w:t>
      </w:r>
    </w:p>
    <w:p w:rsidR="000E0B4D" w:rsidRPr="000E0B4D" w:rsidRDefault="000E0B4D" w:rsidP="00821670">
      <w:pPr>
        <w:wordWrap/>
        <w:adjustRightInd w:val="0"/>
        <w:spacing w:after="0" w:line="480" w:lineRule="auto"/>
        <w:rPr>
          <w:rFonts w:ascii="Times New Roman" w:hAnsi="Times New Roman" w:cs="Times New Roman"/>
          <w:b/>
          <w:iCs/>
          <w:kern w:val="0"/>
          <w:sz w:val="28"/>
          <w:lang w:val="en"/>
        </w:rPr>
      </w:pPr>
      <w:r w:rsidRPr="000E0B4D">
        <w:rPr>
          <w:rFonts w:ascii="Times New Roman" w:hAnsi="Times New Roman" w:cs="Times New Roman" w:hint="eastAsia"/>
          <w:b/>
          <w:iCs/>
          <w:kern w:val="0"/>
          <w:sz w:val="28"/>
          <w:lang w:val="en"/>
        </w:rPr>
        <w:lastRenderedPageBreak/>
        <w:t>Supplemental Experimental procedures</w:t>
      </w:r>
    </w:p>
    <w:p w:rsidR="005E0BD9" w:rsidRPr="00145FA0" w:rsidRDefault="00821670" w:rsidP="00821670">
      <w:pPr>
        <w:wordWrap/>
        <w:adjustRightInd w:val="0"/>
        <w:spacing w:after="0" w:line="480" w:lineRule="auto"/>
        <w:rPr>
          <w:rFonts w:ascii="Times New Roman" w:hAnsi="Times New Roman" w:cs="Times New Roman"/>
          <w:b/>
          <w:iCs/>
          <w:kern w:val="0"/>
          <w:sz w:val="22"/>
          <w:lang w:val="en"/>
        </w:rPr>
      </w:pPr>
      <w:r w:rsidRPr="00145FA0">
        <w:rPr>
          <w:rFonts w:ascii="Times New Roman" w:hAnsi="Times New Roman" w:cs="Times New Roman"/>
          <w:b/>
          <w:iCs/>
          <w:kern w:val="0"/>
          <w:sz w:val="22"/>
          <w:lang w:val="en"/>
        </w:rPr>
        <w:t>HPLC analysis</w:t>
      </w:r>
      <w:r w:rsidR="005E0BD9">
        <w:rPr>
          <w:rFonts w:ascii="Times New Roman" w:hAnsi="Times New Roman" w:cs="Times New Roman"/>
          <w:b/>
          <w:iCs/>
          <w:kern w:val="0"/>
          <w:sz w:val="22"/>
          <w:lang w:val="en"/>
        </w:rPr>
        <w:t xml:space="preserve"> of </w:t>
      </w:r>
      <w:r w:rsidR="005E0BD9">
        <w:rPr>
          <w:rFonts w:ascii="Times New Roman" w:hAnsi="Times New Roman" w:cs="Times New Roman" w:hint="eastAsia"/>
          <w:b/>
          <w:iCs/>
          <w:kern w:val="0"/>
          <w:sz w:val="22"/>
          <w:lang w:val="en"/>
        </w:rPr>
        <w:t>SME</w:t>
      </w:r>
      <w:r w:rsidR="001B16F8">
        <w:rPr>
          <w:rFonts w:ascii="Times New Roman" w:hAnsi="Times New Roman" w:cs="Times New Roman"/>
          <w:b/>
          <w:iCs/>
          <w:kern w:val="0"/>
          <w:sz w:val="22"/>
          <w:lang w:val="en"/>
        </w:rPr>
        <w:t xml:space="preserve"> and salvianolic acid</w:t>
      </w:r>
    </w:p>
    <w:p w:rsidR="00821670" w:rsidRPr="00145FA0" w:rsidRDefault="00821670" w:rsidP="00821670">
      <w:pPr>
        <w:wordWrap/>
        <w:adjustRightInd w:val="0"/>
        <w:spacing w:after="0" w:line="480" w:lineRule="auto"/>
        <w:ind w:firstLine="800"/>
        <w:rPr>
          <w:rFonts w:ascii="Times New Roman" w:hAnsi="Times New Roman" w:cs="Times New Roman"/>
          <w:kern w:val="0"/>
          <w:sz w:val="22"/>
        </w:rPr>
      </w:pPr>
      <w:r w:rsidRPr="00145FA0">
        <w:rPr>
          <w:rFonts w:ascii="Times New Roman" w:hAnsi="Times New Roman" w:cs="Times New Roman"/>
          <w:kern w:val="0"/>
          <w:sz w:val="22"/>
        </w:rPr>
        <w:t>An SIL-20A equipped with an SPD-M20A PDA and CTO-20A column oven (Shimadzu Corp., Kyoto, Japan) was used for HPLC analysis. Data were analyzed using the attached software. The fractions were separated at 40</w:t>
      </w:r>
      <w:r w:rsidRPr="00145FA0">
        <w:rPr>
          <w:rFonts w:ascii="Times New Roman" w:eastAsia="바탕" w:hAnsi="Times New Roman" w:cs="Times New Roman"/>
          <w:kern w:val="0"/>
          <w:sz w:val="22"/>
        </w:rPr>
        <w:t xml:space="preserve">℃ on a </w:t>
      </w:r>
      <w:r w:rsidRPr="00145FA0">
        <w:rPr>
          <w:rFonts w:ascii="Times New Roman" w:hAnsi="Times New Roman" w:cs="Times New Roman"/>
          <w:kern w:val="0"/>
          <w:sz w:val="22"/>
        </w:rPr>
        <w:t xml:space="preserve">YMC-pack J’sphere ODS-H80 (YMC, Tokyo, Japan) using a one-step linear gradient with mobile phase A [0.1% formic acid in water] and B [0.1% formic acid in acetonitrile:methanol (75:25, v/v)] . The gradient program began with 25% B and was held at this concentration for the first minute. This was followed by 40% B for 14 minutes, 60% A for 22 minutes, and 89% B for 25 minutes. It was then reduced to 25% B for 25 minutes. Salvianolic acid content was analyzed under the established HPLC conditions. Of the constituents in SME, salvianolic acid was found at the highest level (6.81%). </w:t>
      </w:r>
    </w:p>
    <w:p w:rsidR="00CE5FAF" w:rsidRPr="00821670" w:rsidRDefault="00CE5FAF" w:rsidP="00CE5FAF"/>
    <w:p w:rsidR="00CE5FAF" w:rsidRPr="00CE5FAF" w:rsidRDefault="00CE5FAF" w:rsidP="00CE5FAF"/>
    <w:p w:rsidR="000F552F" w:rsidRPr="005E0BD9" w:rsidRDefault="000F552F" w:rsidP="00CE5FAF"/>
    <w:sectPr w:rsidR="000F552F" w:rsidRPr="005E0B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AE" w:rsidRDefault="000C5CAE" w:rsidP="00627C7C">
      <w:pPr>
        <w:spacing w:after="0" w:line="240" w:lineRule="auto"/>
      </w:pPr>
      <w:r>
        <w:separator/>
      </w:r>
    </w:p>
  </w:endnote>
  <w:endnote w:type="continuationSeparator" w:id="0">
    <w:p w:rsidR="000C5CAE" w:rsidRDefault="000C5CAE" w:rsidP="0062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AE" w:rsidRDefault="000C5CAE" w:rsidP="00627C7C">
      <w:pPr>
        <w:spacing w:after="0" w:line="240" w:lineRule="auto"/>
      </w:pPr>
      <w:r>
        <w:separator/>
      </w:r>
    </w:p>
  </w:footnote>
  <w:footnote w:type="continuationSeparator" w:id="0">
    <w:p w:rsidR="000C5CAE" w:rsidRDefault="000C5CAE" w:rsidP="00627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15"/>
    <w:rsid w:val="00020D1E"/>
    <w:rsid w:val="000C5CAE"/>
    <w:rsid w:val="000E0B4D"/>
    <w:rsid w:val="000F552F"/>
    <w:rsid w:val="001B16F8"/>
    <w:rsid w:val="00387A15"/>
    <w:rsid w:val="005E0BD9"/>
    <w:rsid w:val="00627C7C"/>
    <w:rsid w:val="0080530A"/>
    <w:rsid w:val="008104CF"/>
    <w:rsid w:val="00821670"/>
    <w:rsid w:val="0092742C"/>
    <w:rsid w:val="00BB7F45"/>
    <w:rsid w:val="00C54E6B"/>
    <w:rsid w:val="00C85636"/>
    <w:rsid w:val="00CE5FAF"/>
    <w:rsid w:val="00F21A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BD4D"/>
  <w15:chartTrackingRefBased/>
  <w15:docId w15:val="{DC1099E4-9AC8-43A7-B744-F1F37D7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6F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FA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627C7C"/>
    <w:pPr>
      <w:tabs>
        <w:tab w:val="center" w:pos="4513"/>
        <w:tab w:val="right" w:pos="9026"/>
      </w:tabs>
      <w:snapToGrid w:val="0"/>
    </w:pPr>
  </w:style>
  <w:style w:type="character" w:customStyle="1" w:styleId="Char">
    <w:name w:val="머리글 Char"/>
    <w:basedOn w:val="a0"/>
    <w:link w:val="a4"/>
    <w:uiPriority w:val="99"/>
    <w:rsid w:val="00627C7C"/>
  </w:style>
  <w:style w:type="paragraph" w:styleId="a5">
    <w:name w:val="footer"/>
    <w:basedOn w:val="a"/>
    <w:link w:val="Char0"/>
    <w:uiPriority w:val="99"/>
    <w:unhideWhenUsed/>
    <w:rsid w:val="00627C7C"/>
    <w:pPr>
      <w:tabs>
        <w:tab w:val="center" w:pos="4513"/>
        <w:tab w:val="right" w:pos="9026"/>
      </w:tabs>
      <w:snapToGrid w:val="0"/>
    </w:pPr>
  </w:style>
  <w:style w:type="character" w:customStyle="1" w:styleId="Char0">
    <w:name w:val="바닥글 Char"/>
    <w:basedOn w:val="a0"/>
    <w:link w:val="a5"/>
    <w:uiPriority w:val="99"/>
    <w:rsid w:val="0062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GenenCell-BK</dc:creator>
  <cp:keywords/>
  <dc:description/>
  <cp:lastModifiedBy>GenenCell-BK</cp:lastModifiedBy>
  <cp:revision>2</cp:revision>
  <dcterms:created xsi:type="dcterms:W3CDTF">2017-11-15T09:09:00Z</dcterms:created>
  <dcterms:modified xsi:type="dcterms:W3CDTF">2017-11-15T09:09:00Z</dcterms:modified>
</cp:coreProperties>
</file>