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5CEFE" w14:textId="2A12CB22" w:rsidR="00AD61E2" w:rsidRDefault="00A149B3" w:rsidP="00A149B3">
      <w:pPr>
        <w:pStyle w:val="References"/>
        <w:spacing w:before="0" w:line="240" w:lineRule="auto"/>
        <w:ind w:left="0" w:firstLine="0"/>
        <w:jc w:val="center"/>
        <w:rPr>
          <w:b/>
        </w:rPr>
      </w:pPr>
      <w:bookmarkStart w:id="0" w:name="_GoBack"/>
      <w:bookmarkEnd w:id="0"/>
      <w:r w:rsidRPr="00A149B3">
        <w:rPr>
          <w:b/>
        </w:rPr>
        <w:t>Supplemental Materials</w:t>
      </w:r>
    </w:p>
    <w:p w14:paraId="2E07923F" w14:textId="5978BC0E" w:rsidR="00A149B3" w:rsidRPr="000461B1" w:rsidRDefault="00A149B3" w:rsidP="00A149B3">
      <w:pPr>
        <w:pStyle w:val="References"/>
        <w:spacing w:before="0" w:line="240" w:lineRule="auto"/>
        <w:ind w:left="0" w:firstLine="0"/>
        <w:jc w:val="center"/>
      </w:pPr>
    </w:p>
    <w:p w14:paraId="1FB6779F" w14:textId="519F3832" w:rsidR="00FA586C" w:rsidRDefault="006E27F2" w:rsidP="00D03EA9">
      <w:pPr>
        <w:pStyle w:val="References"/>
        <w:spacing w:before="0" w:line="480" w:lineRule="auto"/>
        <w:ind w:left="0" w:firstLine="0"/>
      </w:pPr>
      <w:r>
        <w:rPr>
          <w:b/>
          <w:i/>
        </w:rPr>
        <w:t xml:space="preserve">Exploratory </w:t>
      </w:r>
      <w:r w:rsidR="00525AD9">
        <w:rPr>
          <w:b/>
          <w:i/>
        </w:rPr>
        <w:t xml:space="preserve">Interaction </w:t>
      </w:r>
      <w:r>
        <w:rPr>
          <w:b/>
          <w:i/>
        </w:rPr>
        <w:t>Analyses</w:t>
      </w:r>
      <w:r>
        <w:rPr>
          <w:b/>
        </w:rPr>
        <w:t xml:space="preserve">. </w:t>
      </w:r>
      <w:r>
        <w:t xml:space="preserve">In the Table 1S, we examine whether the three preceding trial factors moderate the relationship between current stimulus intensity and current strategy selection. As described in the main article, three separate models were evaluated, each with a one of the three possible two-way interaction terms. Each interaction effect was added into the full model, which included all the main effects (Model </w:t>
      </w:r>
      <w:r w:rsidR="00B94605">
        <w:t>2</w:t>
      </w:r>
      <w:r>
        <w:t xml:space="preserve"> in the full article). </w:t>
      </w:r>
      <w:r w:rsidR="00B94605">
        <w:t xml:space="preserve">The interaction term for current stimulus intensity and preceding </w:t>
      </w:r>
      <w:r w:rsidR="004B2386">
        <w:t xml:space="preserve">strategy </w:t>
      </w:r>
      <w:r w:rsidR="00B94605">
        <w:t xml:space="preserve">choice was not significant, </w:t>
      </w:r>
      <w:r w:rsidR="00B94605" w:rsidRPr="00AD5668">
        <w:rPr>
          <w:i/>
        </w:rPr>
        <w:t>ß</w:t>
      </w:r>
      <w:r w:rsidR="00B94605">
        <w:t xml:space="preserve">[SE] = .049[.228], Wald </w:t>
      </w:r>
      <w:r w:rsidR="00B94605" w:rsidRPr="00287B4B">
        <w:rPr>
          <w:i/>
        </w:rPr>
        <w:t>χ</w:t>
      </w:r>
      <w:r w:rsidR="00B94605" w:rsidRPr="00287B4B">
        <w:rPr>
          <w:i/>
          <w:vertAlign w:val="superscript"/>
        </w:rPr>
        <w:t>2</w:t>
      </w:r>
      <w:r w:rsidR="00B94605">
        <w:t xml:space="preserve"> = .046, </w:t>
      </w:r>
      <w:r w:rsidR="00B94605" w:rsidRPr="00AD5668">
        <w:rPr>
          <w:i/>
        </w:rPr>
        <w:t>p</w:t>
      </w:r>
      <w:r w:rsidR="00B94605">
        <w:t xml:space="preserve"> = .83 (Table 1S, S1). </w:t>
      </w:r>
      <w:r w:rsidR="004B2386">
        <w:t xml:space="preserve">The interaction term for current stimulus intensity and preceding </w:t>
      </w:r>
      <w:r w:rsidR="00103DDA">
        <w:t>negative affect</w:t>
      </w:r>
      <w:r w:rsidR="004B2386">
        <w:t xml:space="preserve"> was not significant, </w:t>
      </w:r>
      <w:r w:rsidR="004B2386" w:rsidRPr="00AD5668">
        <w:rPr>
          <w:i/>
        </w:rPr>
        <w:t>ß</w:t>
      </w:r>
      <w:r w:rsidR="004B2386">
        <w:t xml:space="preserve">[SE] = </w:t>
      </w:r>
      <w:r w:rsidR="00103DDA">
        <w:t>-.057[.063</w:t>
      </w:r>
      <w:r w:rsidR="004B2386">
        <w:t xml:space="preserve">], Wald </w:t>
      </w:r>
      <w:r w:rsidR="004B2386" w:rsidRPr="00287B4B">
        <w:rPr>
          <w:i/>
        </w:rPr>
        <w:t>χ</w:t>
      </w:r>
      <w:r w:rsidR="004B2386" w:rsidRPr="00287B4B">
        <w:rPr>
          <w:i/>
          <w:vertAlign w:val="superscript"/>
        </w:rPr>
        <w:t>2</w:t>
      </w:r>
      <w:r w:rsidR="004B2386">
        <w:t xml:space="preserve"> = </w:t>
      </w:r>
      <w:r w:rsidR="00103DDA">
        <w:t>.813</w:t>
      </w:r>
      <w:r w:rsidR="004B2386">
        <w:t xml:space="preserve">, </w:t>
      </w:r>
      <w:r w:rsidR="004B2386" w:rsidRPr="00AD5668">
        <w:rPr>
          <w:i/>
        </w:rPr>
        <w:t>p</w:t>
      </w:r>
      <w:r w:rsidR="00103DDA">
        <w:t xml:space="preserve"> = .367</w:t>
      </w:r>
      <w:r w:rsidR="004B2386">
        <w:t xml:space="preserve"> </w:t>
      </w:r>
      <w:r w:rsidR="00103DDA">
        <w:t>(Table 1S, S2</w:t>
      </w:r>
      <w:r w:rsidR="004B2386">
        <w:t>)</w:t>
      </w:r>
      <w:r w:rsidR="00E1323B">
        <w:t xml:space="preserve">. The interaction term for current stimulus intensity and preceding stimulus intensity was not significant, </w:t>
      </w:r>
      <w:r w:rsidR="00E1323B" w:rsidRPr="00AD5668">
        <w:rPr>
          <w:i/>
        </w:rPr>
        <w:t>ß</w:t>
      </w:r>
      <w:r w:rsidR="00E1323B">
        <w:t xml:space="preserve">[SE] = .031[.209], Wald </w:t>
      </w:r>
      <w:r w:rsidR="00E1323B" w:rsidRPr="00287B4B">
        <w:rPr>
          <w:i/>
        </w:rPr>
        <w:t>χ</w:t>
      </w:r>
      <w:r w:rsidR="00E1323B" w:rsidRPr="00287B4B">
        <w:rPr>
          <w:i/>
          <w:vertAlign w:val="superscript"/>
        </w:rPr>
        <w:t>2</w:t>
      </w:r>
      <w:r w:rsidR="00E1323B">
        <w:t xml:space="preserve"> = .022, </w:t>
      </w:r>
      <w:r w:rsidR="00E1323B" w:rsidRPr="00AD5668">
        <w:rPr>
          <w:i/>
        </w:rPr>
        <w:t>p</w:t>
      </w:r>
      <w:r w:rsidR="00E1323B">
        <w:t xml:space="preserve"> = .882 (Table 1S, S3).</w:t>
      </w:r>
      <w:r w:rsidR="004F6018">
        <w:t xml:space="preserve"> Of note, </w:t>
      </w:r>
      <w:r w:rsidR="00FA586C">
        <w:t xml:space="preserve">none of </w:t>
      </w:r>
      <w:r w:rsidR="004F6018">
        <w:t xml:space="preserve">the QIC values </w:t>
      </w:r>
      <w:r w:rsidR="00A02111">
        <w:t>we</w:t>
      </w:r>
      <w:r w:rsidR="00FA586C">
        <w:t>re lower than the final pruned model in the main article (Table 1, M3).</w:t>
      </w:r>
    </w:p>
    <w:p w14:paraId="5B1AC64C" w14:textId="6AC8BEA6" w:rsidR="00246785" w:rsidRDefault="006E27F2" w:rsidP="00D03EA9">
      <w:pPr>
        <w:pStyle w:val="References"/>
        <w:spacing w:before="0" w:line="480" w:lineRule="auto"/>
        <w:ind w:left="0" w:firstLine="720"/>
      </w:pPr>
      <w:r>
        <w:t>In Table 2S, we considered possible interactions among the preceding trial factors. Three separate models were evaluated, each with one of the three possible two-way interaction terms.</w:t>
      </w:r>
      <w:r w:rsidRPr="00672ABE">
        <w:t xml:space="preserve"> </w:t>
      </w:r>
      <w:r>
        <w:t>Each interaction effect was added into the full model, which included all the main effects (Model 2 in the full article</w:t>
      </w:r>
      <w:r w:rsidR="00FA586C">
        <w:t xml:space="preserve">). The interaction term for preceding strategy choice and preceding negative affect was not significant, </w:t>
      </w:r>
      <w:r w:rsidR="00FA586C" w:rsidRPr="00AD5668">
        <w:rPr>
          <w:i/>
        </w:rPr>
        <w:t>ß</w:t>
      </w:r>
      <w:r w:rsidR="00FA586C">
        <w:t xml:space="preserve">[SE] = -.025[.079], Wald </w:t>
      </w:r>
      <w:r w:rsidR="00FA586C" w:rsidRPr="00287B4B">
        <w:rPr>
          <w:i/>
        </w:rPr>
        <w:t>χ</w:t>
      </w:r>
      <w:r w:rsidR="00FA586C" w:rsidRPr="00287B4B">
        <w:rPr>
          <w:i/>
          <w:vertAlign w:val="superscript"/>
        </w:rPr>
        <w:t>2</w:t>
      </w:r>
      <w:r w:rsidR="00FA586C">
        <w:t xml:space="preserve"> = .099, </w:t>
      </w:r>
      <w:r w:rsidR="00FA586C" w:rsidRPr="00AD5668">
        <w:rPr>
          <w:i/>
        </w:rPr>
        <w:t>p</w:t>
      </w:r>
      <w:r w:rsidR="00FA586C">
        <w:t xml:space="preserve"> = .753 (Table 2S, S</w:t>
      </w:r>
      <w:r w:rsidR="00246785">
        <w:t>4</w:t>
      </w:r>
      <w:r w:rsidR="00FA586C">
        <w:t xml:space="preserve">). The interaction term for </w:t>
      </w:r>
      <w:r w:rsidR="005A5C7E">
        <w:t>preceding</w:t>
      </w:r>
      <w:r w:rsidR="00FA586C">
        <w:t xml:space="preserve"> stimulus intensity and preceding negative affect </w:t>
      </w:r>
      <w:r w:rsidR="00E37ADE">
        <w:t xml:space="preserve">approached significance, </w:t>
      </w:r>
      <w:r w:rsidR="00E37ADE" w:rsidRPr="00AD5668">
        <w:rPr>
          <w:i/>
        </w:rPr>
        <w:t>ß</w:t>
      </w:r>
      <w:r w:rsidR="00E37ADE">
        <w:t xml:space="preserve">[SE] = .453[.234], Wald </w:t>
      </w:r>
      <w:r w:rsidR="00E37ADE" w:rsidRPr="00287B4B">
        <w:rPr>
          <w:i/>
        </w:rPr>
        <w:t>χ</w:t>
      </w:r>
      <w:r w:rsidR="00E37ADE" w:rsidRPr="00287B4B">
        <w:rPr>
          <w:i/>
          <w:vertAlign w:val="superscript"/>
        </w:rPr>
        <w:t>2</w:t>
      </w:r>
      <w:r w:rsidR="00BF4E32">
        <w:t xml:space="preserve"> = </w:t>
      </w:r>
      <w:r w:rsidR="00E37ADE">
        <w:t xml:space="preserve">3.742, </w:t>
      </w:r>
      <w:r w:rsidR="00E37ADE" w:rsidRPr="00AD5668">
        <w:rPr>
          <w:i/>
        </w:rPr>
        <w:t>p</w:t>
      </w:r>
      <w:r w:rsidR="00E37ADE">
        <w:t xml:space="preserve"> = .053 (Table 2S, S</w:t>
      </w:r>
      <w:r w:rsidR="00246785">
        <w:t>5</w:t>
      </w:r>
      <w:r w:rsidR="00E37ADE">
        <w:t xml:space="preserve">). </w:t>
      </w:r>
      <w:r w:rsidR="00FA586C">
        <w:t xml:space="preserve">The interaction term for </w:t>
      </w:r>
      <w:r w:rsidR="005A5C7E">
        <w:t>preceding</w:t>
      </w:r>
      <w:r w:rsidR="00FA586C">
        <w:t xml:space="preserve"> </w:t>
      </w:r>
      <w:r w:rsidR="005A5C7E">
        <w:t>negative affect</w:t>
      </w:r>
      <w:r w:rsidR="00FA586C">
        <w:t xml:space="preserve"> and preceding stimulus intensity </w:t>
      </w:r>
      <w:r w:rsidR="005A5C7E">
        <w:t>was not significant</w:t>
      </w:r>
      <w:r w:rsidR="00FA586C">
        <w:t xml:space="preserve">, </w:t>
      </w:r>
      <w:r w:rsidR="00FA586C" w:rsidRPr="00AD5668">
        <w:rPr>
          <w:i/>
        </w:rPr>
        <w:t>ß</w:t>
      </w:r>
      <w:r w:rsidR="00FA586C">
        <w:t xml:space="preserve">[SE] = </w:t>
      </w:r>
      <w:r w:rsidR="00BF4E32">
        <w:t>-</w:t>
      </w:r>
      <w:r w:rsidR="00FA586C">
        <w:t>.</w:t>
      </w:r>
      <w:r w:rsidR="00E43789">
        <w:t>043[.073</w:t>
      </w:r>
      <w:r w:rsidR="00FA586C">
        <w:t xml:space="preserve">], Wald </w:t>
      </w:r>
      <w:r w:rsidR="00FA586C" w:rsidRPr="00287B4B">
        <w:rPr>
          <w:i/>
        </w:rPr>
        <w:t>χ</w:t>
      </w:r>
      <w:r w:rsidR="00FA586C" w:rsidRPr="00287B4B">
        <w:rPr>
          <w:i/>
          <w:vertAlign w:val="superscript"/>
        </w:rPr>
        <w:t>2</w:t>
      </w:r>
      <w:r w:rsidR="00FA586C">
        <w:t xml:space="preserve"> = .</w:t>
      </w:r>
      <w:r w:rsidR="00BF4E32">
        <w:t>351</w:t>
      </w:r>
      <w:r w:rsidR="00FA586C">
        <w:t xml:space="preserve">, </w:t>
      </w:r>
      <w:r w:rsidR="00FA586C" w:rsidRPr="00AD5668">
        <w:rPr>
          <w:i/>
        </w:rPr>
        <w:t>p</w:t>
      </w:r>
      <w:r w:rsidR="00BF4E32">
        <w:t xml:space="preserve"> = .554</w:t>
      </w:r>
      <w:r w:rsidR="00FA586C">
        <w:t xml:space="preserve"> </w:t>
      </w:r>
      <w:r w:rsidR="00E37ADE">
        <w:t xml:space="preserve">(Table </w:t>
      </w:r>
      <w:r w:rsidR="00FA586C">
        <w:t>S, S</w:t>
      </w:r>
      <w:r w:rsidR="00246785">
        <w:t>6</w:t>
      </w:r>
      <w:r w:rsidR="00FA586C">
        <w:t xml:space="preserve">). Of note, the QIC values </w:t>
      </w:r>
      <w:r w:rsidR="005A5C7E">
        <w:t xml:space="preserve">were all higher than </w:t>
      </w:r>
      <w:r w:rsidR="00FA586C">
        <w:t xml:space="preserve">the final pruned model in the main article </w:t>
      </w:r>
      <w:r w:rsidR="005A5C7E">
        <w:t xml:space="preserve">(Table 1, M3) except for the </w:t>
      </w:r>
      <w:r w:rsidR="005A5C7E">
        <w:lastRenderedPageBreak/>
        <w:t>preceding stimulus intensity and preceding negative affect interaction model, which was slightly lower</w:t>
      </w:r>
      <w:r w:rsidR="00246785">
        <w:t xml:space="preserve"> (1929.42 &lt; 1,929.59)</w:t>
      </w:r>
      <w:r w:rsidR="005A5C7E">
        <w:t xml:space="preserve">. </w:t>
      </w:r>
    </w:p>
    <w:p w14:paraId="596617F4" w14:textId="77777777" w:rsidR="00246785" w:rsidRDefault="00246785">
      <w:pPr>
        <w:spacing w:line="240" w:lineRule="auto"/>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1696"/>
        <w:gridCol w:w="1696"/>
        <w:gridCol w:w="1816"/>
      </w:tblGrid>
      <w:tr w:rsidR="006E27F2" w14:paraId="27EEFF33" w14:textId="77777777" w:rsidTr="00246785">
        <w:trPr>
          <w:jc w:val="center"/>
        </w:trPr>
        <w:tc>
          <w:tcPr>
            <w:tcW w:w="8014" w:type="dxa"/>
            <w:gridSpan w:val="4"/>
            <w:tcBorders>
              <w:bottom w:val="single" w:sz="4" w:space="0" w:color="auto"/>
            </w:tcBorders>
          </w:tcPr>
          <w:p w14:paraId="40894FBC" w14:textId="6ED10F91" w:rsidR="006E27F2" w:rsidRDefault="006E27F2" w:rsidP="00E37ADE">
            <w:pPr>
              <w:pStyle w:val="Tabletitle"/>
              <w:spacing w:before="0" w:line="240" w:lineRule="auto"/>
            </w:pPr>
            <w:r>
              <w:lastRenderedPageBreak/>
              <w:t>Table 1S</w:t>
            </w:r>
          </w:p>
          <w:p w14:paraId="6EC4B72F" w14:textId="77777777" w:rsidR="006E27F2" w:rsidRDefault="006E27F2" w:rsidP="00E37ADE">
            <w:pPr>
              <w:pStyle w:val="Tabletitle"/>
              <w:spacing w:before="0" w:line="240" w:lineRule="auto"/>
            </w:pPr>
          </w:p>
          <w:p w14:paraId="0BB488C1" w14:textId="0C969EA9" w:rsidR="006E27F2" w:rsidRPr="000B3AAE" w:rsidRDefault="00543536" w:rsidP="00E37ADE">
            <w:pPr>
              <w:pStyle w:val="Tabletitle"/>
              <w:spacing w:before="0" w:line="240" w:lineRule="auto"/>
              <w:rPr>
                <w:i/>
              </w:rPr>
            </w:pPr>
            <w:r>
              <w:rPr>
                <w:i/>
              </w:rPr>
              <w:t xml:space="preserve">Coefficients (Standard Error) of </w:t>
            </w:r>
            <w:r w:rsidR="006E27F2" w:rsidRPr="000B3AAE">
              <w:rPr>
                <w:i/>
              </w:rPr>
              <w:t>Logistic Regression Analyses</w:t>
            </w:r>
            <w:r w:rsidR="006E27F2">
              <w:rPr>
                <w:i/>
              </w:rPr>
              <w:t xml:space="preserve"> Predicting </w:t>
            </w:r>
            <w:r>
              <w:rPr>
                <w:i/>
              </w:rPr>
              <w:t xml:space="preserve">the </w:t>
            </w:r>
            <w:r w:rsidR="00991CCF">
              <w:rPr>
                <w:i/>
              </w:rPr>
              <w:t>Effect of Preceding Trial Factors on the Relationship between Current Stimulus Intensity and the Probability of Choosing Distraction</w:t>
            </w:r>
            <w:r>
              <w:rPr>
                <w:i/>
              </w:rPr>
              <w:t xml:space="preserve"> in the Current Trial</w:t>
            </w:r>
          </w:p>
        </w:tc>
      </w:tr>
      <w:tr w:rsidR="006E27F2" w14:paraId="0787BE69" w14:textId="77777777" w:rsidTr="00246785">
        <w:trPr>
          <w:jc w:val="center"/>
        </w:trPr>
        <w:tc>
          <w:tcPr>
            <w:tcW w:w="2926" w:type="dxa"/>
            <w:tcBorders>
              <w:top w:val="single" w:sz="4" w:space="0" w:color="auto"/>
              <w:bottom w:val="single" w:sz="4" w:space="0" w:color="auto"/>
            </w:tcBorders>
          </w:tcPr>
          <w:p w14:paraId="3FD842D7" w14:textId="77777777" w:rsidR="006E27F2" w:rsidRPr="00601AE1" w:rsidRDefault="006E27F2" w:rsidP="00E37ADE">
            <w:pPr>
              <w:spacing w:line="240" w:lineRule="auto"/>
            </w:pPr>
            <w:r>
              <w:t>Coefficients</w:t>
            </w:r>
          </w:p>
        </w:tc>
        <w:tc>
          <w:tcPr>
            <w:tcW w:w="1696" w:type="dxa"/>
            <w:tcBorders>
              <w:top w:val="single" w:sz="4" w:space="0" w:color="auto"/>
              <w:bottom w:val="single" w:sz="4" w:space="0" w:color="auto"/>
            </w:tcBorders>
          </w:tcPr>
          <w:p w14:paraId="668908A5" w14:textId="1020B248" w:rsidR="006E27F2" w:rsidRPr="00601AE1" w:rsidRDefault="006E27F2" w:rsidP="00E37ADE">
            <w:pPr>
              <w:spacing w:line="240" w:lineRule="auto"/>
              <w:jc w:val="center"/>
            </w:pPr>
            <w:r>
              <w:t>S1</w:t>
            </w:r>
          </w:p>
        </w:tc>
        <w:tc>
          <w:tcPr>
            <w:tcW w:w="1696" w:type="dxa"/>
            <w:tcBorders>
              <w:top w:val="single" w:sz="4" w:space="0" w:color="auto"/>
              <w:bottom w:val="single" w:sz="4" w:space="0" w:color="auto"/>
            </w:tcBorders>
          </w:tcPr>
          <w:p w14:paraId="321D9A47" w14:textId="6714560C" w:rsidR="006E27F2" w:rsidRPr="00601AE1" w:rsidRDefault="006E27F2" w:rsidP="00E37ADE">
            <w:pPr>
              <w:spacing w:line="240" w:lineRule="auto"/>
              <w:jc w:val="center"/>
            </w:pPr>
            <w:r>
              <w:t>S2</w:t>
            </w:r>
          </w:p>
        </w:tc>
        <w:tc>
          <w:tcPr>
            <w:tcW w:w="1696" w:type="dxa"/>
            <w:tcBorders>
              <w:top w:val="single" w:sz="4" w:space="0" w:color="auto"/>
              <w:bottom w:val="single" w:sz="4" w:space="0" w:color="auto"/>
            </w:tcBorders>
          </w:tcPr>
          <w:p w14:paraId="34B464B2" w14:textId="32E1FEA7" w:rsidR="006E27F2" w:rsidRPr="00601AE1" w:rsidRDefault="006E27F2" w:rsidP="00E37ADE">
            <w:pPr>
              <w:spacing w:line="240" w:lineRule="auto"/>
              <w:jc w:val="center"/>
            </w:pPr>
            <w:r>
              <w:t>S3</w:t>
            </w:r>
          </w:p>
        </w:tc>
      </w:tr>
      <w:tr w:rsidR="006E27F2" w14:paraId="2E06CC73" w14:textId="77777777" w:rsidTr="00246785">
        <w:trPr>
          <w:jc w:val="center"/>
        </w:trPr>
        <w:tc>
          <w:tcPr>
            <w:tcW w:w="2926" w:type="dxa"/>
            <w:tcBorders>
              <w:top w:val="single" w:sz="4" w:space="0" w:color="auto"/>
            </w:tcBorders>
          </w:tcPr>
          <w:p w14:paraId="7DA06907" w14:textId="77777777" w:rsidR="006E27F2" w:rsidRPr="00601AE1" w:rsidRDefault="006E27F2" w:rsidP="00E37ADE">
            <w:pPr>
              <w:spacing w:line="240" w:lineRule="auto"/>
            </w:pPr>
            <w:r w:rsidRPr="00601AE1">
              <w:t>Intercept</w:t>
            </w:r>
          </w:p>
        </w:tc>
        <w:tc>
          <w:tcPr>
            <w:tcW w:w="1696" w:type="dxa"/>
          </w:tcPr>
          <w:p w14:paraId="0DEA3C2A" w14:textId="6CAF23D4" w:rsidR="006E27F2" w:rsidRPr="00601AE1" w:rsidRDefault="0073326D" w:rsidP="00E37ADE">
            <w:pPr>
              <w:spacing w:line="240" w:lineRule="auto"/>
              <w:jc w:val="center"/>
            </w:pPr>
            <w:r>
              <w:t>-.512(.148</w:t>
            </w:r>
            <w:r w:rsidR="00F076E2">
              <w:t>)*</w:t>
            </w:r>
            <w:r>
              <w:t>**</w:t>
            </w:r>
          </w:p>
        </w:tc>
        <w:tc>
          <w:tcPr>
            <w:tcW w:w="1696" w:type="dxa"/>
          </w:tcPr>
          <w:p w14:paraId="6E12CC3B" w14:textId="35F44D3D" w:rsidR="006E27F2" w:rsidRPr="00601AE1" w:rsidRDefault="008E0E73" w:rsidP="00E37ADE">
            <w:pPr>
              <w:spacing w:line="240" w:lineRule="auto"/>
              <w:jc w:val="center"/>
            </w:pPr>
            <w:r>
              <w:t>-.555(.163</w:t>
            </w:r>
            <w:r w:rsidR="004B2386">
              <w:t>)*</w:t>
            </w:r>
            <w:r>
              <w:t>**</w:t>
            </w:r>
          </w:p>
        </w:tc>
        <w:tc>
          <w:tcPr>
            <w:tcW w:w="1696" w:type="dxa"/>
          </w:tcPr>
          <w:p w14:paraId="6231DD61" w14:textId="5BB0D978" w:rsidR="006E27F2" w:rsidRPr="00601AE1" w:rsidRDefault="0073326D" w:rsidP="00DB2FA9">
            <w:pPr>
              <w:spacing w:line="240" w:lineRule="auto"/>
              <w:jc w:val="center"/>
            </w:pPr>
            <w:r>
              <w:t>-.507(.161</w:t>
            </w:r>
            <w:r w:rsidR="00DB2FA9">
              <w:t>)</w:t>
            </w:r>
            <w:r>
              <w:t>*</w:t>
            </w:r>
            <w:r w:rsidR="00DB2FA9">
              <w:t>*</w:t>
            </w:r>
          </w:p>
        </w:tc>
      </w:tr>
      <w:tr w:rsidR="006E27F2" w14:paraId="1610DB1B" w14:textId="77777777" w:rsidTr="00246785">
        <w:trPr>
          <w:jc w:val="center"/>
        </w:trPr>
        <w:tc>
          <w:tcPr>
            <w:tcW w:w="2926" w:type="dxa"/>
          </w:tcPr>
          <w:p w14:paraId="55DE1511" w14:textId="5AAD881A" w:rsidR="006E27F2" w:rsidRPr="00601AE1" w:rsidRDefault="00DA7210" w:rsidP="00E37ADE">
            <w:pPr>
              <w:spacing w:line="240" w:lineRule="auto"/>
            </w:pPr>
            <w:r>
              <w:t>CURINT</w:t>
            </w:r>
          </w:p>
        </w:tc>
        <w:tc>
          <w:tcPr>
            <w:tcW w:w="1696" w:type="dxa"/>
          </w:tcPr>
          <w:p w14:paraId="43DB1D58" w14:textId="314B55CB" w:rsidR="006E27F2" w:rsidRPr="00601AE1" w:rsidRDefault="0073326D" w:rsidP="00E37ADE">
            <w:pPr>
              <w:spacing w:line="240" w:lineRule="auto"/>
              <w:jc w:val="center"/>
            </w:pPr>
            <w:r>
              <w:t>1.401(.182</w:t>
            </w:r>
            <w:r w:rsidR="00F076E2">
              <w:t>)***</w:t>
            </w:r>
          </w:p>
        </w:tc>
        <w:tc>
          <w:tcPr>
            <w:tcW w:w="1696" w:type="dxa"/>
          </w:tcPr>
          <w:p w14:paraId="48018F96" w14:textId="63AC5E0E" w:rsidR="006E27F2" w:rsidRPr="00601AE1" w:rsidRDefault="008E0E73" w:rsidP="00E37ADE">
            <w:pPr>
              <w:spacing w:line="240" w:lineRule="auto"/>
              <w:jc w:val="center"/>
            </w:pPr>
            <w:r>
              <w:t>1.479(.206</w:t>
            </w:r>
            <w:r w:rsidR="004B2386">
              <w:t>)***</w:t>
            </w:r>
          </w:p>
        </w:tc>
        <w:tc>
          <w:tcPr>
            <w:tcW w:w="1696" w:type="dxa"/>
          </w:tcPr>
          <w:p w14:paraId="7EEE466E" w14:textId="257F7D57" w:rsidR="006E27F2" w:rsidRPr="00601AE1" w:rsidRDefault="0073326D" w:rsidP="00DB2FA9">
            <w:pPr>
              <w:spacing w:line="240" w:lineRule="auto"/>
              <w:jc w:val="center"/>
            </w:pPr>
            <w:r>
              <w:t>1.395(.203</w:t>
            </w:r>
            <w:r w:rsidR="00DB2FA9">
              <w:t>)***</w:t>
            </w:r>
          </w:p>
        </w:tc>
      </w:tr>
      <w:tr w:rsidR="006E27F2" w14:paraId="3E7EBC6E" w14:textId="77777777" w:rsidTr="00246785">
        <w:trPr>
          <w:jc w:val="center"/>
        </w:trPr>
        <w:tc>
          <w:tcPr>
            <w:tcW w:w="2926" w:type="dxa"/>
          </w:tcPr>
          <w:p w14:paraId="1FB25914" w14:textId="09F7D09B" w:rsidR="006E27F2" w:rsidRPr="00601AE1" w:rsidRDefault="00DA7210" w:rsidP="00E37ADE">
            <w:pPr>
              <w:spacing w:line="240" w:lineRule="auto"/>
            </w:pPr>
            <w:r>
              <w:t>PRECHOICE</w:t>
            </w:r>
          </w:p>
        </w:tc>
        <w:tc>
          <w:tcPr>
            <w:tcW w:w="1696" w:type="dxa"/>
          </w:tcPr>
          <w:p w14:paraId="18100592" w14:textId="1C887B13" w:rsidR="006E27F2" w:rsidRPr="00601AE1" w:rsidRDefault="0073326D" w:rsidP="00E37ADE">
            <w:pPr>
              <w:spacing w:line="240" w:lineRule="auto"/>
              <w:jc w:val="center"/>
            </w:pPr>
            <w:r>
              <w:t>-.565(.157</w:t>
            </w:r>
            <w:r w:rsidR="00F076E2">
              <w:t>)***</w:t>
            </w:r>
          </w:p>
        </w:tc>
        <w:tc>
          <w:tcPr>
            <w:tcW w:w="1696" w:type="dxa"/>
          </w:tcPr>
          <w:p w14:paraId="39B27972" w14:textId="63777048" w:rsidR="006E27F2" w:rsidRPr="00601AE1" w:rsidRDefault="008E0E73" w:rsidP="00E37ADE">
            <w:pPr>
              <w:spacing w:line="240" w:lineRule="auto"/>
              <w:jc w:val="center"/>
            </w:pPr>
            <w:r>
              <w:t>-.581</w:t>
            </w:r>
            <w:r w:rsidR="004B2386">
              <w:t>(.14</w:t>
            </w:r>
            <w:r>
              <w:t>0</w:t>
            </w:r>
            <w:r w:rsidR="004B2386">
              <w:t>)***</w:t>
            </w:r>
          </w:p>
        </w:tc>
        <w:tc>
          <w:tcPr>
            <w:tcW w:w="1696" w:type="dxa"/>
          </w:tcPr>
          <w:p w14:paraId="0EE9E83A" w14:textId="1880A550" w:rsidR="006E27F2" w:rsidRPr="00601AE1" w:rsidRDefault="0073326D" w:rsidP="00DB2FA9">
            <w:pPr>
              <w:spacing w:line="240" w:lineRule="auto"/>
              <w:jc w:val="center"/>
            </w:pPr>
            <w:r>
              <w:t>-.604(.139</w:t>
            </w:r>
            <w:r w:rsidR="00DB2FA9">
              <w:t>)***</w:t>
            </w:r>
          </w:p>
        </w:tc>
      </w:tr>
      <w:tr w:rsidR="006E27F2" w14:paraId="072FEAC9" w14:textId="77777777" w:rsidTr="00246785">
        <w:trPr>
          <w:jc w:val="center"/>
        </w:trPr>
        <w:tc>
          <w:tcPr>
            <w:tcW w:w="2926" w:type="dxa"/>
          </w:tcPr>
          <w:p w14:paraId="1F0FAD1E" w14:textId="34014AF3" w:rsidR="006E27F2" w:rsidRPr="00601AE1" w:rsidRDefault="00DA7210" w:rsidP="00E37ADE">
            <w:pPr>
              <w:spacing w:line="240" w:lineRule="auto"/>
            </w:pPr>
            <w:r>
              <w:t>PRENA</w:t>
            </w:r>
          </w:p>
        </w:tc>
        <w:tc>
          <w:tcPr>
            <w:tcW w:w="1696" w:type="dxa"/>
          </w:tcPr>
          <w:p w14:paraId="3771139E" w14:textId="23367129" w:rsidR="006E27F2" w:rsidRPr="00601AE1" w:rsidRDefault="00B94605" w:rsidP="00E37ADE">
            <w:pPr>
              <w:spacing w:line="240" w:lineRule="auto"/>
              <w:jc w:val="center"/>
            </w:pPr>
            <w:r>
              <w:t>.093(.046)*</w:t>
            </w:r>
          </w:p>
        </w:tc>
        <w:tc>
          <w:tcPr>
            <w:tcW w:w="1696" w:type="dxa"/>
          </w:tcPr>
          <w:p w14:paraId="080A6553" w14:textId="137C4F0D" w:rsidR="006E27F2" w:rsidRPr="00601AE1" w:rsidRDefault="008E0E73" w:rsidP="00E37ADE">
            <w:pPr>
              <w:spacing w:line="240" w:lineRule="auto"/>
              <w:jc w:val="center"/>
            </w:pPr>
            <w:r>
              <w:t>.063(.057</w:t>
            </w:r>
            <w:r w:rsidR="004B2386">
              <w:t>)</w:t>
            </w:r>
          </w:p>
        </w:tc>
        <w:tc>
          <w:tcPr>
            <w:tcW w:w="1696" w:type="dxa"/>
          </w:tcPr>
          <w:p w14:paraId="11DDDB3A" w14:textId="1A52B147" w:rsidR="006E27F2" w:rsidRPr="00601AE1" w:rsidRDefault="00DB2FA9" w:rsidP="00DB2FA9">
            <w:pPr>
              <w:spacing w:line="240" w:lineRule="auto"/>
              <w:ind w:right="360"/>
              <w:jc w:val="center"/>
            </w:pPr>
            <w:r>
              <w:t>.093(.046</w:t>
            </w:r>
            <w:r w:rsidR="0073326D">
              <w:t>4</w:t>
            </w:r>
            <w:r>
              <w:t>)*</w:t>
            </w:r>
          </w:p>
        </w:tc>
      </w:tr>
      <w:tr w:rsidR="006E27F2" w14:paraId="3A09896F" w14:textId="77777777" w:rsidTr="00246785">
        <w:trPr>
          <w:jc w:val="center"/>
        </w:trPr>
        <w:tc>
          <w:tcPr>
            <w:tcW w:w="2926" w:type="dxa"/>
          </w:tcPr>
          <w:p w14:paraId="544EC2A9" w14:textId="58F6AD2F" w:rsidR="006E27F2" w:rsidRPr="00601AE1" w:rsidRDefault="00DA7210" w:rsidP="00E37ADE">
            <w:pPr>
              <w:spacing w:line="240" w:lineRule="auto"/>
            </w:pPr>
            <w:r>
              <w:t>PREINT</w:t>
            </w:r>
          </w:p>
        </w:tc>
        <w:tc>
          <w:tcPr>
            <w:tcW w:w="1696" w:type="dxa"/>
          </w:tcPr>
          <w:p w14:paraId="6C8EBC96" w14:textId="31FBB64F" w:rsidR="006E27F2" w:rsidRPr="00601AE1" w:rsidRDefault="0073326D" w:rsidP="00E37ADE">
            <w:pPr>
              <w:spacing w:line="240" w:lineRule="auto"/>
              <w:jc w:val="center"/>
            </w:pPr>
            <w:r>
              <w:t>.070</w:t>
            </w:r>
            <w:r w:rsidR="00B94605">
              <w:t>(.126)</w:t>
            </w:r>
          </w:p>
        </w:tc>
        <w:tc>
          <w:tcPr>
            <w:tcW w:w="1696" w:type="dxa"/>
          </w:tcPr>
          <w:p w14:paraId="3AE5B59D" w14:textId="50EFD011" w:rsidR="006E27F2" w:rsidRPr="00601AE1" w:rsidRDefault="008E0E73" w:rsidP="00E37ADE">
            <w:pPr>
              <w:spacing w:line="240" w:lineRule="auto"/>
              <w:jc w:val="center"/>
            </w:pPr>
            <w:r>
              <w:t>.065</w:t>
            </w:r>
            <w:r w:rsidR="004B2386">
              <w:t>(.126)</w:t>
            </w:r>
          </w:p>
        </w:tc>
        <w:tc>
          <w:tcPr>
            <w:tcW w:w="1696" w:type="dxa"/>
          </w:tcPr>
          <w:p w14:paraId="197509E6" w14:textId="4028DF5C" w:rsidR="006E27F2" w:rsidRPr="00601AE1" w:rsidRDefault="00662FB0" w:rsidP="00DB2FA9">
            <w:pPr>
              <w:spacing w:line="240" w:lineRule="auto"/>
              <w:jc w:val="center"/>
            </w:pPr>
            <w:r>
              <w:t>.091(.181</w:t>
            </w:r>
            <w:r w:rsidR="00DB2FA9">
              <w:t>)</w:t>
            </w:r>
          </w:p>
        </w:tc>
      </w:tr>
      <w:tr w:rsidR="006E27F2" w14:paraId="09D6C896" w14:textId="77777777" w:rsidTr="00246785">
        <w:trPr>
          <w:jc w:val="center"/>
        </w:trPr>
        <w:tc>
          <w:tcPr>
            <w:tcW w:w="2926" w:type="dxa"/>
          </w:tcPr>
          <w:p w14:paraId="1B360DC8" w14:textId="2FA677D1" w:rsidR="006E27F2" w:rsidRPr="00601AE1" w:rsidRDefault="00991CCF" w:rsidP="00E37ADE">
            <w:pPr>
              <w:spacing w:line="240" w:lineRule="auto"/>
            </w:pPr>
            <w:r>
              <w:t>CURINTxPRECHOICE</w:t>
            </w:r>
          </w:p>
        </w:tc>
        <w:tc>
          <w:tcPr>
            <w:tcW w:w="1696" w:type="dxa"/>
          </w:tcPr>
          <w:p w14:paraId="03BB7E03" w14:textId="4C6C71A0" w:rsidR="006E27F2" w:rsidRDefault="0073326D" w:rsidP="00E37ADE">
            <w:pPr>
              <w:spacing w:line="240" w:lineRule="auto"/>
              <w:jc w:val="center"/>
            </w:pPr>
            <w:r>
              <w:t>.050(.227</w:t>
            </w:r>
            <w:r w:rsidR="00B94605">
              <w:t>)</w:t>
            </w:r>
          </w:p>
        </w:tc>
        <w:tc>
          <w:tcPr>
            <w:tcW w:w="1696" w:type="dxa"/>
          </w:tcPr>
          <w:p w14:paraId="4ADDF016" w14:textId="3390BF92" w:rsidR="006E27F2" w:rsidRDefault="004B2386" w:rsidP="00E37ADE">
            <w:pPr>
              <w:spacing w:line="240" w:lineRule="auto"/>
              <w:jc w:val="center"/>
            </w:pPr>
            <w:r>
              <w:t>--</w:t>
            </w:r>
          </w:p>
        </w:tc>
        <w:tc>
          <w:tcPr>
            <w:tcW w:w="1696" w:type="dxa"/>
          </w:tcPr>
          <w:p w14:paraId="3F506245" w14:textId="02C6D12F" w:rsidR="006E27F2" w:rsidRDefault="00DB2FA9" w:rsidP="00DB2FA9">
            <w:pPr>
              <w:spacing w:line="240" w:lineRule="auto"/>
              <w:jc w:val="center"/>
            </w:pPr>
            <w:r>
              <w:t>--</w:t>
            </w:r>
          </w:p>
        </w:tc>
      </w:tr>
      <w:tr w:rsidR="00DA7210" w14:paraId="29DC2BF5" w14:textId="77777777" w:rsidTr="00246785">
        <w:trPr>
          <w:jc w:val="center"/>
        </w:trPr>
        <w:tc>
          <w:tcPr>
            <w:tcW w:w="2926" w:type="dxa"/>
          </w:tcPr>
          <w:p w14:paraId="2F738005" w14:textId="5E444FD1" w:rsidR="00DA7210" w:rsidRDefault="00991CCF" w:rsidP="00E37ADE">
            <w:pPr>
              <w:spacing w:line="240" w:lineRule="auto"/>
            </w:pPr>
            <w:r>
              <w:t>CURINTxPRENA</w:t>
            </w:r>
          </w:p>
        </w:tc>
        <w:tc>
          <w:tcPr>
            <w:tcW w:w="1696" w:type="dxa"/>
          </w:tcPr>
          <w:p w14:paraId="7D03020D" w14:textId="3901968E" w:rsidR="00DA7210" w:rsidRDefault="00B94605" w:rsidP="00E37ADE">
            <w:pPr>
              <w:spacing w:line="240" w:lineRule="auto"/>
              <w:jc w:val="center"/>
            </w:pPr>
            <w:r>
              <w:t>--</w:t>
            </w:r>
          </w:p>
        </w:tc>
        <w:tc>
          <w:tcPr>
            <w:tcW w:w="1696" w:type="dxa"/>
          </w:tcPr>
          <w:p w14:paraId="77729C70" w14:textId="4099A031" w:rsidR="00DA7210" w:rsidRDefault="004B2386" w:rsidP="00E37ADE">
            <w:pPr>
              <w:spacing w:line="240" w:lineRule="auto"/>
              <w:jc w:val="center"/>
            </w:pPr>
            <w:r>
              <w:t>-.057(.063)</w:t>
            </w:r>
          </w:p>
        </w:tc>
        <w:tc>
          <w:tcPr>
            <w:tcW w:w="1696" w:type="dxa"/>
          </w:tcPr>
          <w:p w14:paraId="02E86E4D" w14:textId="6286BCEC" w:rsidR="00DA7210" w:rsidRDefault="00DB2FA9" w:rsidP="00DB2FA9">
            <w:pPr>
              <w:spacing w:line="240" w:lineRule="auto"/>
              <w:jc w:val="center"/>
            </w:pPr>
            <w:r>
              <w:t>--</w:t>
            </w:r>
          </w:p>
        </w:tc>
      </w:tr>
      <w:tr w:rsidR="00DA7210" w14:paraId="371B3BDD" w14:textId="77777777" w:rsidTr="00246785">
        <w:trPr>
          <w:jc w:val="center"/>
        </w:trPr>
        <w:tc>
          <w:tcPr>
            <w:tcW w:w="2926" w:type="dxa"/>
          </w:tcPr>
          <w:p w14:paraId="04F2013F" w14:textId="19FAE1BB" w:rsidR="00DA7210" w:rsidRDefault="00991CCF" w:rsidP="00E37ADE">
            <w:pPr>
              <w:spacing w:line="240" w:lineRule="auto"/>
            </w:pPr>
            <w:r>
              <w:t>CURINTxPREINT</w:t>
            </w:r>
          </w:p>
        </w:tc>
        <w:tc>
          <w:tcPr>
            <w:tcW w:w="1696" w:type="dxa"/>
          </w:tcPr>
          <w:p w14:paraId="53269046" w14:textId="0DA9F5F4" w:rsidR="00DA7210" w:rsidRDefault="00B94605" w:rsidP="00E37ADE">
            <w:pPr>
              <w:spacing w:line="240" w:lineRule="auto"/>
              <w:jc w:val="center"/>
            </w:pPr>
            <w:r>
              <w:t>--</w:t>
            </w:r>
          </w:p>
        </w:tc>
        <w:tc>
          <w:tcPr>
            <w:tcW w:w="1696" w:type="dxa"/>
          </w:tcPr>
          <w:p w14:paraId="0979B319" w14:textId="24ECDE4E" w:rsidR="00DA7210" w:rsidRDefault="00103DDA" w:rsidP="00E37ADE">
            <w:pPr>
              <w:spacing w:line="240" w:lineRule="auto"/>
              <w:jc w:val="center"/>
            </w:pPr>
            <w:r>
              <w:t>--</w:t>
            </w:r>
          </w:p>
        </w:tc>
        <w:tc>
          <w:tcPr>
            <w:tcW w:w="1696" w:type="dxa"/>
          </w:tcPr>
          <w:p w14:paraId="1CD8755D" w14:textId="2E2BCE11" w:rsidR="00DA7210" w:rsidRDefault="00DB2FA9" w:rsidP="00DB2FA9">
            <w:pPr>
              <w:spacing w:line="240" w:lineRule="auto"/>
              <w:jc w:val="center"/>
            </w:pPr>
            <w:r>
              <w:t>.031(.209)</w:t>
            </w:r>
          </w:p>
        </w:tc>
      </w:tr>
      <w:tr w:rsidR="006E27F2" w14:paraId="133925D9" w14:textId="77777777" w:rsidTr="00246785">
        <w:trPr>
          <w:jc w:val="center"/>
        </w:trPr>
        <w:tc>
          <w:tcPr>
            <w:tcW w:w="2926" w:type="dxa"/>
            <w:tcBorders>
              <w:bottom w:val="single" w:sz="4" w:space="0" w:color="auto"/>
            </w:tcBorders>
          </w:tcPr>
          <w:p w14:paraId="1AEA28BD" w14:textId="77777777" w:rsidR="006E27F2" w:rsidRPr="00601AE1" w:rsidRDefault="006E27F2" w:rsidP="00E37ADE">
            <w:pPr>
              <w:spacing w:line="240" w:lineRule="auto"/>
            </w:pPr>
            <w:r w:rsidRPr="00601AE1">
              <w:t>QIC</w:t>
            </w:r>
          </w:p>
        </w:tc>
        <w:tc>
          <w:tcPr>
            <w:tcW w:w="1696" w:type="dxa"/>
            <w:tcBorders>
              <w:bottom w:val="single" w:sz="4" w:space="0" w:color="auto"/>
            </w:tcBorders>
          </w:tcPr>
          <w:p w14:paraId="2429A418" w14:textId="7D1FE732" w:rsidR="006E27F2" w:rsidRPr="00601AE1" w:rsidRDefault="00B94605" w:rsidP="00246785">
            <w:pPr>
              <w:spacing w:line="240" w:lineRule="auto"/>
              <w:jc w:val="center"/>
            </w:pPr>
            <w:r>
              <w:t>1940.80</w:t>
            </w:r>
          </w:p>
        </w:tc>
        <w:tc>
          <w:tcPr>
            <w:tcW w:w="1696" w:type="dxa"/>
            <w:tcBorders>
              <w:bottom w:val="single" w:sz="4" w:space="0" w:color="auto"/>
            </w:tcBorders>
          </w:tcPr>
          <w:p w14:paraId="6C88E07E" w14:textId="21E2E862" w:rsidR="006E27F2" w:rsidRPr="00601AE1" w:rsidRDefault="00103DDA" w:rsidP="00246785">
            <w:pPr>
              <w:spacing w:line="240" w:lineRule="auto"/>
              <w:jc w:val="center"/>
            </w:pPr>
            <w:r>
              <w:t>1938.9</w:t>
            </w:r>
            <w:r w:rsidR="00246785">
              <w:t>3</w:t>
            </w:r>
          </w:p>
        </w:tc>
        <w:tc>
          <w:tcPr>
            <w:tcW w:w="1696" w:type="dxa"/>
            <w:tcBorders>
              <w:bottom w:val="single" w:sz="4" w:space="0" w:color="auto"/>
            </w:tcBorders>
          </w:tcPr>
          <w:p w14:paraId="5A192F51" w14:textId="18F9CB26" w:rsidR="006E27F2" w:rsidRPr="00601AE1" w:rsidRDefault="00DB2FA9" w:rsidP="00246785">
            <w:pPr>
              <w:spacing w:line="240" w:lineRule="auto"/>
              <w:jc w:val="center"/>
            </w:pPr>
            <w:r>
              <w:t>1941.25</w:t>
            </w:r>
          </w:p>
        </w:tc>
      </w:tr>
      <w:tr w:rsidR="006E27F2" w14:paraId="1497A6C7" w14:textId="77777777" w:rsidTr="00246785">
        <w:trPr>
          <w:jc w:val="center"/>
        </w:trPr>
        <w:tc>
          <w:tcPr>
            <w:tcW w:w="8014" w:type="dxa"/>
            <w:gridSpan w:val="4"/>
            <w:tcBorders>
              <w:top w:val="single" w:sz="4" w:space="0" w:color="auto"/>
              <w:bottom w:val="single" w:sz="4" w:space="0" w:color="auto"/>
            </w:tcBorders>
          </w:tcPr>
          <w:p w14:paraId="316373BC" w14:textId="77777777" w:rsidR="00246785" w:rsidRDefault="006E27F2" w:rsidP="00246785">
            <w:pPr>
              <w:spacing w:line="240" w:lineRule="auto"/>
              <w:rPr>
                <w:i/>
              </w:rPr>
            </w:pPr>
            <w:r>
              <w:rPr>
                <w:i/>
              </w:rPr>
              <w:t>Note. Current Choice – 0 = selection of rethink in current trial &amp; 1 = selection of distract in current trial. Current Intensity</w:t>
            </w:r>
            <w:r w:rsidR="00DA7210">
              <w:rPr>
                <w:i/>
              </w:rPr>
              <w:t xml:space="preserve"> (CURINT)</w:t>
            </w:r>
            <w:r>
              <w:rPr>
                <w:i/>
              </w:rPr>
              <w:t xml:space="preserve"> – 0 = low-intensity stimulus &amp; 1 = high-intensity stimulus. Preceding Choice</w:t>
            </w:r>
            <w:r w:rsidR="007F0706">
              <w:rPr>
                <w:i/>
              </w:rPr>
              <w:t xml:space="preserve"> (PRECHOICE) –</w:t>
            </w:r>
            <w:r>
              <w:rPr>
                <w:i/>
              </w:rPr>
              <w:t xml:space="preserve"> 0 = selection of rethink in preceding trial &amp; 1 = selection of distract in the preceding trial. Preceding Negative Affect</w:t>
            </w:r>
            <w:r w:rsidR="007F0706">
              <w:rPr>
                <w:i/>
              </w:rPr>
              <w:t xml:space="preserve"> (PRENA)</w:t>
            </w:r>
            <w:r>
              <w:rPr>
                <w:i/>
              </w:rPr>
              <w:t xml:space="preserve"> – 8-point Likert scale [0 = not negative at all &amp; 8 = very negative]. Preceding Intensity</w:t>
            </w:r>
            <w:r w:rsidR="007F0706">
              <w:rPr>
                <w:i/>
              </w:rPr>
              <w:t xml:space="preserve"> (PREINT)</w:t>
            </w:r>
            <w:r>
              <w:rPr>
                <w:i/>
              </w:rPr>
              <w:t xml:space="preserve"> – 0 = low-intensity in the preceding trial &amp; 1 = high-intensity stimuli in the preceding trial. SE – Standard Error. QIC – Quasi-Likelihood Information Criterion. </w:t>
            </w:r>
          </w:p>
          <w:p w14:paraId="126DAD22" w14:textId="4F5BBE73" w:rsidR="006E27F2" w:rsidRPr="00854402" w:rsidRDefault="006E27F2" w:rsidP="00246785">
            <w:pPr>
              <w:spacing w:line="240" w:lineRule="auto"/>
              <w:rPr>
                <w:i/>
              </w:rPr>
            </w:pPr>
            <w:r>
              <w:rPr>
                <w:i/>
              </w:rPr>
              <w:t>* p &lt; .05. ** p &lt; .01. *** p &lt; .001.</w:t>
            </w:r>
          </w:p>
        </w:tc>
      </w:tr>
    </w:tbl>
    <w:p w14:paraId="3CB1E27A" w14:textId="77777777" w:rsidR="00246785" w:rsidRDefault="00246785" w:rsidP="00A149B3">
      <w:pPr>
        <w:pStyle w:val="References"/>
        <w:spacing w:before="0" w:line="240" w:lineRule="auto"/>
        <w:ind w:left="0" w:firstLin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1696"/>
        <w:gridCol w:w="1696"/>
        <w:gridCol w:w="1819"/>
      </w:tblGrid>
      <w:tr w:rsidR="00991CCF" w14:paraId="533BEEA1" w14:textId="77777777" w:rsidTr="00F67133">
        <w:trPr>
          <w:jc w:val="center"/>
        </w:trPr>
        <w:tc>
          <w:tcPr>
            <w:tcW w:w="7999" w:type="dxa"/>
            <w:gridSpan w:val="4"/>
            <w:tcBorders>
              <w:bottom w:val="single" w:sz="4" w:space="0" w:color="auto"/>
            </w:tcBorders>
          </w:tcPr>
          <w:p w14:paraId="5470C489" w14:textId="079466D9" w:rsidR="00991CCF" w:rsidRDefault="00991CCF" w:rsidP="00E37ADE">
            <w:pPr>
              <w:pStyle w:val="Tabletitle"/>
              <w:spacing w:before="0" w:line="240" w:lineRule="auto"/>
            </w:pPr>
            <w:r>
              <w:t>Table 2S</w:t>
            </w:r>
          </w:p>
          <w:p w14:paraId="05308EB8" w14:textId="77777777" w:rsidR="00991CCF" w:rsidRDefault="00991CCF" w:rsidP="00E37ADE">
            <w:pPr>
              <w:pStyle w:val="Tabletitle"/>
              <w:spacing w:before="0" w:line="240" w:lineRule="auto"/>
            </w:pPr>
          </w:p>
          <w:p w14:paraId="32DFEAB5" w14:textId="15D04B6F" w:rsidR="00991CCF" w:rsidRPr="000B3AAE" w:rsidRDefault="00543536" w:rsidP="00E37ADE">
            <w:pPr>
              <w:pStyle w:val="Tabletitle"/>
              <w:spacing w:before="0" w:line="240" w:lineRule="auto"/>
              <w:rPr>
                <w:i/>
              </w:rPr>
            </w:pPr>
            <w:r>
              <w:rPr>
                <w:i/>
              </w:rPr>
              <w:t xml:space="preserve">Coefficients (Standard Error) of </w:t>
            </w:r>
            <w:r w:rsidRPr="000B3AAE">
              <w:rPr>
                <w:i/>
              </w:rPr>
              <w:t>Logistic Regression Analyses</w:t>
            </w:r>
            <w:r>
              <w:rPr>
                <w:i/>
              </w:rPr>
              <w:t xml:space="preserve"> </w:t>
            </w:r>
            <w:r w:rsidR="009F22AF">
              <w:rPr>
                <w:i/>
              </w:rPr>
              <w:t>Predicting the Joint Effects of Preceding Trial Factors on the Probability of Choosing Distraction</w:t>
            </w:r>
            <w:r>
              <w:rPr>
                <w:i/>
              </w:rPr>
              <w:t xml:space="preserve"> in the Current Trial</w:t>
            </w:r>
          </w:p>
        </w:tc>
      </w:tr>
      <w:tr w:rsidR="00991CCF" w14:paraId="24DC49E9" w14:textId="77777777" w:rsidTr="00F67133">
        <w:trPr>
          <w:jc w:val="center"/>
        </w:trPr>
        <w:tc>
          <w:tcPr>
            <w:tcW w:w="2926" w:type="dxa"/>
            <w:tcBorders>
              <w:top w:val="single" w:sz="4" w:space="0" w:color="auto"/>
              <w:bottom w:val="single" w:sz="4" w:space="0" w:color="auto"/>
            </w:tcBorders>
          </w:tcPr>
          <w:p w14:paraId="3D3E7E44" w14:textId="77777777" w:rsidR="00991CCF" w:rsidRPr="00601AE1" w:rsidRDefault="00991CCF" w:rsidP="00E37ADE">
            <w:pPr>
              <w:spacing w:line="240" w:lineRule="auto"/>
            </w:pPr>
            <w:r>
              <w:t>Coefficients</w:t>
            </w:r>
          </w:p>
        </w:tc>
        <w:tc>
          <w:tcPr>
            <w:tcW w:w="1620" w:type="dxa"/>
            <w:tcBorders>
              <w:top w:val="single" w:sz="4" w:space="0" w:color="auto"/>
              <w:bottom w:val="single" w:sz="4" w:space="0" w:color="auto"/>
            </w:tcBorders>
          </w:tcPr>
          <w:p w14:paraId="217EC023" w14:textId="2F081D01" w:rsidR="00991CCF" w:rsidRPr="00601AE1" w:rsidRDefault="00991CCF" w:rsidP="00E37ADE">
            <w:pPr>
              <w:spacing w:line="240" w:lineRule="auto"/>
              <w:jc w:val="center"/>
            </w:pPr>
            <w:r>
              <w:t>S</w:t>
            </w:r>
            <w:r w:rsidR="00246785">
              <w:t>4</w:t>
            </w:r>
          </w:p>
        </w:tc>
        <w:tc>
          <w:tcPr>
            <w:tcW w:w="1634" w:type="dxa"/>
            <w:tcBorders>
              <w:top w:val="single" w:sz="4" w:space="0" w:color="auto"/>
              <w:bottom w:val="single" w:sz="4" w:space="0" w:color="auto"/>
            </w:tcBorders>
          </w:tcPr>
          <w:p w14:paraId="169DB27E" w14:textId="654D7BF0" w:rsidR="00991CCF" w:rsidRPr="00601AE1" w:rsidRDefault="00991CCF" w:rsidP="00E37ADE">
            <w:pPr>
              <w:spacing w:line="240" w:lineRule="auto"/>
              <w:jc w:val="center"/>
            </w:pPr>
            <w:r>
              <w:t>S</w:t>
            </w:r>
            <w:r w:rsidR="00246785">
              <w:t>5</w:t>
            </w:r>
          </w:p>
        </w:tc>
        <w:tc>
          <w:tcPr>
            <w:tcW w:w="1819" w:type="dxa"/>
            <w:tcBorders>
              <w:top w:val="single" w:sz="4" w:space="0" w:color="auto"/>
              <w:bottom w:val="single" w:sz="4" w:space="0" w:color="auto"/>
            </w:tcBorders>
          </w:tcPr>
          <w:p w14:paraId="3AD552F5" w14:textId="68989873" w:rsidR="00991CCF" w:rsidRPr="00601AE1" w:rsidRDefault="00991CCF" w:rsidP="00246785">
            <w:pPr>
              <w:spacing w:line="240" w:lineRule="auto"/>
              <w:jc w:val="center"/>
            </w:pPr>
            <w:r>
              <w:t>S</w:t>
            </w:r>
            <w:r w:rsidR="00246785">
              <w:t>6</w:t>
            </w:r>
          </w:p>
        </w:tc>
      </w:tr>
      <w:tr w:rsidR="00991CCF" w14:paraId="7C9B9E1D" w14:textId="77777777" w:rsidTr="00F67133">
        <w:trPr>
          <w:jc w:val="center"/>
        </w:trPr>
        <w:tc>
          <w:tcPr>
            <w:tcW w:w="2926" w:type="dxa"/>
            <w:tcBorders>
              <w:top w:val="single" w:sz="4" w:space="0" w:color="auto"/>
            </w:tcBorders>
          </w:tcPr>
          <w:p w14:paraId="320C3F5F" w14:textId="77777777" w:rsidR="00991CCF" w:rsidRPr="00601AE1" w:rsidRDefault="00991CCF" w:rsidP="00E37ADE">
            <w:pPr>
              <w:spacing w:line="240" w:lineRule="auto"/>
            </w:pPr>
            <w:r w:rsidRPr="00601AE1">
              <w:t>Intercept</w:t>
            </w:r>
          </w:p>
        </w:tc>
        <w:tc>
          <w:tcPr>
            <w:tcW w:w="1620" w:type="dxa"/>
          </w:tcPr>
          <w:p w14:paraId="1AE7DD2E" w14:textId="77960E54" w:rsidR="00991CCF" w:rsidRPr="00601AE1" w:rsidRDefault="0008155F" w:rsidP="00B27037">
            <w:pPr>
              <w:spacing w:line="240" w:lineRule="auto"/>
              <w:jc w:val="center"/>
            </w:pPr>
            <w:r>
              <w:t>-.512(.154</w:t>
            </w:r>
            <w:r w:rsidR="00FA586C">
              <w:t>)*</w:t>
            </w:r>
          </w:p>
        </w:tc>
        <w:tc>
          <w:tcPr>
            <w:tcW w:w="1634" w:type="dxa"/>
          </w:tcPr>
          <w:p w14:paraId="4C1CF3FE" w14:textId="1593691F" w:rsidR="00991CCF" w:rsidRPr="00601AE1" w:rsidRDefault="00B607BD" w:rsidP="00B27037">
            <w:pPr>
              <w:spacing w:line="240" w:lineRule="auto"/>
              <w:jc w:val="center"/>
            </w:pPr>
            <w:r>
              <w:t>-.598(.148</w:t>
            </w:r>
            <w:r w:rsidR="00D011C5">
              <w:t>)</w:t>
            </w:r>
            <w:r>
              <w:t>**</w:t>
            </w:r>
            <w:r w:rsidR="00926039">
              <w:t>*</w:t>
            </w:r>
          </w:p>
        </w:tc>
        <w:tc>
          <w:tcPr>
            <w:tcW w:w="1819" w:type="dxa"/>
          </w:tcPr>
          <w:p w14:paraId="0DC93FA7" w14:textId="400BE975" w:rsidR="00991CCF" w:rsidRPr="00601AE1" w:rsidRDefault="004C5621" w:rsidP="00E37ADE">
            <w:pPr>
              <w:spacing w:line="240" w:lineRule="auto"/>
              <w:jc w:val="center"/>
            </w:pPr>
            <w:r>
              <w:t>-.529(.163</w:t>
            </w:r>
            <w:r w:rsidR="00F67133">
              <w:t>)*</w:t>
            </w:r>
            <w:r>
              <w:t>*</w:t>
            </w:r>
          </w:p>
        </w:tc>
      </w:tr>
      <w:tr w:rsidR="00991CCF" w14:paraId="53BDBC23" w14:textId="77777777" w:rsidTr="00F67133">
        <w:trPr>
          <w:jc w:val="center"/>
        </w:trPr>
        <w:tc>
          <w:tcPr>
            <w:tcW w:w="2926" w:type="dxa"/>
          </w:tcPr>
          <w:p w14:paraId="790DC46E" w14:textId="77777777" w:rsidR="00991CCF" w:rsidRPr="00601AE1" w:rsidRDefault="00991CCF" w:rsidP="00E37ADE">
            <w:pPr>
              <w:spacing w:line="240" w:lineRule="auto"/>
            </w:pPr>
            <w:r>
              <w:t>CURINT</w:t>
            </w:r>
          </w:p>
        </w:tc>
        <w:tc>
          <w:tcPr>
            <w:tcW w:w="1620" w:type="dxa"/>
          </w:tcPr>
          <w:p w14:paraId="2035A095" w14:textId="6615A63A" w:rsidR="00991CCF" w:rsidRPr="00601AE1" w:rsidRDefault="0008155F" w:rsidP="00B27037">
            <w:pPr>
              <w:spacing w:line="240" w:lineRule="auto"/>
              <w:jc w:val="center"/>
            </w:pPr>
            <w:r>
              <w:t>1.379(.151</w:t>
            </w:r>
            <w:r w:rsidR="00FA586C">
              <w:t>)***</w:t>
            </w:r>
          </w:p>
        </w:tc>
        <w:tc>
          <w:tcPr>
            <w:tcW w:w="1634" w:type="dxa"/>
          </w:tcPr>
          <w:p w14:paraId="445E27E8" w14:textId="7CE558F4" w:rsidR="00991CCF" w:rsidRPr="00601AE1" w:rsidRDefault="00D011C5" w:rsidP="00B27037">
            <w:pPr>
              <w:spacing w:line="240" w:lineRule="auto"/>
              <w:jc w:val="center"/>
            </w:pPr>
            <w:r>
              <w:t>1.38</w:t>
            </w:r>
            <w:r w:rsidR="00B607BD">
              <w:t>1</w:t>
            </w:r>
            <w:r>
              <w:t>(.15</w:t>
            </w:r>
            <w:r w:rsidR="00B607BD">
              <w:t>0</w:t>
            </w:r>
            <w:r>
              <w:t>)***</w:t>
            </w:r>
          </w:p>
        </w:tc>
        <w:tc>
          <w:tcPr>
            <w:tcW w:w="1819" w:type="dxa"/>
          </w:tcPr>
          <w:p w14:paraId="6B2DB676" w14:textId="286AAF59" w:rsidR="00991CCF" w:rsidRPr="00601AE1" w:rsidRDefault="00F67133" w:rsidP="00B27037">
            <w:pPr>
              <w:spacing w:line="240" w:lineRule="auto"/>
              <w:jc w:val="center"/>
            </w:pPr>
            <w:r>
              <w:t>1.3</w:t>
            </w:r>
            <w:r w:rsidR="004C5621">
              <w:t>79</w:t>
            </w:r>
            <w:r>
              <w:t>(.15</w:t>
            </w:r>
            <w:r w:rsidR="004C5621">
              <w:t>1</w:t>
            </w:r>
            <w:r>
              <w:t>)***</w:t>
            </w:r>
          </w:p>
        </w:tc>
      </w:tr>
      <w:tr w:rsidR="00991CCF" w14:paraId="5741CD2E" w14:textId="77777777" w:rsidTr="00F67133">
        <w:trPr>
          <w:jc w:val="center"/>
        </w:trPr>
        <w:tc>
          <w:tcPr>
            <w:tcW w:w="2926" w:type="dxa"/>
          </w:tcPr>
          <w:p w14:paraId="30E75A84" w14:textId="77777777" w:rsidR="00991CCF" w:rsidRPr="00601AE1" w:rsidRDefault="00991CCF" w:rsidP="00E37ADE">
            <w:pPr>
              <w:spacing w:line="240" w:lineRule="auto"/>
            </w:pPr>
            <w:r>
              <w:t>PRECHOICE</w:t>
            </w:r>
          </w:p>
        </w:tc>
        <w:tc>
          <w:tcPr>
            <w:tcW w:w="1620" w:type="dxa"/>
          </w:tcPr>
          <w:p w14:paraId="36883E97" w14:textId="11D47A7F" w:rsidR="00991CCF" w:rsidRPr="00601AE1" w:rsidRDefault="0008155F" w:rsidP="00B27037">
            <w:pPr>
              <w:spacing w:line="240" w:lineRule="auto"/>
              <w:jc w:val="center"/>
            </w:pPr>
            <w:r>
              <w:t>-.569</w:t>
            </w:r>
            <w:r w:rsidR="00FA586C">
              <w:t>(.</w:t>
            </w:r>
            <w:r>
              <w:t>197</w:t>
            </w:r>
            <w:r w:rsidR="00FA586C">
              <w:t>)**</w:t>
            </w:r>
          </w:p>
        </w:tc>
        <w:tc>
          <w:tcPr>
            <w:tcW w:w="1634" w:type="dxa"/>
          </w:tcPr>
          <w:p w14:paraId="23D5E905" w14:textId="19B6D198" w:rsidR="00991CCF" w:rsidRPr="00601AE1" w:rsidRDefault="00926039" w:rsidP="00E37ADE">
            <w:pPr>
              <w:spacing w:line="240" w:lineRule="auto"/>
              <w:jc w:val="center"/>
            </w:pPr>
            <w:r>
              <w:t>-.261(.178)</w:t>
            </w:r>
          </w:p>
        </w:tc>
        <w:tc>
          <w:tcPr>
            <w:tcW w:w="1819" w:type="dxa"/>
          </w:tcPr>
          <w:p w14:paraId="60592734" w14:textId="5726613D" w:rsidR="00991CCF" w:rsidRPr="00601AE1" w:rsidRDefault="00F67133" w:rsidP="00B27037">
            <w:pPr>
              <w:spacing w:line="240" w:lineRule="auto"/>
              <w:jc w:val="center"/>
            </w:pPr>
            <w:r>
              <w:t>-.6</w:t>
            </w:r>
            <w:r w:rsidR="004C5621">
              <w:t>06</w:t>
            </w:r>
            <w:r>
              <w:t>(.14</w:t>
            </w:r>
            <w:r w:rsidR="004C5621">
              <w:t>1</w:t>
            </w:r>
            <w:r>
              <w:t>)***</w:t>
            </w:r>
          </w:p>
        </w:tc>
      </w:tr>
      <w:tr w:rsidR="00991CCF" w14:paraId="08617620" w14:textId="77777777" w:rsidTr="00F67133">
        <w:trPr>
          <w:jc w:val="center"/>
        </w:trPr>
        <w:tc>
          <w:tcPr>
            <w:tcW w:w="2926" w:type="dxa"/>
          </w:tcPr>
          <w:p w14:paraId="12694F01" w14:textId="77777777" w:rsidR="00991CCF" w:rsidRPr="00601AE1" w:rsidRDefault="00991CCF" w:rsidP="00E37ADE">
            <w:pPr>
              <w:spacing w:line="240" w:lineRule="auto"/>
            </w:pPr>
            <w:r>
              <w:t>PRENA</w:t>
            </w:r>
          </w:p>
        </w:tc>
        <w:tc>
          <w:tcPr>
            <w:tcW w:w="1620" w:type="dxa"/>
          </w:tcPr>
          <w:p w14:paraId="6D08A56A" w14:textId="55708EA6" w:rsidR="00991CCF" w:rsidRPr="00601AE1" w:rsidRDefault="0008155F" w:rsidP="00B27037">
            <w:pPr>
              <w:spacing w:line="240" w:lineRule="auto"/>
              <w:jc w:val="center"/>
            </w:pPr>
            <w:r>
              <w:t>.082(.063</w:t>
            </w:r>
            <w:r w:rsidR="00FA586C">
              <w:t>)</w:t>
            </w:r>
          </w:p>
        </w:tc>
        <w:tc>
          <w:tcPr>
            <w:tcW w:w="1634" w:type="dxa"/>
          </w:tcPr>
          <w:p w14:paraId="7FBEBB5B" w14:textId="191387C4" w:rsidR="00991CCF" w:rsidRPr="00601AE1" w:rsidRDefault="009744EE" w:rsidP="00B27037">
            <w:pPr>
              <w:spacing w:line="240" w:lineRule="auto"/>
              <w:jc w:val="center"/>
            </w:pPr>
            <w:r>
              <w:t>.09</w:t>
            </w:r>
            <w:r w:rsidR="00926039">
              <w:t>5</w:t>
            </w:r>
            <w:r>
              <w:t>(.0</w:t>
            </w:r>
            <w:r w:rsidR="008265BD">
              <w:t>47</w:t>
            </w:r>
            <w:r>
              <w:t>)*</w:t>
            </w:r>
          </w:p>
        </w:tc>
        <w:tc>
          <w:tcPr>
            <w:tcW w:w="1819" w:type="dxa"/>
          </w:tcPr>
          <w:p w14:paraId="532688F8" w14:textId="64199EBB" w:rsidR="00991CCF" w:rsidRPr="00601AE1" w:rsidRDefault="004C5621" w:rsidP="00B27037">
            <w:pPr>
              <w:spacing w:line="240" w:lineRule="auto"/>
              <w:ind w:right="360"/>
              <w:jc w:val="center"/>
            </w:pPr>
            <w:r>
              <w:t>.065</w:t>
            </w:r>
            <w:r w:rsidR="00F67133">
              <w:t>(.0</w:t>
            </w:r>
            <w:r>
              <w:t>75</w:t>
            </w:r>
            <w:r w:rsidR="00F67133">
              <w:t>)</w:t>
            </w:r>
          </w:p>
        </w:tc>
      </w:tr>
      <w:tr w:rsidR="00991CCF" w14:paraId="2C95F08B" w14:textId="77777777" w:rsidTr="00F67133">
        <w:trPr>
          <w:jc w:val="center"/>
        </w:trPr>
        <w:tc>
          <w:tcPr>
            <w:tcW w:w="2926" w:type="dxa"/>
          </w:tcPr>
          <w:p w14:paraId="1DFD6FE9" w14:textId="77777777" w:rsidR="00991CCF" w:rsidRPr="00601AE1" w:rsidRDefault="00991CCF" w:rsidP="00E37ADE">
            <w:pPr>
              <w:spacing w:line="240" w:lineRule="auto"/>
            </w:pPr>
            <w:r>
              <w:t>PREINT</w:t>
            </w:r>
          </w:p>
        </w:tc>
        <w:tc>
          <w:tcPr>
            <w:tcW w:w="1620" w:type="dxa"/>
          </w:tcPr>
          <w:p w14:paraId="1EBAFFA9" w14:textId="39FE5B38" w:rsidR="00991CCF" w:rsidRPr="00601AE1" w:rsidRDefault="0008155F" w:rsidP="00B27037">
            <w:pPr>
              <w:spacing w:line="240" w:lineRule="auto"/>
              <w:jc w:val="center"/>
            </w:pPr>
            <w:r>
              <w:t>.077</w:t>
            </w:r>
            <w:r w:rsidR="00FA586C">
              <w:t>(.1</w:t>
            </w:r>
            <w:r>
              <w:t>26</w:t>
            </w:r>
            <w:r w:rsidR="00FA586C">
              <w:t>)</w:t>
            </w:r>
          </w:p>
        </w:tc>
        <w:tc>
          <w:tcPr>
            <w:tcW w:w="1634" w:type="dxa"/>
          </w:tcPr>
          <w:p w14:paraId="06EEAAD9" w14:textId="0CC4D88E" w:rsidR="00991CCF" w:rsidRPr="00601AE1" w:rsidRDefault="009744EE" w:rsidP="00B27037">
            <w:pPr>
              <w:spacing w:line="240" w:lineRule="auto"/>
              <w:jc w:val="center"/>
            </w:pPr>
            <w:r>
              <w:t>-.2</w:t>
            </w:r>
            <w:r w:rsidR="008265BD">
              <w:t>41</w:t>
            </w:r>
            <w:r>
              <w:t>(.17</w:t>
            </w:r>
            <w:r w:rsidR="008265BD">
              <w:t>1</w:t>
            </w:r>
            <w:r>
              <w:t>)</w:t>
            </w:r>
          </w:p>
        </w:tc>
        <w:tc>
          <w:tcPr>
            <w:tcW w:w="1819" w:type="dxa"/>
          </w:tcPr>
          <w:p w14:paraId="0D1D0001" w14:textId="408E74AE" w:rsidR="00991CCF" w:rsidRPr="00601AE1" w:rsidRDefault="00F67133" w:rsidP="00B27037">
            <w:pPr>
              <w:spacing w:line="240" w:lineRule="auto"/>
              <w:jc w:val="center"/>
            </w:pPr>
            <w:r>
              <w:t>.1</w:t>
            </w:r>
            <w:r w:rsidR="004C5621">
              <w:t>42</w:t>
            </w:r>
            <w:r>
              <w:t>(.1</w:t>
            </w:r>
            <w:r w:rsidR="004C5621">
              <w:t>76</w:t>
            </w:r>
            <w:r>
              <w:t>)</w:t>
            </w:r>
          </w:p>
        </w:tc>
      </w:tr>
      <w:tr w:rsidR="00991CCF" w14:paraId="083BB5B4" w14:textId="77777777" w:rsidTr="00F67133">
        <w:trPr>
          <w:jc w:val="center"/>
        </w:trPr>
        <w:tc>
          <w:tcPr>
            <w:tcW w:w="2926" w:type="dxa"/>
          </w:tcPr>
          <w:p w14:paraId="0F39D798" w14:textId="12565700" w:rsidR="00991CCF" w:rsidRPr="00601AE1" w:rsidRDefault="00991CCF" w:rsidP="00E37ADE">
            <w:pPr>
              <w:spacing w:line="240" w:lineRule="auto"/>
            </w:pPr>
            <w:r>
              <w:t>PRECHOICE</w:t>
            </w:r>
            <w:r w:rsidR="00FA586C">
              <w:t>xPRENA</w:t>
            </w:r>
          </w:p>
        </w:tc>
        <w:tc>
          <w:tcPr>
            <w:tcW w:w="1620" w:type="dxa"/>
          </w:tcPr>
          <w:p w14:paraId="3910A68E" w14:textId="0DAA68A5" w:rsidR="00991CCF" w:rsidRDefault="00FA586C" w:rsidP="00B27037">
            <w:pPr>
              <w:spacing w:line="240" w:lineRule="auto"/>
              <w:jc w:val="center"/>
            </w:pPr>
            <w:r>
              <w:t>-.02</w:t>
            </w:r>
            <w:r w:rsidR="00EF4885">
              <w:t>4</w:t>
            </w:r>
            <w:r>
              <w:t>(.0</w:t>
            </w:r>
            <w:r w:rsidR="00E43789">
              <w:t>79</w:t>
            </w:r>
            <w:r>
              <w:t>)</w:t>
            </w:r>
          </w:p>
        </w:tc>
        <w:tc>
          <w:tcPr>
            <w:tcW w:w="1634" w:type="dxa"/>
          </w:tcPr>
          <w:p w14:paraId="4ED2623D" w14:textId="3AD0F298" w:rsidR="00991CCF" w:rsidRDefault="009744EE" w:rsidP="00E37ADE">
            <w:pPr>
              <w:spacing w:line="240" w:lineRule="auto"/>
              <w:jc w:val="center"/>
            </w:pPr>
            <w:r>
              <w:t>--</w:t>
            </w:r>
          </w:p>
        </w:tc>
        <w:tc>
          <w:tcPr>
            <w:tcW w:w="1819" w:type="dxa"/>
          </w:tcPr>
          <w:p w14:paraId="780F9107" w14:textId="67BA8ABE" w:rsidR="00991CCF" w:rsidRDefault="00F67133" w:rsidP="00E37ADE">
            <w:pPr>
              <w:spacing w:line="240" w:lineRule="auto"/>
              <w:jc w:val="center"/>
            </w:pPr>
            <w:r>
              <w:t>--</w:t>
            </w:r>
          </w:p>
        </w:tc>
      </w:tr>
      <w:tr w:rsidR="00991CCF" w14:paraId="58F2C932" w14:textId="77777777" w:rsidTr="00F67133">
        <w:trPr>
          <w:jc w:val="center"/>
        </w:trPr>
        <w:tc>
          <w:tcPr>
            <w:tcW w:w="2926" w:type="dxa"/>
          </w:tcPr>
          <w:p w14:paraId="75B66D1D" w14:textId="4B762F80" w:rsidR="00991CCF" w:rsidRDefault="00FA586C" w:rsidP="00E37ADE">
            <w:pPr>
              <w:spacing w:line="240" w:lineRule="auto"/>
            </w:pPr>
            <w:r>
              <w:t>PRECHOICExPREINT</w:t>
            </w:r>
          </w:p>
        </w:tc>
        <w:tc>
          <w:tcPr>
            <w:tcW w:w="1620" w:type="dxa"/>
          </w:tcPr>
          <w:p w14:paraId="7284F09C" w14:textId="63A4B218" w:rsidR="00991CCF" w:rsidRDefault="00FA586C" w:rsidP="00E37ADE">
            <w:pPr>
              <w:spacing w:line="240" w:lineRule="auto"/>
              <w:jc w:val="center"/>
            </w:pPr>
            <w:r>
              <w:t>--</w:t>
            </w:r>
          </w:p>
        </w:tc>
        <w:tc>
          <w:tcPr>
            <w:tcW w:w="1634" w:type="dxa"/>
          </w:tcPr>
          <w:p w14:paraId="710F9345" w14:textId="03F65B1C" w:rsidR="00991CCF" w:rsidRDefault="00B27037" w:rsidP="00B27037">
            <w:pPr>
              <w:spacing w:line="240" w:lineRule="auto"/>
              <w:jc w:val="center"/>
            </w:pPr>
            <w:r>
              <w:t>.45</w:t>
            </w:r>
            <w:r w:rsidR="007F48EA">
              <w:t>6</w:t>
            </w:r>
            <w:r w:rsidR="00212037">
              <w:t>(.23</w:t>
            </w:r>
            <w:r w:rsidR="00E43789">
              <w:t>4</w:t>
            </w:r>
            <w:r w:rsidR="009744EE">
              <w:t>)</w:t>
            </w:r>
          </w:p>
        </w:tc>
        <w:tc>
          <w:tcPr>
            <w:tcW w:w="1819" w:type="dxa"/>
          </w:tcPr>
          <w:p w14:paraId="7D91AEFB" w14:textId="15C638B2" w:rsidR="00991CCF" w:rsidRDefault="00F67133" w:rsidP="00E37ADE">
            <w:pPr>
              <w:spacing w:line="240" w:lineRule="auto"/>
              <w:jc w:val="center"/>
            </w:pPr>
            <w:r>
              <w:t>--</w:t>
            </w:r>
          </w:p>
        </w:tc>
      </w:tr>
      <w:tr w:rsidR="00991CCF" w14:paraId="468A9289" w14:textId="77777777" w:rsidTr="00F67133">
        <w:trPr>
          <w:jc w:val="center"/>
        </w:trPr>
        <w:tc>
          <w:tcPr>
            <w:tcW w:w="2926" w:type="dxa"/>
          </w:tcPr>
          <w:p w14:paraId="751D604C" w14:textId="70B571FF" w:rsidR="00991CCF" w:rsidRDefault="009412E2" w:rsidP="00E37ADE">
            <w:pPr>
              <w:spacing w:line="240" w:lineRule="auto"/>
            </w:pPr>
            <w:r>
              <w:t>PRENAx</w:t>
            </w:r>
            <w:r w:rsidR="00FA586C">
              <w:t>PREINT</w:t>
            </w:r>
          </w:p>
        </w:tc>
        <w:tc>
          <w:tcPr>
            <w:tcW w:w="1620" w:type="dxa"/>
          </w:tcPr>
          <w:p w14:paraId="03043B59" w14:textId="0A3C14C4" w:rsidR="00991CCF" w:rsidRDefault="00FA586C" w:rsidP="00E37ADE">
            <w:pPr>
              <w:spacing w:line="240" w:lineRule="auto"/>
              <w:jc w:val="center"/>
            </w:pPr>
            <w:r>
              <w:t>--</w:t>
            </w:r>
          </w:p>
        </w:tc>
        <w:tc>
          <w:tcPr>
            <w:tcW w:w="1634" w:type="dxa"/>
          </w:tcPr>
          <w:p w14:paraId="546582FF" w14:textId="00D3C128" w:rsidR="00991CCF" w:rsidRDefault="00212037" w:rsidP="00E37ADE">
            <w:pPr>
              <w:spacing w:line="240" w:lineRule="auto"/>
              <w:jc w:val="center"/>
            </w:pPr>
            <w:r>
              <w:t>--</w:t>
            </w:r>
          </w:p>
        </w:tc>
        <w:tc>
          <w:tcPr>
            <w:tcW w:w="1819" w:type="dxa"/>
          </w:tcPr>
          <w:p w14:paraId="555F5D49" w14:textId="19AD7526" w:rsidR="00991CCF" w:rsidRDefault="00F67133" w:rsidP="00B27037">
            <w:pPr>
              <w:spacing w:line="240" w:lineRule="auto"/>
              <w:jc w:val="center"/>
            </w:pPr>
            <w:r>
              <w:t>-.04</w:t>
            </w:r>
            <w:r w:rsidR="00E43789">
              <w:t>3</w:t>
            </w:r>
            <w:r>
              <w:t>(.07</w:t>
            </w:r>
            <w:r w:rsidR="00E43789">
              <w:t>3</w:t>
            </w:r>
            <w:r>
              <w:t>)</w:t>
            </w:r>
          </w:p>
        </w:tc>
      </w:tr>
      <w:tr w:rsidR="00991CCF" w14:paraId="58011134" w14:textId="77777777" w:rsidTr="00F67133">
        <w:trPr>
          <w:jc w:val="center"/>
        </w:trPr>
        <w:tc>
          <w:tcPr>
            <w:tcW w:w="2926" w:type="dxa"/>
            <w:tcBorders>
              <w:bottom w:val="single" w:sz="4" w:space="0" w:color="auto"/>
            </w:tcBorders>
          </w:tcPr>
          <w:p w14:paraId="4D246384" w14:textId="77777777" w:rsidR="00991CCF" w:rsidRPr="00601AE1" w:rsidRDefault="00991CCF" w:rsidP="00E37ADE">
            <w:pPr>
              <w:spacing w:line="240" w:lineRule="auto"/>
            </w:pPr>
            <w:r w:rsidRPr="00601AE1">
              <w:t>QIC</w:t>
            </w:r>
          </w:p>
        </w:tc>
        <w:tc>
          <w:tcPr>
            <w:tcW w:w="1620" w:type="dxa"/>
            <w:tcBorders>
              <w:bottom w:val="single" w:sz="4" w:space="0" w:color="auto"/>
            </w:tcBorders>
          </w:tcPr>
          <w:p w14:paraId="080A9F51" w14:textId="6CAC6D78" w:rsidR="00991CCF" w:rsidRPr="00601AE1" w:rsidRDefault="00FA586C" w:rsidP="00246785">
            <w:pPr>
              <w:spacing w:line="240" w:lineRule="auto"/>
              <w:jc w:val="center"/>
            </w:pPr>
            <w:r>
              <w:t>1943.6</w:t>
            </w:r>
            <w:r w:rsidR="00246785">
              <w:t>3</w:t>
            </w:r>
          </w:p>
        </w:tc>
        <w:tc>
          <w:tcPr>
            <w:tcW w:w="1634" w:type="dxa"/>
            <w:tcBorders>
              <w:bottom w:val="single" w:sz="4" w:space="0" w:color="auto"/>
            </w:tcBorders>
          </w:tcPr>
          <w:p w14:paraId="1A8E8A2B" w14:textId="36E8BD08" w:rsidR="00991CCF" w:rsidRPr="00601AE1" w:rsidRDefault="009744EE" w:rsidP="00246785">
            <w:pPr>
              <w:spacing w:line="240" w:lineRule="auto"/>
              <w:jc w:val="center"/>
            </w:pPr>
            <w:r>
              <w:t>1929.4</w:t>
            </w:r>
            <w:r w:rsidR="00246785">
              <w:t>2</w:t>
            </w:r>
          </w:p>
        </w:tc>
        <w:tc>
          <w:tcPr>
            <w:tcW w:w="1819" w:type="dxa"/>
            <w:tcBorders>
              <w:bottom w:val="single" w:sz="4" w:space="0" w:color="auto"/>
            </w:tcBorders>
          </w:tcPr>
          <w:p w14:paraId="69575FBF" w14:textId="126E5E05" w:rsidR="00991CCF" w:rsidRPr="00601AE1" w:rsidRDefault="00F67133" w:rsidP="00246785">
            <w:pPr>
              <w:spacing w:line="240" w:lineRule="auto"/>
              <w:jc w:val="center"/>
            </w:pPr>
            <w:r>
              <w:t>1941.4</w:t>
            </w:r>
            <w:r w:rsidR="00246785">
              <w:t>8</w:t>
            </w:r>
          </w:p>
        </w:tc>
      </w:tr>
      <w:tr w:rsidR="00991CCF" w14:paraId="171B39CD" w14:textId="77777777" w:rsidTr="00F67133">
        <w:trPr>
          <w:jc w:val="center"/>
        </w:trPr>
        <w:tc>
          <w:tcPr>
            <w:tcW w:w="7999" w:type="dxa"/>
            <w:gridSpan w:val="4"/>
            <w:tcBorders>
              <w:top w:val="single" w:sz="4" w:space="0" w:color="auto"/>
              <w:bottom w:val="single" w:sz="4" w:space="0" w:color="auto"/>
            </w:tcBorders>
          </w:tcPr>
          <w:p w14:paraId="0DA622BD" w14:textId="448AF8F3" w:rsidR="00246785" w:rsidRDefault="00991CCF" w:rsidP="00E37ADE">
            <w:pPr>
              <w:spacing w:line="240" w:lineRule="auto"/>
              <w:rPr>
                <w:i/>
              </w:rPr>
            </w:pPr>
            <w:r>
              <w:rPr>
                <w:i/>
              </w:rPr>
              <w:t>Note. Current Choice – 0 = selection of rethink in current trial &amp; 1 = selection of distract in current trial. Current Intensity (CURINT) – 0 = low-intensity stimulus &amp; 1 = high-intensity stimulus. Preceding Choice (PRECHOICE) – 0 = selection of rethink in preceding trial &amp; 1 = selection of distract in the preceding trial. Preceding Negative Affect (PRENA) – 8-point Likert scale [0 = not negative at all &amp; 8 = very negative]. Preceding Intensity (PREINT) – 0 = low-intensity in the preceding trial &amp; 1 = high-intensity stimuli in the preceding trial</w:t>
            </w:r>
            <w:r w:rsidR="00246785">
              <w:rPr>
                <w:i/>
              </w:rPr>
              <w:t xml:space="preserve">. SE – </w:t>
            </w:r>
            <w:r>
              <w:rPr>
                <w:i/>
              </w:rPr>
              <w:t xml:space="preserve">Standard Error. QIC – Quasi-Likelihood Information Criterion. </w:t>
            </w:r>
          </w:p>
          <w:p w14:paraId="3BFDEA88" w14:textId="398F61C9" w:rsidR="00991CCF" w:rsidRPr="00854402" w:rsidRDefault="00991CCF" w:rsidP="00E37ADE">
            <w:pPr>
              <w:spacing w:line="240" w:lineRule="auto"/>
              <w:rPr>
                <w:i/>
              </w:rPr>
            </w:pPr>
            <w:r>
              <w:rPr>
                <w:i/>
              </w:rPr>
              <w:t>* p &lt; .05. ** p &lt; .01. *** p &lt; .001.</w:t>
            </w:r>
          </w:p>
        </w:tc>
      </w:tr>
    </w:tbl>
    <w:p w14:paraId="01BEE552" w14:textId="443ACED9" w:rsidR="006E27F2" w:rsidRDefault="006E27F2" w:rsidP="00A149B3">
      <w:pPr>
        <w:pStyle w:val="References"/>
        <w:spacing w:before="0" w:line="240" w:lineRule="auto"/>
        <w:ind w:left="0" w:firstLine="0"/>
      </w:pPr>
    </w:p>
    <w:p w14:paraId="5111107D" w14:textId="35E7483B" w:rsidR="00A401FF" w:rsidRDefault="00F076E2" w:rsidP="00D03EA9">
      <w:pPr>
        <w:pStyle w:val="References"/>
        <w:spacing w:before="0" w:line="480" w:lineRule="auto"/>
        <w:ind w:left="0" w:firstLine="0"/>
      </w:pPr>
      <w:r w:rsidRPr="00F076E2">
        <w:rPr>
          <w:b/>
          <w:i/>
        </w:rPr>
        <w:lastRenderedPageBreak/>
        <w:t xml:space="preserve">Mixed Effects </w:t>
      </w:r>
      <w:r w:rsidR="00672656">
        <w:rPr>
          <w:b/>
          <w:i/>
        </w:rPr>
        <w:t>(Mulitlevel)</w:t>
      </w:r>
      <w:r w:rsidR="000D1D2A">
        <w:rPr>
          <w:b/>
          <w:i/>
        </w:rPr>
        <w:t xml:space="preserve"> </w:t>
      </w:r>
      <w:r w:rsidR="00672656">
        <w:rPr>
          <w:b/>
          <w:i/>
        </w:rPr>
        <w:t>Analyses</w:t>
      </w:r>
      <w:r w:rsidR="001427D0">
        <w:t xml:space="preserve">. </w:t>
      </w:r>
      <w:r w:rsidR="00107580">
        <w:t xml:space="preserve">Although, as noted in the text, GEE regression is appropriate for the data and hypotheses in this study, analyses with mixed effects (multilevel) </w:t>
      </w:r>
      <w:r w:rsidR="00A401FF">
        <w:t xml:space="preserve">logistic regression </w:t>
      </w:r>
      <w:r w:rsidR="00107580">
        <w:t xml:space="preserve">models are also appropriate, and perhaps more familiar. Therefore, we also briefly present here those analyses (Table 3S). </w:t>
      </w:r>
      <w:r w:rsidR="00A401FF">
        <w:t>We followed the same sequence of models as in the GEE analyses and assessed fixed effects prior to random effects as recommended by Hox (2010).</w:t>
      </w:r>
      <w:r w:rsidR="001968BC">
        <w:t xml:space="preserve"> </w:t>
      </w:r>
    </w:p>
    <w:p w14:paraId="28E4FFAD" w14:textId="6DECB56B" w:rsidR="001968BC" w:rsidRDefault="00672656" w:rsidP="00D03EA9">
      <w:pPr>
        <w:pStyle w:val="References"/>
        <w:spacing w:before="0" w:line="480" w:lineRule="auto"/>
        <w:ind w:left="0" w:firstLine="720"/>
        <w:rPr>
          <w:iCs/>
          <w:lang w:val="en"/>
        </w:rPr>
      </w:pPr>
      <w:r>
        <w:t>In the baseline model with no predictors</w:t>
      </w:r>
      <w:r w:rsidR="00D82B0B">
        <w:t xml:space="preserve"> (Table 3S, M1)</w:t>
      </w:r>
      <w:r w:rsidR="00A401FF">
        <w:t>,</w:t>
      </w:r>
      <w:r>
        <w:t xml:space="preserve"> the </w:t>
      </w:r>
      <w:r w:rsidR="001968BC" w:rsidRPr="00EE5048">
        <w:t xml:space="preserve">between-subject variability in </w:t>
      </w:r>
      <w:r>
        <w:t>the</w:t>
      </w:r>
      <w:r w:rsidR="001968BC" w:rsidRPr="00EE5048">
        <w:t xml:space="preserve"> probability of choosing to </w:t>
      </w:r>
      <w:r w:rsidR="004F13E6">
        <w:t>distraction</w:t>
      </w:r>
      <w:r>
        <w:t xml:space="preserve"> was significant</w:t>
      </w:r>
      <w:r w:rsidR="001968BC" w:rsidRPr="00EE5048">
        <w:t xml:space="preserve"> (σ</w:t>
      </w:r>
      <w:r w:rsidR="001968BC" w:rsidRPr="00EE5048">
        <w:rPr>
          <w:bCs/>
          <w:vertAlign w:val="superscript"/>
        </w:rPr>
        <w:t>2</w:t>
      </w:r>
      <w:r w:rsidR="001968BC" w:rsidRPr="00EE5048">
        <w:rPr>
          <w:bCs/>
          <w:vertAlign w:val="subscript"/>
        </w:rPr>
        <w:t>u0</w:t>
      </w:r>
      <w:r w:rsidR="001968BC" w:rsidRPr="00EE5048">
        <w:rPr>
          <w:b/>
        </w:rPr>
        <w:t xml:space="preserve"> = </w:t>
      </w:r>
      <w:r w:rsidR="004F13E6">
        <w:rPr>
          <w:iCs/>
          <w:lang w:val="en"/>
        </w:rPr>
        <w:t>0.378 [0.143</w:t>
      </w:r>
      <w:r w:rsidR="001968BC" w:rsidRPr="00EE5048">
        <w:rPr>
          <w:iCs/>
          <w:lang w:val="en"/>
        </w:rPr>
        <w:t>], p &lt; 0.</w:t>
      </w:r>
      <w:r w:rsidR="001968BC" w:rsidRPr="00CE2635">
        <w:rPr>
          <w:iCs/>
          <w:lang w:val="en"/>
        </w:rPr>
        <w:t>00</w:t>
      </w:r>
      <w:r w:rsidR="001968BC">
        <w:rPr>
          <w:iCs/>
          <w:lang w:val="en"/>
        </w:rPr>
        <w:t>1)</w:t>
      </w:r>
      <w:r w:rsidR="001968BC" w:rsidRPr="00CE2635">
        <w:rPr>
          <w:iCs/>
          <w:lang w:val="en"/>
        </w:rPr>
        <w:t xml:space="preserve">. </w:t>
      </w:r>
      <w:r w:rsidR="001968BC">
        <w:rPr>
          <w:iCs/>
          <w:lang w:val="en"/>
        </w:rPr>
        <w:t>The intraclass correlation</w:t>
      </w:r>
      <w:r w:rsidR="001968BC" w:rsidRPr="000768F9">
        <w:rPr>
          <w:iCs/>
          <w:lang w:val="en"/>
        </w:rPr>
        <w:t xml:space="preserve"> </w:t>
      </w:r>
      <w:r w:rsidR="001968BC">
        <w:rPr>
          <w:iCs/>
          <w:lang w:val="en"/>
        </w:rPr>
        <w:t xml:space="preserve">revealed that </w:t>
      </w:r>
      <w:r w:rsidR="00067641">
        <w:rPr>
          <w:iCs/>
          <w:lang w:val="en"/>
        </w:rPr>
        <w:t>twenty</w:t>
      </w:r>
      <w:r>
        <w:rPr>
          <w:iCs/>
          <w:lang w:val="en"/>
        </w:rPr>
        <w:t>-</w:t>
      </w:r>
      <w:r w:rsidR="00067641">
        <w:rPr>
          <w:iCs/>
          <w:lang w:val="en"/>
        </w:rPr>
        <w:t>one</w:t>
      </w:r>
      <w:r w:rsidR="001968BC">
        <w:rPr>
          <w:iCs/>
          <w:lang w:val="en"/>
        </w:rPr>
        <w:t xml:space="preserve"> percent of the </w:t>
      </w:r>
      <w:r>
        <w:rPr>
          <w:iCs/>
          <w:lang w:val="en"/>
        </w:rPr>
        <w:t xml:space="preserve">overall </w:t>
      </w:r>
      <w:r w:rsidR="001968BC">
        <w:rPr>
          <w:iCs/>
          <w:lang w:val="en"/>
        </w:rPr>
        <w:t xml:space="preserve">variability in </w:t>
      </w:r>
      <w:r>
        <w:rPr>
          <w:iCs/>
          <w:lang w:val="en"/>
        </w:rPr>
        <w:t>the</w:t>
      </w:r>
      <w:r w:rsidR="001968BC">
        <w:rPr>
          <w:iCs/>
          <w:lang w:val="en"/>
        </w:rPr>
        <w:t xml:space="preserve"> probability of </w:t>
      </w:r>
      <w:r w:rsidR="00067641">
        <w:rPr>
          <w:iCs/>
          <w:lang w:val="en"/>
        </w:rPr>
        <w:t>selecting distraction</w:t>
      </w:r>
      <w:r w:rsidR="001968BC">
        <w:rPr>
          <w:iCs/>
          <w:lang w:val="en"/>
        </w:rPr>
        <w:t xml:space="preserve"> was between-subjects</w:t>
      </w:r>
      <w:r w:rsidR="0027008B">
        <w:rPr>
          <w:iCs/>
          <w:lang w:val="en"/>
        </w:rPr>
        <w:t xml:space="preserve">. The  </w:t>
      </w:r>
      <w:r>
        <w:rPr>
          <w:iCs/>
          <w:lang w:val="en"/>
        </w:rPr>
        <w:t>79% of the variability between stimuli within subjects</w:t>
      </w:r>
      <w:r w:rsidR="00107580">
        <w:rPr>
          <w:iCs/>
          <w:lang w:val="en"/>
        </w:rPr>
        <w:t xml:space="preserve"> </w:t>
      </w:r>
      <w:r w:rsidR="00107580">
        <w:t>(Hox, 2010, p. 118)</w:t>
      </w:r>
      <w:r w:rsidR="0027008B">
        <w:t xml:space="preserve"> is that to</w:t>
      </w:r>
      <w:r w:rsidR="00756B67">
        <w:t xml:space="preserve"> </w:t>
      </w:r>
      <w:r w:rsidR="0027008B">
        <w:t>be explained by the current and preceding stimulus factors</w:t>
      </w:r>
      <w:r w:rsidR="001968BC">
        <w:rPr>
          <w:iCs/>
          <w:lang w:val="en"/>
        </w:rPr>
        <w:t>. Without any predictors, the baseline probability of choosing</w:t>
      </w:r>
      <w:r>
        <w:rPr>
          <w:iCs/>
          <w:lang w:val="en"/>
        </w:rPr>
        <w:t xml:space="preserve"> </w:t>
      </w:r>
      <w:r w:rsidR="001968BC">
        <w:rPr>
          <w:iCs/>
          <w:lang w:val="en"/>
        </w:rPr>
        <w:t xml:space="preserve"> </w:t>
      </w:r>
      <w:r w:rsidR="00067641">
        <w:rPr>
          <w:iCs/>
          <w:lang w:val="en"/>
        </w:rPr>
        <w:t>distract</w:t>
      </w:r>
      <w:r w:rsidR="001968BC">
        <w:rPr>
          <w:iCs/>
          <w:lang w:val="en"/>
        </w:rPr>
        <w:t xml:space="preserve"> was 0.</w:t>
      </w:r>
      <w:r w:rsidR="003835EE">
        <w:rPr>
          <w:iCs/>
          <w:lang w:val="en"/>
        </w:rPr>
        <w:t>452</w:t>
      </w:r>
      <w:r w:rsidR="0080477B">
        <w:rPr>
          <w:iCs/>
          <w:lang w:val="en"/>
        </w:rPr>
        <w:t>.</w:t>
      </w:r>
    </w:p>
    <w:p w14:paraId="2AEDE966" w14:textId="72C5BBF7" w:rsidR="00107580" w:rsidRDefault="00A401FF" w:rsidP="00D03EA9">
      <w:pPr>
        <w:pStyle w:val="References"/>
        <w:spacing w:before="0" w:line="480" w:lineRule="auto"/>
        <w:ind w:left="0" w:firstLine="720"/>
      </w:pPr>
      <w:r>
        <w:rPr>
          <w:iCs/>
          <w:lang w:val="en"/>
        </w:rPr>
        <w:t>Next, we added the current stimulus intensity and the 3 preceding trial effects as level-one predictors. As in the GEE analyses, all effects were significant except preceding stimulus intensity (Table 3, M</w:t>
      </w:r>
      <w:r w:rsidR="00D82B0B">
        <w:rPr>
          <w:iCs/>
          <w:lang w:val="en"/>
        </w:rPr>
        <w:t>2</w:t>
      </w:r>
      <w:r>
        <w:rPr>
          <w:iCs/>
          <w:lang w:val="en"/>
        </w:rPr>
        <w:t>).</w:t>
      </w:r>
      <w:r w:rsidR="00D82B0B">
        <w:rPr>
          <w:iCs/>
          <w:lang w:val="en"/>
        </w:rPr>
        <w:t xml:space="preserve"> Finally, </w:t>
      </w:r>
      <w:r w:rsidR="007C5633">
        <w:rPr>
          <w:bCs/>
        </w:rPr>
        <w:t xml:space="preserve">we evaluated </w:t>
      </w:r>
      <w:r w:rsidR="00D14A06">
        <w:rPr>
          <w:bCs/>
        </w:rPr>
        <w:t xml:space="preserve">a </w:t>
      </w:r>
      <w:r w:rsidR="00565357">
        <w:rPr>
          <w:bCs/>
        </w:rPr>
        <w:t xml:space="preserve">random variance components for each </w:t>
      </w:r>
      <w:r w:rsidR="00D82B0B">
        <w:rPr>
          <w:bCs/>
        </w:rPr>
        <w:t>of the 3 significant predictors</w:t>
      </w:r>
      <w:r w:rsidR="007C5633">
        <w:rPr>
          <w:bCs/>
        </w:rPr>
        <w:t xml:space="preserve">. </w:t>
      </w:r>
      <w:r w:rsidR="00D82B0B">
        <w:rPr>
          <w:bCs/>
        </w:rPr>
        <w:t>O</w:t>
      </w:r>
      <w:r w:rsidR="007C5633">
        <w:rPr>
          <w:bCs/>
        </w:rPr>
        <w:t xml:space="preserve">nly the random variance </w:t>
      </w:r>
      <w:r w:rsidR="006B3C3A">
        <w:rPr>
          <w:bCs/>
        </w:rPr>
        <w:t>for current</w:t>
      </w:r>
      <w:r w:rsidR="007C5633">
        <w:rPr>
          <w:bCs/>
        </w:rPr>
        <w:t xml:space="preserve"> stimulus intensity </w:t>
      </w:r>
      <w:r w:rsidR="0027008B">
        <w:rPr>
          <w:bCs/>
        </w:rPr>
        <w:t xml:space="preserve">was significant </w:t>
      </w:r>
      <w:r w:rsidR="007A1333">
        <w:rPr>
          <w:bCs/>
        </w:rPr>
        <w:t>(</w:t>
      </w:r>
      <w:r w:rsidR="007A1333" w:rsidRPr="00BE57C6">
        <w:t>σ</w:t>
      </w:r>
      <w:r w:rsidR="007A1333" w:rsidRPr="00BE57C6">
        <w:rPr>
          <w:bCs/>
          <w:vertAlign w:val="superscript"/>
        </w:rPr>
        <w:t>2</w:t>
      </w:r>
      <w:r w:rsidR="007A1333">
        <w:rPr>
          <w:bCs/>
          <w:vertAlign w:val="subscript"/>
        </w:rPr>
        <w:t>u1</w:t>
      </w:r>
      <w:r w:rsidR="007A1333" w:rsidRPr="00BE57C6">
        <w:rPr>
          <w:bCs/>
        </w:rPr>
        <w:t xml:space="preserve"> = </w:t>
      </w:r>
      <w:r w:rsidR="007A1333">
        <w:rPr>
          <w:bCs/>
        </w:rPr>
        <w:t>.</w:t>
      </w:r>
      <w:r w:rsidR="007A1333" w:rsidRPr="00540623">
        <w:rPr>
          <w:bCs/>
        </w:rPr>
        <w:t>7</w:t>
      </w:r>
      <w:r w:rsidR="00540623">
        <w:rPr>
          <w:bCs/>
        </w:rPr>
        <w:t>11</w:t>
      </w:r>
      <w:r w:rsidR="007A1333" w:rsidRPr="00540623">
        <w:rPr>
          <w:bCs/>
        </w:rPr>
        <w:t>[.5</w:t>
      </w:r>
      <w:r w:rsidR="00540623">
        <w:rPr>
          <w:bCs/>
        </w:rPr>
        <w:t>06</w:t>
      </w:r>
      <w:r w:rsidR="007A1333">
        <w:rPr>
          <w:bCs/>
        </w:rPr>
        <w:t>], p &lt; .001)</w:t>
      </w:r>
      <w:r w:rsidR="007C5633">
        <w:rPr>
          <w:bCs/>
        </w:rPr>
        <w:t xml:space="preserve">. </w:t>
      </w:r>
      <w:r w:rsidR="00D82B0B">
        <w:rPr>
          <w:bCs/>
        </w:rPr>
        <w:t>Thus, as in the GEE results, the final model (Tab</w:t>
      </w:r>
      <w:r w:rsidR="00D14A06">
        <w:rPr>
          <w:bCs/>
        </w:rPr>
        <w:t>l</w:t>
      </w:r>
      <w:r w:rsidR="00D82B0B">
        <w:rPr>
          <w:bCs/>
        </w:rPr>
        <w:t xml:space="preserve">e 3S-M3) included </w:t>
      </w:r>
      <w:r w:rsidR="00463CF6">
        <w:rPr>
          <w:iCs/>
          <w:lang w:val="en"/>
        </w:rPr>
        <w:t>current stimulus intensity</w:t>
      </w:r>
      <w:r w:rsidR="00463CF6">
        <w:t>, preceding strategy choice, and preceding negative affect</w:t>
      </w:r>
      <w:r w:rsidR="00B27037">
        <w:t xml:space="preserve"> </w:t>
      </w:r>
      <w:r w:rsidR="00D82B0B">
        <w:t>and, i</w:t>
      </w:r>
      <w:r w:rsidR="00463CF6">
        <w:t xml:space="preserve">n addition, the </w:t>
      </w:r>
      <w:r w:rsidR="00D82B0B">
        <w:t>current stimulus intensity coefficient var</w:t>
      </w:r>
      <w:r w:rsidR="0027008B">
        <w:t>ying</w:t>
      </w:r>
      <w:r w:rsidR="00D82B0B">
        <w:t xml:space="preserve"> randomly across participants. Of note, the fixed coefficient</w:t>
      </w:r>
      <w:r w:rsidR="00B27037">
        <w:t xml:space="preserve"> for current stimulus intensity w</w:t>
      </w:r>
      <w:r w:rsidR="0027008B">
        <w:t>ith</w:t>
      </w:r>
      <w:r w:rsidR="00B27037">
        <w:t xml:space="preserve"> this component as random</w:t>
      </w:r>
      <w:r w:rsidR="0027008B">
        <w:t xml:space="preserve"> in the mixed model</w:t>
      </w:r>
      <w:r w:rsidR="00B27037">
        <w:t xml:space="preserve"> </w:t>
      </w:r>
      <w:r w:rsidR="00D14A06">
        <w:t xml:space="preserve">and in the GEE model were nearly identical </w:t>
      </w:r>
      <w:r w:rsidR="00B27037">
        <w:t>(</w:t>
      </w:r>
      <w:r w:rsidR="00D14A06">
        <w:t>1.3</w:t>
      </w:r>
      <w:r w:rsidR="00261FA8">
        <w:t>69</w:t>
      </w:r>
      <w:r w:rsidR="00D14A06">
        <w:t xml:space="preserve"> and 1</w:t>
      </w:r>
      <w:r w:rsidR="00B27037" w:rsidRPr="006B3C3A">
        <w:rPr>
          <w:iCs/>
        </w:rPr>
        <w:t>.3</w:t>
      </w:r>
      <w:r w:rsidR="00D14A06" w:rsidRPr="006B3C3A">
        <w:rPr>
          <w:iCs/>
        </w:rPr>
        <w:t>7</w:t>
      </w:r>
      <w:r w:rsidR="006B3C3A" w:rsidRPr="006B3C3A">
        <w:rPr>
          <w:iCs/>
        </w:rPr>
        <w:t>1</w:t>
      </w:r>
      <w:r w:rsidR="00D14A06" w:rsidRPr="006B3C3A">
        <w:rPr>
          <w:iCs/>
        </w:rPr>
        <w:t>,</w:t>
      </w:r>
      <w:r w:rsidR="00D14A06" w:rsidRPr="00D14A06">
        <w:rPr>
          <w:iCs/>
        </w:rPr>
        <w:t xml:space="preserve"> respectively</w:t>
      </w:r>
      <w:r w:rsidR="00B27037" w:rsidRPr="00D14A06">
        <w:t>)</w:t>
      </w:r>
      <w:r w:rsidR="00D14A06">
        <w:t>.</w:t>
      </w:r>
    </w:p>
    <w:p w14:paraId="5A3C11EB" w14:textId="77777777" w:rsidR="00540623" w:rsidRDefault="00540623" w:rsidP="00540623">
      <w:pPr>
        <w:pStyle w:val="References"/>
        <w:spacing w:before="0" w:line="240" w:lineRule="auto"/>
        <w:ind w:left="0" w:firstLine="0"/>
      </w:pPr>
    </w:p>
    <w:tbl>
      <w:tblPr>
        <w:tblStyle w:val="TableGrid"/>
        <w:tblW w:w="53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1802"/>
        <w:gridCol w:w="1798"/>
        <w:gridCol w:w="1800"/>
      </w:tblGrid>
      <w:tr w:rsidR="00540623" w:rsidRPr="001968BC" w14:paraId="03BD18F7" w14:textId="77777777" w:rsidTr="00B607BD">
        <w:tc>
          <w:tcPr>
            <w:tcW w:w="5000" w:type="pct"/>
            <w:gridSpan w:val="4"/>
            <w:tcBorders>
              <w:bottom w:val="single" w:sz="4" w:space="0" w:color="auto"/>
            </w:tcBorders>
          </w:tcPr>
          <w:p w14:paraId="4D884674" w14:textId="77777777" w:rsidR="00540623" w:rsidRPr="001968BC" w:rsidRDefault="00540623" w:rsidP="00B607BD">
            <w:pPr>
              <w:spacing w:line="240" w:lineRule="auto"/>
            </w:pPr>
            <w:r w:rsidRPr="001968BC">
              <w:t>Table 3S</w:t>
            </w:r>
          </w:p>
          <w:p w14:paraId="0003A111" w14:textId="77777777" w:rsidR="00540623" w:rsidRPr="001968BC" w:rsidRDefault="00540623" w:rsidP="00B607BD">
            <w:pPr>
              <w:spacing w:line="240" w:lineRule="auto"/>
            </w:pPr>
          </w:p>
          <w:p w14:paraId="2646C33F" w14:textId="77777777" w:rsidR="00540623" w:rsidRPr="001968BC" w:rsidRDefault="00540623" w:rsidP="00B607BD">
            <w:pPr>
              <w:spacing w:line="240" w:lineRule="auto"/>
            </w:pPr>
            <w:r>
              <w:rPr>
                <w:i/>
              </w:rPr>
              <w:t xml:space="preserve">Coefficients (Standard Errors) of </w:t>
            </w:r>
            <w:r w:rsidRPr="001968BC">
              <w:rPr>
                <w:i/>
              </w:rPr>
              <w:t>Mixed Effects Models</w:t>
            </w:r>
            <w:r>
              <w:rPr>
                <w:i/>
              </w:rPr>
              <w:t xml:space="preserve"> Using Logistic Regression to </w:t>
            </w:r>
            <w:r w:rsidRPr="001968BC">
              <w:rPr>
                <w:i/>
              </w:rPr>
              <w:t xml:space="preserve">Predict </w:t>
            </w:r>
            <w:r w:rsidRPr="001968BC">
              <w:rPr>
                <w:i/>
              </w:rPr>
              <w:lastRenderedPageBreak/>
              <w:t>the Probability of Choosing Distraction in the Current Trial</w:t>
            </w:r>
          </w:p>
        </w:tc>
      </w:tr>
      <w:tr w:rsidR="00540623" w:rsidRPr="001968BC" w14:paraId="0ED4D9AA" w14:textId="77777777" w:rsidTr="00B607BD">
        <w:tc>
          <w:tcPr>
            <w:tcW w:w="2093" w:type="pct"/>
            <w:tcBorders>
              <w:top w:val="single" w:sz="4" w:space="0" w:color="auto"/>
              <w:bottom w:val="single" w:sz="4" w:space="0" w:color="auto"/>
            </w:tcBorders>
          </w:tcPr>
          <w:p w14:paraId="08736B34" w14:textId="77777777" w:rsidR="00540623" w:rsidRPr="001968BC" w:rsidRDefault="00540623" w:rsidP="00B607BD">
            <w:pPr>
              <w:pStyle w:val="References"/>
              <w:spacing w:before="0" w:line="240" w:lineRule="auto"/>
              <w:ind w:left="0" w:firstLine="0"/>
            </w:pPr>
            <w:r w:rsidRPr="001968BC">
              <w:lastRenderedPageBreak/>
              <w:t>Model</w:t>
            </w:r>
          </w:p>
        </w:tc>
        <w:tc>
          <w:tcPr>
            <w:tcW w:w="970" w:type="pct"/>
            <w:tcBorders>
              <w:top w:val="single" w:sz="4" w:space="0" w:color="auto"/>
              <w:bottom w:val="single" w:sz="4" w:space="0" w:color="auto"/>
            </w:tcBorders>
          </w:tcPr>
          <w:p w14:paraId="4EE44CD8" w14:textId="4891EFA0" w:rsidR="00540623" w:rsidRPr="001968BC" w:rsidRDefault="00540623" w:rsidP="00B607BD">
            <w:pPr>
              <w:pStyle w:val="References"/>
              <w:spacing w:before="0" w:line="240" w:lineRule="auto"/>
              <w:ind w:left="0" w:firstLine="0"/>
              <w:jc w:val="center"/>
            </w:pPr>
            <w:r>
              <w:t>M1-</w:t>
            </w:r>
            <w:r w:rsidRPr="001968BC">
              <w:t>Baseline Model</w:t>
            </w:r>
          </w:p>
        </w:tc>
        <w:tc>
          <w:tcPr>
            <w:tcW w:w="968" w:type="pct"/>
            <w:tcBorders>
              <w:top w:val="single" w:sz="4" w:space="0" w:color="auto"/>
              <w:bottom w:val="single" w:sz="4" w:space="0" w:color="auto"/>
            </w:tcBorders>
          </w:tcPr>
          <w:p w14:paraId="2764DD57" w14:textId="7425B671" w:rsidR="00540623" w:rsidRPr="001968BC" w:rsidRDefault="00540623" w:rsidP="00540623">
            <w:pPr>
              <w:pStyle w:val="References"/>
              <w:spacing w:before="0" w:line="240" w:lineRule="auto"/>
              <w:ind w:left="0" w:firstLine="0"/>
              <w:jc w:val="center"/>
            </w:pPr>
            <w:r>
              <w:t>M-2Full</w:t>
            </w:r>
            <w:r w:rsidRPr="001968BC">
              <w:t xml:space="preserve"> Model</w:t>
            </w:r>
            <w:r>
              <w:t xml:space="preserve"> (fixed)</w:t>
            </w:r>
          </w:p>
        </w:tc>
        <w:tc>
          <w:tcPr>
            <w:tcW w:w="969" w:type="pct"/>
            <w:tcBorders>
              <w:top w:val="single" w:sz="4" w:space="0" w:color="auto"/>
              <w:bottom w:val="single" w:sz="4" w:space="0" w:color="auto"/>
            </w:tcBorders>
          </w:tcPr>
          <w:p w14:paraId="638C0CD3" w14:textId="2DF42145" w:rsidR="00540623" w:rsidRPr="001968BC" w:rsidRDefault="00540623" w:rsidP="00B607BD">
            <w:pPr>
              <w:pStyle w:val="References"/>
              <w:spacing w:before="0" w:line="240" w:lineRule="auto"/>
              <w:ind w:left="0" w:firstLine="0"/>
              <w:jc w:val="center"/>
            </w:pPr>
            <w:r>
              <w:t>M3-Final Model</w:t>
            </w:r>
          </w:p>
        </w:tc>
      </w:tr>
      <w:tr w:rsidR="00540623" w:rsidRPr="001968BC" w14:paraId="53A53E32" w14:textId="77777777" w:rsidTr="00B607BD">
        <w:tc>
          <w:tcPr>
            <w:tcW w:w="2093" w:type="pct"/>
            <w:tcBorders>
              <w:top w:val="single" w:sz="4" w:space="0" w:color="auto"/>
            </w:tcBorders>
          </w:tcPr>
          <w:p w14:paraId="16AF0E86" w14:textId="77777777" w:rsidR="00540623" w:rsidRPr="001968BC" w:rsidRDefault="00540623" w:rsidP="00B607BD">
            <w:pPr>
              <w:pStyle w:val="References"/>
              <w:spacing w:before="0" w:line="240" w:lineRule="auto"/>
              <w:ind w:left="0" w:firstLine="0"/>
              <w:rPr>
                <w:i/>
              </w:rPr>
            </w:pPr>
            <w:r w:rsidRPr="001968BC">
              <w:rPr>
                <w:i/>
              </w:rPr>
              <w:t>Fixed components</w:t>
            </w:r>
          </w:p>
        </w:tc>
        <w:tc>
          <w:tcPr>
            <w:tcW w:w="970" w:type="pct"/>
            <w:tcBorders>
              <w:top w:val="single" w:sz="4" w:space="0" w:color="auto"/>
            </w:tcBorders>
          </w:tcPr>
          <w:p w14:paraId="54CCF442" w14:textId="77777777" w:rsidR="00540623" w:rsidRPr="004D744B" w:rsidRDefault="00540623" w:rsidP="00B607BD">
            <w:pPr>
              <w:pStyle w:val="References"/>
              <w:spacing w:before="0" w:line="240" w:lineRule="auto"/>
              <w:ind w:left="0" w:firstLine="0"/>
              <w:jc w:val="center"/>
              <w:rPr>
                <w:b/>
                <w:i/>
              </w:rPr>
            </w:pPr>
          </w:p>
        </w:tc>
        <w:tc>
          <w:tcPr>
            <w:tcW w:w="968" w:type="pct"/>
            <w:tcBorders>
              <w:top w:val="single" w:sz="4" w:space="0" w:color="auto"/>
            </w:tcBorders>
          </w:tcPr>
          <w:p w14:paraId="55C3700D" w14:textId="77777777" w:rsidR="00540623" w:rsidRPr="004D744B" w:rsidRDefault="00540623" w:rsidP="00B607BD">
            <w:pPr>
              <w:pStyle w:val="References"/>
              <w:spacing w:before="0" w:line="240" w:lineRule="auto"/>
              <w:ind w:left="0" w:firstLine="0"/>
              <w:jc w:val="center"/>
              <w:rPr>
                <w:i/>
              </w:rPr>
            </w:pPr>
          </w:p>
        </w:tc>
        <w:tc>
          <w:tcPr>
            <w:tcW w:w="969" w:type="pct"/>
            <w:tcBorders>
              <w:top w:val="single" w:sz="4" w:space="0" w:color="auto"/>
            </w:tcBorders>
          </w:tcPr>
          <w:p w14:paraId="45AE8807" w14:textId="77777777" w:rsidR="00540623" w:rsidRPr="004D744B" w:rsidRDefault="00540623" w:rsidP="00B607BD">
            <w:pPr>
              <w:pStyle w:val="References"/>
              <w:spacing w:before="0" w:line="240" w:lineRule="auto"/>
              <w:ind w:left="0" w:firstLine="0"/>
              <w:jc w:val="center"/>
              <w:rPr>
                <w:i/>
              </w:rPr>
            </w:pPr>
          </w:p>
        </w:tc>
      </w:tr>
      <w:tr w:rsidR="00540623" w:rsidRPr="001968BC" w14:paraId="454909F1" w14:textId="77777777" w:rsidTr="00B607BD">
        <w:tc>
          <w:tcPr>
            <w:tcW w:w="2093" w:type="pct"/>
            <w:vAlign w:val="bottom"/>
          </w:tcPr>
          <w:p w14:paraId="054FF336" w14:textId="77777777" w:rsidR="00540623" w:rsidRPr="001968BC" w:rsidRDefault="00540623" w:rsidP="00B607BD">
            <w:pPr>
              <w:pStyle w:val="References"/>
              <w:spacing w:before="0" w:line="240" w:lineRule="auto"/>
              <w:ind w:left="0" w:firstLine="0"/>
            </w:pPr>
            <w:r w:rsidRPr="001968BC">
              <w:rPr>
                <w:bCs/>
                <w:lang w:eastAsia="en-US"/>
              </w:rPr>
              <w:t xml:space="preserve">   Intercept (</w:t>
            </w:r>
            <w:r w:rsidRPr="001968BC">
              <w:rPr>
                <w:i/>
                <w:iCs/>
              </w:rPr>
              <w:t>γ</w:t>
            </w:r>
            <w:r w:rsidRPr="001968BC">
              <w:rPr>
                <w:i/>
                <w:iCs/>
                <w:vertAlign w:val="subscript"/>
              </w:rPr>
              <w:t>00</w:t>
            </w:r>
            <w:r w:rsidRPr="001968BC">
              <w:rPr>
                <w:i/>
                <w:iCs/>
              </w:rPr>
              <w:t>)</w:t>
            </w:r>
          </w:p>
        </w:tc>
        <w:tc>
          <w:tcPr>
            <w:tcW w:w="970" w:type="pct"/>
            <w:vAlign w:val="center"/>
          </w:tcPr>
          <w:p w14:paraId="6732196F" w14:textId="77777777" w:rsidR="00540623" w:rsidRPr="001968BC" w:rsidRDefault="00540623" w:rsidP="00B607BD">
            <w:pPr>
              <w:pStyle w:val="References"/>
              <w:spacing w:before="0" w:line="240" w:lineRule="auto"/>
              <w:ind w:left="0" w:firstLine="0"/>
              <w:jc w:val="center"/>
            </w:pPr>
            <w:r>
              <w:t>-.192(.074)</w:t>
            </w:r>
            <w:r w:rsidRPr="001968BC">
              <w:t>*</w:t>
            </w:r>
          </w:p>
        </w:tc>
        <w:tc>
          <w:tcPr>
            <w:tcW w:w="968" w:type="pct"/>
            <w:vAlign w:val="center"/>
          </w:tcPr>
          <w:p w14:paraId="0806A7B8" w14:textId="77777777" w:rsidR="00540623" w:rsidRPr="001968BC" w:rsidRDefault="00540623" w:rsidP="00B607BD">
            <w:pPr>
              <w:pStyle w:val="References"/>
              <w:spacing w:before="0" w:line="240" w:lineRule="auto"/>
              <w:ind w:left="0" w:firstLine="0"/>
              <w:jc w:val="center"/>
            </w:pPr>
            <w:r>
              <w:t>-.734(.131)</w:t>
            </w:r>
            <w:r w:rsidRPr="001968BC">
              <w:t>***</w:t>
            </w:r>
          </w:p>
        </w:tc>
        <w:tc>
          <w:tcPr>
            <w:tcW w:w="969" w:type="pct"/>
          </w:tcPr>
          <w:p w14:paraId="025D0302" w14:textId="77777777" w:rsidR="00540623" w:rsidRPr="001968BC" w:rsidRDefault="00540623" w:rsidP="00B607BD">
            <w:pPr>
              <w:pStyle w:val="References"/>
              <w:spacing w:before="0" w:line="240" w:lineRule="auto"/>
              <w:ind w:left="0" w:firstLine="0"/>
              <w:jc w:val="center"/>
            </w:pPr>
            <w:r>
              <w:t>-.757(.127)***</w:t>
            </w:r>
          </w:p>
        </w:tc>
      </w:tr>
      <w:tr w:rsidR="00540623" w:rsidRPr="001968BC" w14:paraId="0E388BF5" w14:textId="77777777" w:rsidTr="00B607BD">
        <w:tc>
          <w:tcPr>
            <w:tcW w:w="2093" w:type="pct"/>
            <w:vAlign w:val="bottom"/>
          </w:tcPr>
          <w:p w14:paraId="1E0F2E75" w14:textId="77777777" w:rsidR="00540623" w:rsidRPr="001968BC" w:rsidRDefault="00540623" w:rsidP="00B607BD">
            <w:pPr>
              <w:pStyle w:val="References"/>
              <w:spacing w:before="0" w:line="240" w:lineRule="auto"/>
              <w:ind w:left="0" w:firstLine="0"/>
            </w:pPr>
            <w:r w:rsidRPr="001968BC">
              <w:rPr>
                <w:bCs/>
                <w:lang w:eastAsia="en-US"/>
              </w:rPr>
              <w:t xml:space="preserve">   Current Intensity (</w:t>
            </w:r>
            <w:r w:rsidRPr="001968BC">
              <w:rPr>
                <w:i/>
                <w:iCs/>
              </w:rPr>
              <w:t>γ</w:t>
            </w:r>
            <w:r w:rsidRPr="001968BC">
              <w:rPr>
                <w:i/>
                <w:iCs/>
                <w:vertAlign w:val="subscript"/>
              </w:rPr>
              <w:t>10</w:t>
            </w:r>
            <w:r w:rsidRPr="001968BC">
              <w:rPr>
                <w:i/>
                <w:iCs/>
              </w:rPr>
              <w:t>)</w:t>
            </w:r>
          </w:p>
        </w:tc>
        <w:tc>
          <w:tcPr>
            <w:tcW w:w="970" w:type="pct"/>
            <w:vAlign w:val="center"/>
          </w:tcPr>
          <w:p w14:paraId="4776090F" w14:textId="77777777" w:rsidR="00540623" w:rsidRPr="001968BC" w:rsidRDefault="00540623" w:rsidP="00B607BD">
            <w:pPr>
              <w:pStyle w:val="References"/>
              <w:spacing w:before="0" w:line="240" w:lineRule="auto"/>
              <w:ind w:left="0" w:firstLine="0"/>
              <w:jc w:val="center"/>
            </w:pPr>
            <w:r>
              <w:t>--</w:t>
            </w:r>
          </w:p>
        </w:tc>
        <w:tc>
          <w:tcPr>
            <w:tcW w:w="968" w:type="pct"/>
            <w:vAlign w:val="center"/>
          </w:tcPr>
          <w:p w14:paraId="16465407" w14:textId="77777777" w:rsidR="00540623" w:rsidRPr="001968BC" w:rsidRDefault="00540623" w:rsidP="00B607BD">
            <w:pPr>
              <w:pStyle w:val="References"/>
              <w:spacing w:before="0" w:line="240" w:lineRule="auto"/>
              <w:ind w:left="0" w:firstLine="0"/>
              <w:jc w:val="center"/>
            </w:pPr>
            <w:r>
              <w:t>1.365(.149)</w:t>
            </w:r>
            <w:r w:rsidRPr="001968BC">
              <w:t>***</w:t>
            </w:r>
          </w:p>
        </w:tc>
        <w:tc>
          <w:tcPr>
            <w:tcW w:w="969" w:type="pct"/>
          </w:tcPr>
          <w:p w14:paraId="23124046" w14:textId="77777777" w:rsidR="00540623" w:rsidRPr="001968BC" w:rsidRDefault="00540623" w:rsidP="00B607BD">
            <w:pPr>
              <w:pStyle w:val="References"/>
              <w:spacing w:before="0" w:line="240" w:lineRule="auto"/>
              <w:ind w:left="0" w:firstLine="0"/>
              <w:jc w:val="center"/>
            </w:pPr>
            <w:r>
              <w:t>1.369(.147)***</w:t>
            </w:r>
          </w:p>
        </w:tc>
      </w:tr>
      <w:tr w:rsidR="00540623" w:rsidRPr="001968BC" w14:paraId="386E14E2" w14:textId="77777777" w:rsidTr="00B607BD">
        <w:tc>
          <w:tcPr>
            <w:tcW w:w="2093" w:type="pct"/>
          </w:tcPr>
          <w:p w14:paraId="2A5DF745" w14:textId="77777777" w:rsidR="00540623" w:rsidRPr="001968BC" w:rsidRDefault="00540623" w:rsidP="00B607BD">
            <w:pPr>
              <w:pStyle w:val="References"/>
              <w:spacing w:before="0" w:line="240" w:lineRule="auto"/>
              <w:ind w:left="0" w:firstLine="0"/>
            </w:pPr>
            <w:r w:rsidRPr="001968BC">
              <w:t xml:space="preserve">   Preceding Choice </w:t>
            </w:r>
            <w:r w:rsidRPr="001968BC">
              <w:rPr>
                <w:bCs/>
                <w:lang w:eastAsia="en-US"/>
              </w:rPr>
              <w:t>(</w:t>
            </w:r>
            <w:r w:rsidRPr="001968BC">
              <w:rPr>
                <w:i/>
                <w:iCs/>
              </w:rPr>
              <w:t>γ</w:t>
            </w:r>
            <w:r>
              <w:rPr>
                <w:i/>
                <w:iCs/>
                <w:vertAlign w:val="subscript"/>
              </w:rPr>
              <w:t>2</w:t>
            </w:r>
            <w:r w:rsidRPr="001968BC">
              <w:rPr>
                <w:i/>
                <w:iCs/>
                <w:vertAlign w:val="subscript"/>
              </w:rPr>
              <w:t>0</w:t>
            </w:r>
            <w:r w:rsidRPr="001968BC">
              <w:rPr>
                <w:i/>
                <w:iCs/>
              </w:rPr>
              <w:t>)</w:t>
            </w:r>
          </w:p>
        </w:tc>
        <w:tc>
          <w:tcPr>
            <w:tcW w:w="970" w:type="pct"/>
            <w:vAlign w:val="center"/>
          </w:tcPr>
          <w:p w14:paraId="71E3CD8F" w14:textId="77777777" w:rsidR="00540623" w:rsidRPr="001968BC" w:rsidRDefault="00540623" w:rsidP="00B607BD">
            <w:pPr>
              <w:pStyle w:val="References"/>
              <w:spacing w:before="0" w:line="240" w:lineRule="auto"/>
              <w:ind w:left="0" w:firstLine="0"/>
              <w:jc w:val="center"/>
            </w:pPr>
            <w:r>
              <w:t>--</w:t>
            </w:r>
          </w:p>
        </w:tc>
        <w:tc>
          <w:tcPr>
            <w:tcW w:w="968" w:type="pct"/>
            <w:vAlign w:val="center"/>
          </w:tcPr>
          <w:p w14:paraId="4B51C954" w14:textId="77777777" w:rsidR="00540623" w:rsidRPr="001968BC" w:rsidRDefault="00540623" w:rsidP="00B607BD">
            <w:pPr>
              <w:pStyle w:val="References"/>
              <w:spacing w:before="0" w:line="240" w:lineRule="auto"/>
              <w:ind w:left="0" w:firstLine="0"/>
              <w:jc w:val="center"/>
            </w:pPr>
            <w:r>
              <w:t>-.266(.123)*</w:t>
            </w:r>
          </w:p>
        </w:tc>
        <w:tc>
          <w:tcPr>
            <w:tcW w:w="969" w:type="pct"/>
          </w:tcPr>
          <w:p w14:paraId="1BA58864" w14:textId="77777777" w:rsidR="00540623" w:rsidRPr="001968BC" w:rsidRDefault="00540623" w:rsidP="00B607BD">
            <w:pPr>
              <w:pStyle w:val="References"/>
              <w:spacing w:before="0" w:line="240" w:lineRule="auto"/>
              <w:ind w:left="0" w:firstLine="0"/>
              <w:jc w:val="center"/>
            </w:pPr>
            <w:r>
              <w:t>-.307(.121)*</w:t>
            </w:r>
          </w:p>
        </w:tc>
      </w:tr>
      <w:tr w:rsidR="00540623" w:rsidRPr="001968BC" w14:paraId="6933155D" w14:textId="77777777" w:rsidTr="00B607BD">
        <w:tc>
          <w:tcPr>
            <w:tcW w:w="2093" w:type="pct"/>
          </w:tcPr>
          <w:p w14:paraId="7223F08C" w14:textId="77777777" w:rsidR="00540623" w:rsidRPr="001968BC" w:rsidRDefault="00540623" w:rsidP="00B607BD">
            <w:pPr>
              <w:pStyle w:val="References"/>
              <w:spacing w:before="0" w:line="240" w:lineRule="auto"/>
              <w:ind w:left="0" w:firstLine="0"/>
            </w:pPr>
            <w:r w:rsidRPr="001968BC">
              <w:t xml:space="preserve">   Preceding Negative Affect </w:t>
            </w:r>
            <w:r w:rsidRPr="001968BC">
              <w:rPr>
                <w:bCs/>
                <w:lang w:eastAsia="en-US"/>
              </w:rPr>
              <w:t>(</w:t>
            </w:r>
            <w:r w:rsidRPr="001968BC">
              <w:rPr>
                <w:i/>
                <w:iCs/>
              </w:rPr>
              <w:t>γ</w:t>
            </w:r>
            <w:r>
              <w:rPr>
                <w:i/>
                <w:iCs/>
                <w:vertAlign w:val="subscript"/>
              </w:rPr>
              <w:t>3</w:t>
            </w:r>
            <w:r w:rsidRPr="001968BC">
              <w:rPr>
                <w:i/>
                <w:iCs/>
                <w:vertAlign w:val="subscript"/>
              </w:rPr>
              <w:t>0</w:t>
            </w:r>
            <w:r w:rsidRPr="001968BC">
              <w:rPr>
                <w:i/>
                <w:iCs/>
              </w:rPr>
              <w:t>)</w:t>
            </w:r>
          </w:p>
        </w:tc>
        <w:tc>
          <w:tcPr>
            <w:tcW w:w="970" w:type="pct"/>
            <w:vAlign w:val="center"/>
          </w:tcPr>
          <w:p w14:paraId="67D031E1" w14:textId="77777777" w:rsidR="00540623" w:rsidRPr="001968BC" w:rsidRDefault="00540623" w:rsidP="00B607BD">
            <w:pPr>
              <w:pStyle w:val="References"/>
              <w:spacing w:before="0" w:line="240" w:lineRule="auto"/>
              <w:ind w:left="0" w:firstLine="0"/>
              <w:jc w:val="center"/>
            </w:pPr>
            <w:r>
              <w:t>--</w:t>
            </w:r>
          </w:p>
        </w:tc>
        <w:tc>
          <w:tcPr>
            <w:tcW w:w="968" w:type="pct"/>
            <w:vAlign w:val="center"/>
          </w:tcPr>
          <w:p w14:paraId="39166AB7" w14:textId="77777777" w:rsidR="00540623" w:rsidRPr="001968BC" w:rsidRDefault="00540623" w:rsidP="00B607BD">
            <w:pPr>
              <w:pStyle w:val="References"/>
              <w:spacing w:before="0" w:line="240" w:lineRule="auto"/>
              <w:ind w:left="0" w:firstLine="0"/>
              <w:jc w:val="center"/>
            </w:pPr>
            <w:r>
              <w:t>-.08(.038)*</w:t>
            </w:r>
          </w:p>
        </w:tc>
        <w:tc>
          <w:tcPr>
            <w:tcW w:w="969" w:type="pct"/>
          </w:tcPr>
          <w:p w14:paraId="2C08D07D" w14:textId="77777777" w:rsidR="00540623" w:rsidRPr="001968BC" w:rsidRDefault="00540623" w:rsidP="00B607BD">
            <w:pPr>
              <w:pStyle w:val="References"/>
              <w:spacing w:before="0" w:line="240" w:lineRule="auto"/>
              <w:ind w:left="0" w:firstLine="0"/>
              <w:jc w:val="center"/>
            </w:pPr>
            <w:r>
              <w:t>-.085(.035)*</w:t>
            </w:r>
          </w:p>
        </w:tc>
      </w:tr>
      <w:tr w:rsidR="00540623" w:rsidRPr="001968BC" w14:paraId="6DE10916" w14:textId="77777777" w:rsidTr="00B607BD">
        <w:tc>
          <w:tcPr>
            <w:tcW w:w="2093" w:type="pct"/>
          </w:tcPr>
          <w:p w14:paraId="67C77556" w14:textId="77777777" w:rsidR="00540623" w:rsidRPr="00A805A1" w:rsidRDefault="00540623" w:rsidP="00B607BD">
            <w:pPr>
              <w:pStyle w:val="References"/>
              <w:spacing w:before="0" w:line="240" w:lineRule="auto"/>
              <w:ind w:left="0" w:firstLine="0"/>
            </w:pPr>
            <w:r>
              <w:t xml:space="preserve">   Preceding Intensity (</w:t>
            </w:r>
            <w:r w:rsidRPr="001968BC">
              <w:rPr>
                <w:i/>
                <w:iCs/>
              </w:rPr>
              <w:t>γ</w:t>
            </w:r>
            <w:r>
              <w:rPr>
                <w:i/>
                <w:iCs/>
                <w:vertAlign w:val="subscript"/>
              </w:rPr>
              <w:t>4</w:t>
            </w:r>
            <w:r w:rsidRPr="001968BC">
              <w:rPr>
                <w:i/>
                <w:iCs/>
                <w:vertAlign w:val="subscript"/>
              </w:rPr>
              <w:t>0</w:t>
            </w:r>
            <w:r>
              <w:rPr>
                <w:i/>
                <w:iCs/>
              </w:rPr>
              <w:t>)</w:t>
            </w:r>
          </w:p>
        </w:tc>
        <w:tc>
          <w:tcPr>
            <w:tcW w:w="970" w:type="pct"/>
            <w:vAlign w:val="center"/>
          </w:tcPr>
          <w:p w14:paraId="69ED5B4D" w14:textId="77777777" w:rsidR="00540623" w:rsidRDefault="00540623" w:rsidP="00B607BD">
            <w:pPr>
              <w:pStyle w:val="References"/>
              <w:spacing w:before="0" w:line="240" w:lineRule="auto"/>
              <w:ind w:left="0" w:firstLine="0"/>
              <w:jc w:val="center"/>
            </w:pPr>
            <w:r>
              <w:t>--</w:t>
            </w:r>
          </w:p>
        </w:tc>
        <w:tc>
          <w:tcPr>
            <w:tcW w:w="968" w:type="pct"/>
            <w:vAlign w:val="center"/>
          </w:tcPr>
          <w:p w14:paraId="51D48ADD" w14:textId="77777777" w:rsidR="00540623" w:rsidRDefault="00540623" w:rsidP="00B607BD">
            <w:pPr>
              <w:pStyle w:val="References"/>
              <w:spacing w:before="0" w:line="240" w:lineRule="auto"/>
              <w:ind w:left="0" w:firstLine="0"/>
              <w:jc w:val="center"/>
            </w:pPr>
            <w:r>
              <w:t>-0.08(0.121)</w:t>
            </w:r>
          </w:p>
        </w:tc>
        <w:tc>
          <w:tcPr>
            <w:tcW w:w="969" w:type="pct"/>
          </w:tcPr>
          <w:p w14:paraId="61E01DB8" w14:textId="77777777" w:rsidR="00540623" w:rsidRDefault="00540623" w:rsidP="00B607BD">
            <w:pPr>
              <w:pStyle w:val="References"/>
              <w:spacing w:before="0" w:line="240" w:lineRule="auto"/>
              <w:ind w:left="0" w:firstLine="0"/>
              <w:jc w:val="center"/>
            </w:pPr>
            <w:r>
              <w:t>--</w:t>
            </w:r>
          </w:p>
        </w:tc>
      </w:tr>
      <w:tr w:rsidR="00540623" w:rsidRPr="001968BC" w14:paraId="680936BF" w14:textId="77777777" w:rsidTr="00B607BD">
        <w:tc>
          <w:tcPr>
            <w:tcW w:w="2093" w:type="pct"/>
          </w:tcPr>
          <w:p w14:paraId="6D268AC0" w14:textId="77777777" w:rsidR="00540623" w:rsidRPr="001968BC" w:rsidRDefault="00540623" w:rsidP="00B607BD">
            <w:pPr>
              <w:pStyle w:val="References"/>
              <w:spacing w:before="0" w:line="240" w:lineRule="auto"/>
              <w:ind w:left="0" w:firstLine="0"/>
              <w:rPr>
                <w:i/>
              </w:rPr>
            </w:pPr>
            <w:r w:rsidRPr="001968BC">
              <w:rPr>
                <w:i/>
              </w:rPr>
              <w:t>Random Components</w:t>
            </w:r>
          </w:p>
        </w:tc>
        <w:tc>
          <w:tcPr>
            <w:tcW w:w="970" w:type="pct"/>
            <w:vAlign w:val="center"/>
          </w:tcPr>
          <w:p w14:paraId="7AA5C808" w14:textId="77777777" w:rsidR="00540623" w:rsidRPr="001968BC" w:rsidRDefault="00540623" w:rsidP="00B607BD">
            <w:pPr>
              <w:pStyle w:val="References"/>
              <w:spacing w:before="0" w:line="240" w:lineRule="auto"/>
              <w:ind w:left="0" w:firstLine="0"/>
              <w:jc w:val="center"/>
            </w:pPr>
          </w:p>
        </w:tc>
        <w:tc>
          <w:tcPr>
            <w:tcW w:w="968" w:type="pct"/>
            <w:vAlign w:val="center"/>
          </w:tcPr>
          <w:p w14:paraId="44F7C47B" w14:textId="77777777" w:rsidR="00540623" w:rsidRPr="001968BC" w:rsidRDefault="00540623" w:rsidP="00B607BD">
            <w:pPr>
              <w:pStyle w:val="References"/>
              <w:spacing w:before="0" w:line="240" w:lineRule="auto"/>
              <w:ind w:left="0" w:firstLine="0"/>
              <w:jc w:val="center"/>
            </w:pPr>
          </w:p>
        </w:tc>
        <w:tc>
          <w:tcPr>
            <w:tcW w:w="969" w:type="pct"/>
          </w:tcPr>
          <w:p w14:paraId="703979F9" w14:textId="77777777" w:rsidR="00540623" w:rsidRPr="001968BC" w:rsidRDefault="00540623" w:rsidP="00B607BD">
            <w:pPr>
              <w:pStyle w:val="References"/>
              <w:spacing w:before="0" w:line="240" w:lineRule="auto"/>
              <w:ind w:left="0" w:firstLine="0"/>
              <w:jc w:val="center"/>
            </w:pPr>
          </w:p>
        </w:tc>
      </w:tr>
      <w:tr w:rsidR="00540623" w:rsidRPr="001968BC" w14:paraId="777C6BF3" w14:textId="77777777" w:rsidTr="00B607BD">
        <w:tc>
          <w:tcPr>
            <w:tcW w:w="2093" w:type="pct"/>
            <w:vAlign w:val="bottom"/>
          </w:tcPr>
          <w:p w14:paraId="44862FCD" w14:textId="77777777" w:rsidR="00540623" w:rsidRPr="001968BC" w:rsidRDefault="00540623" w:rsidP="00B607BD">
            <w:pPr>
              <w:pStyle w:val="References"/>
              <w:spacing w:before="0" w:line="240" w:lineRule="auto"/>
              <w:ind w:left="0" w:firstLine="0"/>
            </w:pPr>
            <w:r w:rsidRPr="001968BC">
              <w:t xml:space="preserve">   σ</w:t>
            </w:r>
            <w:r w:rsidRPr="001968BC">
              <w:rPr>
                <w:bCs/>
                <w:vertAlign w:val="superscript"/>
                <w:lang w:eastAsia="en-US"/>
              </w:rPr>
              <w:t>2</w:t>
            </w:r>
            <w:r w:rsidRPr="001968BC">
              <w:rPr>
                <w:vertAlign w:val="subscript"/>
              </w:rPr>
              <w:t>ε</w:t>
            </w:r>
          </w:p>
        </w:tc>
        <w:tc>
          <w:tcPr>
            <w:tcW w:w="970" w:type="pct"/>
            <w:vAlign w:val="center"/>
          </w:tcPr>
          <w:p w14:paraId="6AE4B352" w14:textId="77777777" w:rsidR="00540623" w:rsidRPr="001968BC" w:rsidRDefault="00540623" w:rsidP="00B607BD">
            <w:pPr>
              <w:pStyle w:val="References"/>
              <w:spacing w:before="0" w:line="240" w:lineRule="auto"/>
              <w:ind w:left="0" w:firstLine="0"/>
              <w:jc w:val="center"/>
            </w:pPr>
            <w:r>
              <w:rPr>
                <w:iCs/>
                <w:lang w:val="en"/>
              </w:rPr>
              <w:t>1.813</w:t>
            </w:r>
          </w:p>
        </w:tc>
        <w:tc>
          <w:tcPr>
            <w:tcW w:w="968" w:type="pct"/>
            <w:vAlign w:val="center"/>
          </w:tcPr>
          <w:p w14:paraId="62C0478C" w14:textId="77777777" w:rsidR="00540623" w:rsidRPr="001968BC" w:rsidRDefault="00540623" w:rsidP="00B607BD">
            <w:pPr>
              <w:pStyle w:val="References"/>
              <w:spacing w:before="0" w:line="240" w:lineRule="auto"/>
              <w:ind w:left="0" w:firstLine="0"/>
              <w:jc w:val="center"/>
            </w:pPr>
            <w:r>
              <w:rPr>
                <w:iCs/>
                <w:lang w:val="en"/>
              </w:rPr>
              <w:t>1.813</w:t>
            </w:r>
          </w:p>
        </w:tc>
        <w:tc>
          <w:tcPr>
            <w:tcW w:w="969" w:type="pct"/>
          </w:tcPr>
          <w:p w14:paraId="0585C252" w14:textId="77777777" w:rsidR="00540623" w:rsidRPr="001968BC" w:rsidRDefault="00540623" w:rsidP="00B607BD">
            <w:pPr>
              <w:pStyle w:val="References"/>
              <w:spacing w:before="0" w:line="240" w:lineRule="auto"/>
              <w:ind w:left="0" w:firstLine="0"/>
              <w:jc w:val="center"/>
            </w:pPr>
            <w:r>
              <w:t>1.813</w:t>
            </w:r>
          </w:p>
        </w:tc>
      </w:tr>
      <w:tr w:rsidR="00540623" w:rsidRPr="001968BC" w14:paraId="74A5922D" w14:textId="77777777" w:rsidTr="00B607BD">
        <w:tc>
          <w:tcPr>
            <w:tcW w:w="2093" w:type="pct"/>
            <w:vAlign w:val="bottom"/>
          </w:tcPr>
          <w:p w14:paraId="7B4630E6" w14:textId="77777777" w:rsidR="00540623" w:rsidRPr="001968BC" w:rsidRDefault="00540623" w:rsidP="00B607BD">
            <w:pPr>
              <w:pStyle w:val="References"/>
              <w:spacing w:before="0" w:line="240" w:lineRule="auto"/>
              <w:ind w:left="0" w:firstLine="0"/>
            </w:pPr>
            <w:r w:rsidRPr="001968BC">
              <w:t xml:space="preserve">   σ</w:t>
            </w:r>
            <w:r w:rsidRPr="001968BC">
              <w:rPr>
                <w:bCs/>
                <w:vertAlign w:val="superscript"/>
                <w:lang w:eastAsia="en-US"/>
              </w:rPr>
              <w:t>2</w:t>
            </w:r>
            <w:r w:rsidRPr="001968BC">
              <w:rPr>
                <w:vertAlign w:val="subscript"/>
              </w:rPr>
              <w:t>u0</w:t>
            </w:r>
          </w:p>
        </w:tc>
        <w:tc>
          <w:tcPr>
            <w:tcW w:w="970" w:type="pct"/>
            <w:vAlign w:val="center"/>
          </w:tcPr>
          <w:p w14:paraId="4ECEEFD9" w14:textId="77777777" w:rsidR="00540623" w:rsidRPr="001968BC" w:rsidRDefault="00540623" w:rsidP="00B607BD">
            <w:pPr>
              <w:pStyle w:val="References"/>
              <w:spacing w:before="0" w:line="240" w:lineRule="auto"/>
              <w:ind w:left="0" w:firstLine="0"/>
              <w:jc w:val="center"/>
            </w:pPr>
            <w:r>
              <w:rPr>
                <w:iCs/>
                <w:lang w:val="en"/>
              </w:rPr>
              <w:t>.378(.143)***</w:t>
            </w:r>
          </w:p>
        </w:tc>
        <w:tc>
          <w:tcPr>
            <w:tcW w:w="968" w:type="pct"/>
            <w:vAlign w:val="center"/>
          </w:tcPr>
          <w:p w14:paraId="73D44141" w14:textId="77777777" w:rsidR="00540623" w:rsidRPr="001968BC" w:rsidRDefault="00540623" w:rsidP="00B607BD">
            <w:pPr>
              <w:pStyle w:val="References"/>
              <w:spacing w:before="0" w:line="240" w:lineRule="auto"/>
              <w:ind w:left="0" w:firstLine="0"/>
              <w:jc w:val="center"/>
            </w:pPr>
            <w:r>
              <w:rPr>
                <w:iCs/>
                <w:lang w:val="en"/>
              </w:rPr>
              <w:t>.489(0.239</w:t>
            </w:r>
            <w:r w:rsidRPr="001968BC">
              <w:rPr>
                <w:iCs/>
                <w:lang w:val="en"/>
              </w:rPr>
              <w:t>)*</w:t>
            </w:r>
            <w:r>
              <w:rPr>
                <w:iCs/>
                <w:lang w:val="en"/>
              </w:rPr>
              <w:t>**</w:t>
            </w:r>
          </w:p>
        </w:tc>
        <w:tc>
          <w:tcPr>
            <w:tcW w:w="969" w:type="pct"/>
          </w:tcPr>
          <w:p w14:paraId="30D84A42" w14:textId="77777777" w:rsidR="00540623" w:rsidRPr="001968BC" w:rsidRDefault="00540623" w:rsidP="00B607BD">
            <w:pPr>
              <w:pStyle w:val="References"/>
              <w:spacing w:before="0" w:line="240" w:lineRule="auto"/>
              <w:ind w:left="0" w:firstLine="0"/>
              <w:jc w:val="center"/>
              <w:rPr>
                <w:iCs/>
                <w:lang w:val="en"/>
              </w:rPr>
            </w:pPr>
            <w:r>
              <w:rPr>
                <w:iCs/>
                <w:lang w:val="en"/>
              </w:rPr>
              <w:t>.69(.476)***</w:t>
            </w:r>
          </w:p>
        </w:tc>
      </w:tr>
      <w:tr w:rsidR="00540623" w:rsidRPr="001968BC" w14:paraId="3468D486" w14:textId="77777777" w:rsidTr="00B607BD">
        <w:tc>
          <w:tcPr>
            <w:tcW w:w="2093" w:type="pct"/>
            <w:vAlign w:val="bottom"/>
          </w:tcPr>
          <w:p w14:paraId="0EE5BE23" w14:textId="77777777" w:rsidR="00540623" w:rsidRPr="001968BC" w:rsidRDefault="00540623" w:rsidP="00B607BD">
            <w:pPr>
              <w:pStyle w:val="References"/>
              <w:spacing w:before="0" w:line="240" w:lineRule="auto"/>
              <w:ind w:left="0" w:firstLine="0"/>
            </w:pPr>
            <w:r w:rsidRPr="001968BC">
              <w:t xml:space="preserve">   σ</w:t>
            </w:r>
            <w:r w:rsidRPr="001968BC">
              <w:rPr>
                <w:bCs/>
                <w:vertAlign w:val="superscript"/>
                <w:lang w:eastAsia="en-US"/>
              </w:rPr>
              <w:t>2</w:t>
            </w:r>
            <w:r w:rsidRPr="001968BC">
              <w:rPr>
                <w:vertAlign w:val="subscript"/>
              </w:rPr>
              <w:t>u1</w:t>
            </w:r>
          </w:p>
        </w:tc>
        <w:tc>
          <w:tcPr>
            <w:tcW w:w="970" w:type="pct"/>
            <w:vAlign w:val="center"/>
          </w:tcPr>
          <w:p w14:paraId="1EBC0CE0" w14:textId="77777777" w:rsidR="00540623" w:rsidRPr="001968BC" w:rsidRDefault="00540623" w:rsidP="00B607BD">
            <w:pPr>
              <w:pStyle w:val="References"/>
              <w:spacing w:before="0" w:line="240" w:lineRule="auto"/>
              <w:ind w:left="0" w:firstLine="0"/>
              <w:jc w:val="center"/>
            </w:pPr>
            <w:r>
              <w:t>--</w:t>
            </w:r>
          </w:p>
        </w:tc>
        <w:tc>
          <w:tcPr>
            <w:tcW w:w="968" w:type="pct"/>
            <w:vAlign w:val="center"/>
          </w:tcPr>
          <w:p w14:paraId="2F469DC8" w14:textId="77777777" w:rsidR="00540623" w:rsidRPr="001968BC" w:rsidRDefault="00540623" w:rsidP="00B607BD">
            <w:pPr>
              <w:pStyle w:val="References"/>
              <w:spacing w:before="0" w:line="240" w:lineRule="auto"/>
              <w:ind w:left="0" w:firstLine="0"/>
              <w:jc w:val="center"/>
            </w:pPr>
            <w:r>
              <w:t>--</w:t>
            </w:r>
          </w:p>
        </w:tc>
        <w:tc>
          <w:tcPr>
            <w:tcW w:w="969" w:type="pct"/>
          </w:tcPr>
          <w:p w14:paraId="431FC22B" w14:textId="77777777" w:rsidR="00540623" w:rsidRPr="001968BC" w:rsidRDefault="00540623" w:rsidP="00B607BD">
            <w:pPr>
              <w:pStyle w:val="References"/>
              <w:spacing w:before="0" w:line="240" w:lineRule="auto"/>
              <w:ind w:left="0" w:firstLine="0"/>
              <w:jc w:val="center"/>
            </w:pPr>
            <w:r>
              <w:t>.711(.506)**</w:t>
            </w:r>
          </w:p>
        </w:tc>
      </w:tr>
      <w:tr w:rsidR="00540623" w:rsidRPr="001968BC" w14:paraId="57DBF371" w14:textId="77777777" w:rsidTr="00B607BD">
        <w:tc>
          <w:tcPr>
            <w:tcW w:w="2093" w:type="pct"/>
            <w:vAlign w:val="bottom"/>
          </w:tcPr>
          <w:p w14:paraId="34ADD78C" w14:textId="77777777" w:rsidR="00540623" w:rsidRPr="001968BC" w:rsidRDefault="00540623" w:rsidP="00B607BD">
            <w:pPr>
              <w:pStyle w:val="References"/>
              <w:spacing w:before="0" w:line="240" w:lineRule="auto"/>
              <w:ind w:left="0" w:firstLine="0"/>
            </w:pPr>
            <w:r w:rsidRPr="001968BC">
              <w:t xml:space="preserve">   σ</w:t>
            </w:r>
            <w:r w:rsidRPr="001968BC">
              <w:rPr>
                <w:bCs/>
                <w:vertAlign w:val="superscript"/>
                <w:lang w:eastAsia="en-US"/>
              </w:rPr>
              <w:t>2</w:t>
            </w:r>
            <w:r>
              <w:rPr>
                <w:vertAlign w:val="subscript"/>
              </w:rPr>
              <w:t>u2</w:t>
            </w:r>
          </w:p>
        </w:tc>
        <w:tc>
          <w:tcPr>
            <w:tcW w:w="970" w:type="pct"/>
            <w:vAlign w:val="center"/>
          </w:tcPr>
          <w:p w14:paraId="0C32D88D" w14:textId="77777777" w:rsidR="00540623" w:rsidRPr="001968BC" w:rsidRDefault="00540623" w:rsidP="00B607BD">
            <w:pPr>
              <w:pStyle w:val="References"/>
              <w:spacing w:before="0" w:line="240" w:lineRule="auto"/>
              <w:ind w:left="0" w:firstLine="0"/>
              <w:jc w:val="center"/>
            </w:pPr>
            <w:r>
              <w:t>--</w:t>
            </w:r>
          </w:p>
        </w:tc>
        <w:tc>
          <w:tcPr>
            <w:tcW w:w="968" w:type="pct"/>
            <w:vAlign w:val="center"/>
          </w:tcPr>
          <w:p w14:paraId="15AA3FAA" w14:textId="77777777" w:rsidR="00540623" w:rsidRPr="001968BC" w:rsidRDefault="00540623" w:rsidP="00B607BD">
            <w:pPr>
              <w:pStyle w:val="References"/>
              <w:spacing w:before="0" w:line="240" w:lineRule="auto"/>
              <w:ind w:left="0" w:firstLine="0"/>
              <w:jc w:val="center"/>
            </w:pPr>
            <w:r>
              <w:t>--</w:t>
            </w:r>
          </w:p>
        </w:tc>
        <w:tc>
          <w:tcPr>
            <w:tcW w:w="969" w:type="pct"/>
          </w:tcPr>
          <w:p w14:paraId="3F591734" w14:textId="77777777" w:rsidR="00540623" w:rsidRPr="001968BC" w:rsidRDefault="00540623" w:rsidP="00B607BD">
            <w:pPr>
              <w:pStyle w:val="References"/>
              <w:spacing w:before="0" w:line="240" w:lineRule="auto"/>
              <w:ind w:left="0" w:firstLine="0"/>
              <w:jc w:val="center"/>
            </w:pPr>
            <w:r>
              <w:t>--</w:t>
            </w:r>
          </w:p>
        </w:tc>
      </w:tr>
      <w:tr w:rsidR="00540623" w:rsidRPr="001968BC" w14:paraId="2E6C2C79" w14:textId="77777777" w:rsidTr="00B607BD">
        <w:tc>
          <w:tcPr>
            <w:tcW w:w="2093" w:type="pct"/>
            <w:vAlign w:val="bottom"/>
          </w:tcPr>
          <w:p w14:paraId="2C170FD1" w14:textId="77777777" w:rsidR="00540623" w:rsidRPr="001968BC" w:rsidRDefault="00540623" w:rsidP="00B607BD">
            <w:pPr>
              <w:pStyle w:val="References"/>
              <w:spacing w:before="0" w:line="240" w:lineRule="auto"/>
              <w:ind w:left="0" w:firstLine="0"/>
            </w:pPr>
            <w:r w:rsidRPr="001968BC">
              <w:t xml:space="preserve">   σ</w:t>
            </w:r>
            <w:r w:rsidRPr="001968BC">
              <w:rPr>
                <w:bCs/>
                <w:vertAlign w:val="superscript"/>
                <w:lang w:eastAsia="en-US"/>
              </w:rPr>
              <w:t>2</w:t>
            </w:r>
            <w:r>
              <w:rPr>
                <w:vertAlign w:val="subscript"/>
              </w:rPr>
              <w:t>u3</w:t>
            </w:r>
          </w:p>
        </w:tc>
        <w:tc>
          <w:tcPr>
            <w:tcW w:w="970" w:type="pct"/>
            <w:vAlign w:val="center"/>
          </w:tcPr>
          <w:p w14:paraId="0BC68FA2" w14:textId="77777777" w:rsidR="00540623" w:rsidRPr="001968BC" w:rsidRDefault="00540623" w:rsidP="00B607BD">
            <w:pPr>
              <w:pStyle w:val="References"/>
              <w:spacing w:before="0" w:line="240" w:lineRule="auto"/>
              <w:ind w:left="0" w:firstLine="0"/>
              <w:jc w:val="center"/>
            </w:pPr>
            <w:r>
              <w:t>--</w:t>
            </w:r>
          </w:p>
        </w:tc>
        <w:tc>
          <w:tcPr>
            <w:tcW w:w="968" w:type="pct"/>
            <w:vAlign w:val="center"/>
          </w:tcPr>
          <w:p w14:paraId="5B80F0FF" w14:textId="77777777" w:rsidR="00540623" w:rsidRPr="001968BC" w:rsidRDefault="00540623" w:rsidP="00B607BD">
            <w:pPr>
              <w:pStyle w:val="References"/>
              <w:spacing w:before="0" w:line="240" w:lineRule="auto"/>
              <w:ind w:left="0" w:firstLine="0"/>
              <w:jc w:val="center"/>
            </w:pPr>
            <w:r>
              <w:t>--</w:t>
            </w:r>
          </w:p>
        </w:tc>
        <w:tc>
          <w:tcPr>
            <w:tcW w:w="969" w:type="pct"/>
          </w:tcPr>
          <w:p w14:paraId="7CAA5AD9" w14:textId="77777777" w:rsidR="00540623" w:rsidRPr="001968BC" w:rsidRDefault="00540623" w:rsidP="00B607BD">
            <w:pPr>
              <w:pStyle w:val="References"/>
              <w:spacing w:before="0" w:line="240" w:lineRule="auto"/>
              <w:ind w:left="0" w:firstLine="0"/>
              <w:jc w:val="center"/>
            </w:pPr>
            <w:r>
              <w:t>--</w:t>
            </w:r>
          </w:p>
        </w:tc>
      </w:tr>
      <w:tr w:rsidR="00540623" w:rsidRPr="001968BC" w14:paraId="20C0AA88" w14:textId="77777777" w:rsidTr="00B607BD">
        <w:tc>
          <w:tcPr>
            <w:tcW w:w="2093" w:type="pct"/>
            <w:vAlign w:val="bottom"/>
          </w:tcPr>
          <w:p w14:paraId="06F2D82E" w14:textId="77777777" w:rsidR="00540623" w:rsidRPr="001968BC" w:rsidRDefault="00540623" w:rsidP="00B607BD">
            <w:pPr>
              <w:pStyle w:val="References"/>
              <w:spacing w:before="0" w:line="240" w:lineRule="auto"/>
              <w:ind w:left="0" w:firstLine="0"/>
            </w:pPr>
            <w:r w:rsidRPr="001968BC">
              <w:rPr>
                <w:bCs/>
                <w:lang w:eastAsia="en-US"/>
              </w:rPr>
              <w:t>Parameters</w:t>
            </w:r>
          </w:p>
        </w:tc>
        <w:tc>
          <w:tcPr>
            <w:tcW w:w="970" w:type="pct"/>
            <w:vAlign w:val="center"/>
          </w:tcPr>
          <w:p w14:paraId="2D5C155C" w14:textId="77777777" w:rsidR="00540623" w:rsidRPr="001968BC" w:rsidRDefault="00540623" w:rsidP="00B607BD">
            <w:pPr>
              <w:pStyle w:val="References"/>
              <w:spacing w:before="0" w:line="240" w:lineRule="auto"/>
              <w:ind w:left="0" w:firstLine="0"/>
              <w:jc w:val="center"/>
            </w:pPr>
            <w:r>
              <w:t>2</w:t>
            </w:r>
          </w:p>
        </w:tc>
        <w:tc>
          <w:tcPr>
            <w:tcW w:w="968" w:type="pct"/>
            <w:vAlign w:val="center"/>
          </w:tcPr>
          <w:p w14:paraId="40AC2A30" w14:textId="77777777" w:rsidR="00540623" w:rsidRPr="001968BC" w:rsidRDefault="00540623" w:rsidP="00B607BD">
            <w:pPr>
              <w:pStyle w:val="References"/>
              <w:spacing w:before="0" w:line="240" w:lineRule="auto"/>
              <w:ind w:left="0" w:firstLine="0"/>
              <w:jc w:val="center"/>
            </w:pPr>
            <w:r>
              <w:t>6</w:t>
            </w:r>
          </w:p>
        </w:tc>
        <w:tc>
          <w:tcPr>
            <w:tcW w:w="969" w:type="pct"/>
          </w:tcPr>
          <w:p w14:paraId="27DB3D05" w14:textId="77777777" w:rsidR="00540623" w:rsidRPr="001968BC" w:rsidRDefault="00540623" w:rsidP="00B607BD">
            <w:pPr>
              <w:pStyle w:val="References"/>
              <w:spacing w:before="0" w:line="240" w:lineRule="auto"/>
              <w:ind w:left="0" w:firstLine="0"/>
              <w:jc w:val="center"/>
            </w:pPr>
            <w:r>
              <w:t>7</w:t>
            </w:r>
          </w:p>
        </w:tc>
      </w:tr>
      <w:tr w:rsidR="00540623" w:rsidRPr="001968BC" w14:paraId="245362AA" w14:textId="77777777" w:rsidTr="00B607BD">
        <w:tc>
          <w:tcPr>
            <w:tcW w:w="2093" w:type="pct"/>
            <w:tcBorders>
              <w:bottom w:val="single" w:sz="4" w:space="0" w:color="auto"/>
            </w:tcBorders>
            <w:vAlign w:val="bottom"/>
          </w:tcPr>
          <w:p w14:paraId="1A5AE259" w14:textId="77777777" w:rsidR="00540623" w:rsidRPr="001968BC" w:rsidRDefault="00540623" w:rsidP="00B607BD">
            <w:pPr>
              <w:pStyle w:val="References"/>
              <w:spacing w:before="0" w:line="240" w:lineRule="auto"/>
              <w:ind w:left="0" w:firstLine="0"/>
            </w:pPr>
            <w:r w:rsidRPr="001968BC">
              <w:rPr>
                <w:bCs/>
                <w:lang w:eastAsia="en-US"/>
              </w:rPr>
              <w:t>Deviance</w:t>
            </w:r>
          </w:p>
        </w:tc>
        <w:tc>
          <w:tcPr>
            <w:tcW w:w="970" w:type="pct"/>
            <w:tcBorders>
              <w:bottom w:val="single" w:sz="4" w:space="0" w:color="auto"/>
            </w:tcBorders>
            <w:vAlign w:val="center"/>
          </w:tcPr>
          <w:p w14:paraId="2BAA39FD" w14:textId="77777777" w:rsidR="00540623" w:rsidRPr="001968BC" w:rsidRDefault="00540623" w:rsidP="00B607BD">
            <w:pPr>
              <w:pStyle w:val="References"/>
              <w:spacing w:before="0" w:line="240" w:lineRule="auto"/>
              <w:ind w:left="0" w:firstLine="0"/>
              <w:jc w:val="center"/>
            </w:pPr>
            <w:r>
              <w:t>4,833.21</w:t>
            </w:r>
          </w:p>
        </w:tc>
        <w:tc>
          <w:tcPr>
            <w:tcW w:w="968" w:type="pct"/>
            <w:tcBorders>
              <w:bottom w:val="single" w:sz="4" w:space="0" w:color="auto"/>
            </w:tcBorders>
            <w:vAlign w:val="center"/>
          </w:tcPr>
          <w:p w14:paraId="3C7F6797" w14:textId="77777777" w:rsidR="00540623" w:rsidRPr="001968BC" w:rsidRDefault="00540623" w:rsidP="00B607BD">
            <w:pPr>
              <w:pStyle w:val="References"/>
              <w:spacing w:before="0" w:line="240" w:lineRule="auto"/>
              <w:ind w:left="0" w:firstLine="0"/>
              <w:jc w:val="center"/>
            </w:pPr>
            <w:r>
              <w:t>4,646.401</w:t>
            </w:r>
            <w:r w:rsidRPr="001968BC">
              <w:rPr>
                <w:bCs/>
                <w:i/>
                <w:lang w:eastAsia="en-US"/>
              </w:rPr>
              <w:t>†</w:t>
            </w:r>
          </w:p>
        </w:tc>
        <w:tc>
          <w:tcPr>
            <w:tcW w:w="969" w:type="pct"/>
            <w:tcBorders>
              <w:bottom w:val="single" w:sz="4" w:space="0" w:color="auto"/>
            </w:tcBorders>
          </w:tcPr>
          <w:p w14:paraId="7EB5ED09" w14:textId="77777777" w:rsidR="00540623" w:rsidRPr="001968BC" w:rsidRDefault="00540623" w:rsidP="00B607BD">
            <w:pPr>
              <w:pStyle w:val="References"/>
              <w:spacing w:before="0" w:line="240" w:lineRule="auto"/>
              <w:ind w:left="0" w:firstLine="0"/>
              <w:jc w:val="center"/>
            </w:pPr>
            <w:r>
              <w:t>4,634.081</w:t>
            </w:r>
            <w:r w:rsidRPr="001968BC">
              <w:rPr>
                <w:bCs/>
                <w:i/>
                <w:lang w:eastAsia="en-US"/>
              </w:rPr>
              <w:t>†</w:t>
            </w:r>
          </w:p>
        </w:tc>
      </w:tr>
      <w:tr w:rsidR="00540623" w:rsidRPr="001968BC" w14:paraId="581A7BF2" w14:textId="77777777" w:rsidTr="00B607BD">
        <w:tc>
          <w:tcPr>
            <w:tcW w:w="5000" w:type="pct"/>
            <w:gridSpan w:val="4"/>
            <w:tcBorders>
              <w:top w:val="single" w:sz="4" w:space="0" w:color="auto"/>
              <w:bottom w:val="single" w:sz="4" w:space="0" w:color="auto"/>
            </w:tcBorders>
            <w:vAlign w:val="bottom"/>
          </w:tcPr>
          <w:p w14:paraId="2DFCD8EB" w14:textId="77777777" w:rsidR="00540623" w:rsidRPr="001968BC" w:rsidRDefault="00540623" w:rsidP="00B607BD">
            <w:pPr>
              <w:pStyle w:val="References"/>
              <w:spacing w:before="0" w:line="240" w:lineRule="auto"/>
              <w:ind w:left="0" w:firstLine="0"/>
              <w:rPr>
                <w:bCs/>
                <w:i/>
                <w:lang w:eastAsia="en-US"/>
              </w:rPr>
            </w:pPr>
            <w:r w:rsidRPr="001968BC">
              <w:rPr>
                <w:bCs/>
                <w:i/>
                <w:lang w:eastAsia="en-US"/>
              </w:rPr>
              <w:t>Notes: * p &lt; 0.05; ** p &lt; 0.01; *** p &lt; 0.001; † = significant difference between current and baseline models</w:t>
            </w:r>
          </w:p>
        </w:tc>
      </w:tr>
    </w:tbl>
    <w:p w14:paraId="3A5BE821" w14:textId="77777777" w:rsidR="00540623" w:rsidRDefault="00540623" w:rsidP="008E12A3">
      <w:pPr>
        <w:pStyle w:val="References"/>
        <w:spacing w:before="0" w:line="240" w:lineRule="auto"/>
        <w:ind w:left="0" w:firstLine="0"/>
      </w:pPr>
    </w:p>
    <w:p w14:paraId="0348A730" w14:textId="04CACE90" w:rsidR="001968BC" w:rsidRDefault="001968BC" w:rsidP="000D1D2A">
      <w:pPr>
        <w:pStyle w:val="References"/>
        <w:spacing w:before="0" w:line="240" w:lineRule="auto"/>
        <w:ind w:left="0" w:firstLine="0"/>
        <w:jc w:val="center"/>
      </w:pPr>
      <w:r>
        <w:t>References</w:t>
      </w:r>
    </w:p>
    <w:p w14:paraId="73631698" w14:textId="77777777" w:rsidR="000D1D2A" w:rsidRDefault="000D1D2A" w:rsidP="000D1D2A">
      <w:pPr>
        <w:pStyle w:val="References"/>
        <w:spacing w:before="0" w:line="240" w:lineRule="auto"/>
        <w:ind w:left="0" w:firstLine="0"/>
        <w:jc w:val="center"/>
      </w:pPr>
    </w:p>
    <w:p w14:paraId="3E0BB932" w14:textId="7351229E" w:rsidR="001968BC" w:rsidRPr="001427D0" w:rsidRDefault="001968BC" w:rsidP="00756B67">
      <w:pPr>
        <w:pStyle w:val="References"/>
        <w:spacing w:before="0" w:line="480" w:lineRule="auto"/>
      </w:pPr>
      <w:r>
        <w:t xml:space="preserve">Hox, J. (2010). </w:t>
      </w:r>
      <w:r w:rsidRPr="000D1D2A">
        <w:rPr>
          <w:i/>
        </w:rPr>
        <w:t xml:space="preserve">Multilevel </w:t>
      </w:r>
      <w:r w:rsidR="00672656" w:rsidRPr="000D1D2A">
        <w:rPr>
          <w:i/>
        </w:rPr>
        <w:t>A</w:t>
      </w:r>
      <w:r w:rsidRPr="000D1D2A">
        <w:rPr>
          <w:i/>
        </w:rPr>
        <w:t>nalysis</w:t>
      </w:r>
      <w:r w:rsidR="00BE25AA" w:rsidRPr="000D1D2A">
        <w:rPr>
          <w:i/>
        </w:rPr>
        <w:t xml:space="preserve">: Techniques and </w:t>
      </w:r>
      <w:r w:rsidR="00672656" w:rsidRPr="000D1D2A">
        <w:rPr>
          <w:i/>
        </w:rPr>
        <w:t>A</w:t>
      </w:r>
      <w:r w:rsidR="00BE25AA" w:rsidRPr="000D1D2A">
        <w:rPr>
          <w:i/>
        </w:rPr>
        <w:t>pplications</w:t>
      </w:r>
      <w:r w:rsidR="00672656">
        <w:t xml:space="preserve">, </w:t>
      </w:r>
      <w:r w:rsidR="00BE25AA">
        <w:t xml:space="preserve">2nd Edition. New York, NY: Routledge. </w:t>
      </w:r>
    </w:p>
    <w:sectPr w:rsidR="001968BC" w:rsidRPr="001427D0" w:rsidSect="00214B09">
      <w:headerReference w:type="default" r:id="rId9"/>
      <w:headerReference w:type="first" r:id="rId10"/>
      <w:pgSz w:w="11901" w:h="16840" w:code="9"/>
      <w:pgMar w:top="1418" w:right="1701" w:bottom="1418"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2F381A" w15:done="0"/>
  <w15:commentEx w15:paraId="45F61E9F" w15:done="0"/>
  <w15:commentEx w15:paraId="6C3DA5FF" w15:done="0"/>
  <w15:commentEx w15:paraId="4380227A" w15:done="0"/>
  <w15:commentEx w15:paraId="3BE103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2F381A" w16cid:durableId="1D88E089"/>
  <w16cid:commentId w16cid:paraId="45F61E9F" w16cid:durableId="1D88E08A"/>
  <w16cid:commentId w16cid:paraId="6C3DA5FF" w16cid:durableId="1D88E08B"/>
  <w16cid:commentId w16cid:paraId="4380227A" w16cid:durableId="1D88E08D"/>
  <w16cid:commentId w16cid:paraId="3BE1031D" w16cid:durableId="1D88E0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63D8B" w14:textId="77777777" w:rsidR="0073326D" w:rsidRDefault="0073326D" w:rsidP="00AF2C92">
      <w:r>
        <w:separator/>
      </w:r>
    </w:p>
  </w:endnote>
  <w:endnote w:type="continuationSeparator" w:id="0">
    <w:p w14:paraId="11F8DA52" w14:textId="77777777" w:rsidR="0073326D" w:rsidRDefault="0073326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D3648" w14:textId="77777777" w:rsidR="0073326D" w:rsidRDefault="0073326D" w:rsidP="00AF2C92">
      <w:r>
        <w:separator/>
      </w:r>
    </w:p>
  </w:footnote>
  <w:footnote w:type="continuationSeparator" w:id="0">
    <w:p w14:paraId="6FC6229B" w14:textId="77777777" w:rsidR="0073326D" w:rsidRDefault="0073326D" w:rsidP="00AF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1EFE" w14:textId="2DB961B8" w:rsidR="0073326D" w:rsidRDefault="0073326D" w:rsidP="00D8372B">
    <w:pPr>
      <w:pStyle w:val="Header"/>
    </w:pPr>
    <w:r w:rsidRPr="00214B09">
      <w:t>DYNAMIC EMOTION REGULATION CHOICE</w:t>
    </w:r>
    <w:r>
      <w:tab/>
    </w:r>
    <w:r>
      <w:rPr>
        <w:rStyle w:val="PageNumber"/>
      </w:rPr>
      <w:fldChar w:fldCharType="begin"/>
    </w:r>
    <w:r>
      <w:rPr>
        <w:rStyle w:val="PageNumber"/>
      </w:rPr>
      <w:instrText xml:space="preserve"> PAGE </w:instrText>
    </w:r>
    <w:r>
      <w:rPr>
        <w:rStyle w:val="PageNumber"/>
      </w:rPr>
      <w:fldChar w:fldCharType="separate"/>
    </w:r>
    <w:r w:rsidR="0058660D">
      <w:rPr>
        <w:rStyle w:val="PageNumber"/>
        <w:noProof/>
      </w:rPr>
      <w:t>3</w:t>
    </w:r>
    <w:r>
      <w:rPr>
        <w:rStyle w:val="PageNumber"/>
      </w:rPr>
      <w:fldChar w:fldCharType="end"/>
    </w:r>
  </w:p>
  <w:p w14:paraId="3AC14189" w14:textId="77777777" w:rsidR="0073326D" w:rsidRDefault="00733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40273" w14:textId="0AC7DABC" w:rsidR="0073326D" w:rsidRDefault="0073326D">
    <w:pPr>
      <w:pStyle w:val="Header"/>
    </w:pPr>
    <w:r>
      <w:t xml:space="preserve">Running Header: </w:t>
    </w:r>
    <w:r w:rsidRPr="00214B09">
      <w:t>DYNAMIC EMOTION REGULATION CHOICE</w:t>
    </w:r>
    <w:r>
      <w:tab/>
    </w:r>
    <w:r>
      <w:rPr>
        <w:rStyle w:val="PageNumber"/>
      </w:rPr>
      <w:fldChar w:fldCharType="begin"/>
    </w:r>
    <w:r>
      <w:rPr>
        <w:rStyle w:val="PageNumber"/>
      </w:rPr>
      <w:instrText xml:space="preserve"> PAGE </w:instrText>
    </w:r>
    <w:r>
      <w:rPr>
        <w:rStyle w:val="PageNumber"/>
      </w:rPr>
      <w:fldChar w:fldCharType="separate"/>
    </w:r>
    <w:r w:rsidR="0058660D">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6E44CCA"/>
    <w:multiLevelType w:val="hybridMultilevel"/>
    <w:tmpl w:val="78E09CF6"/>
    <w:lvl w:ilvl="0" w:tplc="0409000F">
      <w:start w:val="1"/>
      <w:numFmt w:val="decimal"/>
      <w:lvlText w:val="%1."/>
      <w:lvlJc w:val="left"/>
      <w:pPr>
        <w:ind w:left="720" w:hanging="360"/>
      </w:pPr>
      <w:rPr>
        <w:rFonts w:hint="default"/>
      </w:rPr>
    </w:lvl>
    <w:lvl w:ilvl="1" w:tplc="29BA330C">
      <w:start w:val="12"/>
      <w:numFmt w:val="bullet"/>
      <w:lvlText w:val="-"/>
      <w:lvlJc w:val="left"/>
      <w:pPr>
        <w:ind w:left="1440" w:hanging="360"/>
      </w:pPr>
      <w:rPr>
        <w:rFonts w:ascii="Times New Roman" w:eastAsiaTheme="minorHAnsi" w:hAnsi="Times New Roman" w:cs="Times New Roman" w:hint="default"/>
      </w:rPr>
    </w:lvl>
    <w:lvl w:ilvl="2" w:tplc="1E74C2BE">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1"/>
  </w:num>
  <w:num w:numId="15">
    <w:abstractNumId w:val="14"/>
  </w:num>
  <w:num w:numId="16">
    <w:abstractNumId w:val="16"/>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7"/>
  </w:num>
  <w:num w:numId="25">
    <w:abstractNumId w:val="18"/>
  </w:num>
  <w:num w:numId="26">
    <w:abstractNumId w:val="22"/>
  </w:num>
  <w:num w:numId="27">
    <w:abstractNumId w:val="23"/>
  </w:num>
  <w:num w:numId="28">
    <w:abstractNumId w:val="21"/>
  </w:num>
  <w:num w:numId="29">
    <w:abstractNumId w:val="13"/>
  </w:num>
  <w:num w:numId="30">
    <w:abstractNumId w:val="2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D4"/>
    <w:rsid w:val="0000023A"/>
    <w:rsid w:val="000007AB"/>
    <w:rsid w:val="00000FBD"/>
    <w:rsid w:val="00001899"/>
    <w:rsid w:val="000041D6"/>
    <w:rsid w:val="000049AD"/>
    <w:rsid w:val="00011208"/>
    <w:rsid w:val="0001166C"/>
    <w:rsid w:val="00011B1B"/>
    <w:rsid w:val="000133C0"/>
    <w:rsid w:val="00014C4E"/>
    <w:rsid w:val="00015C73"/>
    <w:rsid w:val="0001692C"/>
    <w:rsid w:val="00017107"/>
    <w:rsid w:val="00017202"/>
    <w:rsid w:val="000202E2"/>
    <w:rsid w:val="00022441"/>
    <w:rsid w:val="0002261E"/>
    <w:rsid w:val="00024839"/>
    <w:rsid w:val="00026299"/>
    <w:rsid w:val="00026871"/>
    <w:rsid w:val="00026D96"/>
    <w:rsid w:val="00026F16"/>
    <w:rsid w:val="00027652"/>
    <w:rsid w:val="00030AE6"/>
    <w:rsid w:val="00030F14"/>
    <w:rsid w:val="000310C1"/>
    <w:rsid w:val="000323A4"/>
    <w:rsid w:val="00037A98"/>
    <w:rsid w:val="00037B50"/>
    <w:rsid w:val="000427FB"/>
    <w:rsid w:val="0004455E"/>
    <w:rsid w:val="00044961"/>
    <w:rsid w:val="000461B1"/>
    <w:rsid w:val="0004748F"/>
    <w:rsid w:val="00047CB5"/>
    <w:rsid w:val="00047E7A"/>
    <w:rsid w:val="00050EF7"/>
    <w:rsid w:val="00051DBD"/>
    <w:rsid w:val="00051FAA"/>
    <w:rsid w:val="000531FC"/>
    <w:rsid w:val="00053C74"/>
    <w:rsid w:val="000572A9"/>
    <w:rsid w:val="00060E7B"/>
    <w:rsid w:val="00061325"/>
    <w:rsid w:val="00061DC7"/>
    <w:rsid w:val="00062C4B"/>
    <w:rsid w:val="00067641"/>
    <w:rsid w:val="00067B68"/>
    <w:rsid w:val="000705B6"/>
    <w:rsid w:val="000733AC"/>
    <w:rsid w:val="00073B1F"/>
    <w:rsid w:val="00073BAD"/>
    <w:rsid w:val="00074D22"/>
    <w:rsid w:val="00075081"/>
    <w:rsid w:val="0007528A"/>
    <w:rsid w:val="00075BDF"/>
    <w:rsid w:val="00080285"/>
    <w:rsid w:val="00080C6B"/>
    <w:rsid w:val="000811AB"/>
    <w:rsid w:val="0008155F"/>
    <w:rsid w:val="0008183E"/>
    <w:rsid w:val="00082162"/>
    <w:rsid w:val="00083C5F"/>
    <w:rsid w:val="0009090E"/>
    <w:rsid w:val="0009172C"/>
    <w:rsid w:val="000926A1"/>
    <w:rsid w:val="000930EC"/>
    <w:rsid w:val="00095C43"/>
    <w:rsid w:val="00095E61"/>
    <w:rsid w:val="000966C1"/>
    <w:rsid w:val="000970AC"/>
    <w:rsid w:val="000A0DC8"/>
    <w:rsid w:val="000A1167"/>
    <w:rsid w:val="000A2FF2"/>
    <w:rsid w:val="000A4428"/>
    <w:rsid w:val="000A4599"/>
    <w:rsid w:val="000A4960"/>
    <w:rsid w:val="000A6D40"/>
    <w:rsid w:val="000A7BC3"/>
    <w:rsid w:val="000B0972"/>
    <w:rsid w:val="000B1661"/>
    <w:rsid w:val="000B1D41"/>
    <w:rsid w:val="000B2E88"/>
    <w:rsid w:val="000B3AAE"/>
    <w:rsid w:val="000B4603"/>
    <w:rsid w:val="000B5A59"/>
    <w:rsid w:val="000B68AC"/>
    <w:rsid w:val="000C09BE"/>
    <w:rsid w:val="000C103B"/>
    <w:rsid w:val="000C1380"/>
    <w:rsid w:val="000C15B9"/>
    <w:rsid w:val="000C554F"/>
    <w:rsid w:val="000D0DC5"/>
    <w:rsid w:val="000D15FF"/>
    <w:rsid w:val="000D1D2A"/>
    <w:rsid w:val="000D28DF"/>
    <w:rsid w:val="000D3E60"/>
    <w:rsid w:val="000D4533"/>
    <w:rsid w:val="000D488B"/>
    <w:rsid w:val="000D68DF"/>
    <w:rsid w:val="000D6B7E"/>
    <w:rsid w:val="000D6D5C"/>
    <w:rsid w:val="000D75EE"/>
    <w:rsid w:val="000D7E0A"/>
    <w:rsid w:val="000E138D"/>
    <w:rsid w:val="000E1847"/>
    <w:rsid w:val="000E187A"/>
    <w:rsid w:val="000E2D61"/>
    <w:rsid w:val="000E450E"/>
    <w:rsid w:val="000E553E"/>
    <w:rsid w:val="000E6259"/>
    <w:rsid w:val="000E73BB"/>
    <w:rsid w:val="000E7694"/>
    <w:rsid w:val="000F3543"/>
    <w:rsid w:val="000F4677"/>
    <w:rsid w:val="000F5BE0"/>
    <w:rsid w:val="00100587"/>
    <w:rsid w:val="00100C6F"/>
    <w:rsid w:val="00101785"/>
    <w:rsid w:val="00101BCE"/>
    <w:rsid w:val="00101CAE"/>
    <w:rsid w:val="0010284E"/>
    <w:rsid w:val="00103122"/>
    <w:rsid w:val="0010336A"/>
    <w:rsid w:val="00103DDA"/>
    <w:rsid w:val="00104617"/>
    <w:rsid w:val="001050F1"/>
    <w:rsid w:val="00105AEA"/>
    <w:rsid w:val="001067F0"/>
    <w:rsid w:val="00106DAF"/>
    <w:rsid w:val="00107580"/>
    <w:rsid w:val="00111752"/>
    <w:rsid w:val="00111940"/>
    <w:rsid w:val="00113984"/>
    <w:rsid w:val="001139B8"/>
    <w:rsid w:val="00116023"/>
    <w:rsid w:val="00120C15"/>
    <w:rsid w:val="001238B9"/>
    <w:rsid w:val="001247E9"/>
    <w:rsid w:val="00125094"/>
    <w:rsid w:val="00126609"/>
    <w:rsid w:val="00134A51"/>
    <w:rsid w:val="00135A41"/>
    <w:rsid w:val="00140727"/>
    <w:rsid w:val="001427D0"/>
    <w:rsid w:val="001461C6"/>
    <w:rsid w:val="00147243"/>
    <w:rsid w:val="00147607"/>
    <w:rsid w:val="0014775F"/>
    <w:rsid w:val="001507C5"/>
    <w:rsid w:val="001515FD"/>
    <w:rsid w:val="00152323"/>
    <w:rsid w:val="00156EE1"/>
    <w:rsid w:val="00160628"/>
    <w:rsid w:val="00161344"/>
    <w:rsid w:val="00162195"/>
    <w:rsid w:val="0016322A"/>
    <w:rsid w:val="00165A21"/>
    <w:rsid w:val="00166972"/>
    <w:rsid w:val="0016750D"/>
    <w:rsid w:val="001705CE"/>
    <w:rsid w:val="00171C8A"/>
    <w:rsid w:val="00171D62"/>
    <w:rsid w:val="0017464D"/>
    <w:rsid w:val="001762DB"/>
    <w:rsid w:val="0017714B"/>
    <w:rsid w:val="001804DF"/>
    <w:rsid w:val="00180C5A"/>
    <w:rsid w:val="00181293"/>
    <w:rsid w:val="00181BDC"/>
    <w:rsid w:val="00181DB0"/>
    <w:rsid w:val="0018264C"/>
    <w:rsid w:val="001829E3"/>
    <w:rsid w:val="001837CE"/>
    <w:rsid w:val="001849D4"/>
    <w:rsid w:val="0018515D"/>
    <w:rsid w:val="00186F6C"/>
    <w:rsid w:val="00192DB6"/>
    <w:rsid w:val="001968BC"/>
    <w:rsid w:val="0019731E"/>
    <w:rsid w:val="001A09FE"/>
    <w:rsid w:val="001A21B5"/>
    <w:rsid w:val="001A58A4"/>
    <w:rsid w:val="001A67C9"/>
    <w:rsid w:val="001A69DE"/>
    <w:rsid w:val="001A6B53"/>
    <w:rsid w:val="001A702E"/>
    <w:rsid w:val="001B0C58"/>
    <w:rsid w:val="001B1C7C"/>
    <w:rsid w:val="001B398F"/>
    <w:rsid w:val="001B46C6"/>
    <w:rsid w:val="001B4B48"/>
    <w:rsid w:val="001B4D1F"/>
    <w:rsid w:val="001B61D0"/>
    <w:rsid w:val="001B6720"/>
    <w:rsid w:val="001B7681"/>
    <w:rsid w:val="001B7CAE"/>
    <w:rsid w:val="001C0772"/>
    <w:rsid w:val="001C0D4F"/>
    <w:rsid w:val="001C1DEC"/>
    <w:rsid w:val="001C1E2F"/>
    <w:rsid w:val="001C27A6"/>
    <w:rsid w:val="001C2F74"/>
    <w:rsid w:val="001C51A9"/>
    <w:rsid w:val="001C5736"/>
    <w:rsid w:val="001C6249"/>
    <w:rsid w:val="001C7400"/>
    <w:rsid w:val="001D05B2"/>
    <w:rsid w:val="001D185D"/>
    <w:rsid w:val="001D4A49"/>
    <w:rsid w:val="001D741F"/>
    <w:rsid w:val="001E0572"/>
    <w:rsid w:val="001E0A67"/>
    <w:rsid w:val="001E1028"/>
    <w:rsid w:val="001E14E2"/>
    <w:rsid w:val="001E26EA"/>
    <w:rsid w:val="001E6288"/>
    <w:rsid w:val="001E6302"/>
    <w:rsid w:val="001E7488"/>
    <w:rsid w:val="001E7881"/>
    <w:rsid w:val="001E7DCB"/>
    <w:rsid w:val="001F3411"/>
    <w:rsid w:val="001F4287"/>
    <w:rsid w:val="001F48DE"/>
    <w:rsid w:val="001F4A73"/>
    <w:rsid w:val="001F4DBA"/>
    <w:rsid w:val="001F4DEA"/>
    <w:rsid w:val="001F62D8"/>
    <w:rsid w:val="001F7D0F"/>
    <w:rsid w:val="0020092D"/>
    <w:rsid w:val="0020308A"/>
    <w:rsid w:val="0020415E"/>
    <w:rsid w:val="00204FF4"/>
    <w:rsid w:val="0021056E"/>
    <w:rsid w:val="0021075D"/>
    <w:rsid w:val="00211512"/>
    <w:rsid w:val="0021165A"/>
    <w:rsid w:val="00211BC9"/>
    <w:rsid w:val="00212037"/>
    <w:rsid w:val="00213D91"/>
    <w:rsid w:val="00214B09"/>
    <w:rsid w:val="0021620C"/>
    <w:rsid w:val="00216DFF"/>
    <w:rsid w:val="00216E78"/>
    <w:rsid w:val="00217275"/>
    <w:rsid w:val="00220EF0"/>
    <w:rsid w:val="00223176"/>
    <w:rsid w:val="002254FA"/>
    <w:rsid w:val="0022608A"/>
    <w:rsid w:val="0022785B"/>
    <w:rsid w:val="00231BB0"/>
    <w:rsid w:val="002328B6"/>
    <w:rsid w:val="0023582D"/>
    <w:rsid w:val="00235CA4"/>
    <w:rsid w:val="00236785"/>
    <w:rsid w:val="00236F4B"/>
    <w:rsid w:val="002415D1"/>
    <w:rsid w:val="00242847"/>
    <w:rsid w:val="00242B0D"/>
    <w:rsid w:val="00243A67"/>
    <w:rsid w:val="00244354"/>
    <w:rsid w:val="0024550A"/>
    <w:rsid w:val="00246785"/>
    <w:rsid w:val="002467C6"/>
    <w:rsid w:val="0024692A"/>
    <w:rsid w:val="002471EF"/>
    <w:rsid w:val="002476E3"/>
    <w:rsid w:val="00247DF0"/>
    <w:rsid w:val="002518F9"/>
    <w:rsid w:val="00252BBA"/>
    <w:rsid w:val="00253123"/>
    <w:rsid w:val="00253593"/>
    <w:rsid w:val="002577FB"/>
    <w:rsid w:val="00257BA2"/>
    <w:rsid w:val="0026100E"/>
    <w:rsid w:val="00261639"/>
    <w:rsid w:val="00261F9E"/>
    <w:rsid w:val="00261FA8"/>
    <w:rsid w:val="002631C6"/>
    <w:rsid w:val="00264001"/>
    <w:rsid w:val="00266354"/>
    <w:rsid w:val="00267909"/>
    <w:rsid w:val="00267A18"/>
    <w:rsid w:val="0027008B"/>
    <w:rsid w:val="00270484"/>
    <w:rsid w:val="00273462"/>
    <w:rsid w:val="0027395B"/>
    <w:rsid w:val="00275854"/>
    <w:rsid w:val="00277435"/>
    <w:rsid w:val="002778AE"/>
    <w:rsid w:val="002804CF"/>
    <w:rsid w:val="00283B41"/>
    <w:rsid w:val="00284964"/>
    <w:rsid w:val="00285E68"/>
    <w:rsid w:val="00285F28"/>
    <w:rsid w:val="00286398"/>
    <w:rsid w:val="00287B4B"/>
    <w:rsid w:val="00291615"/>
    <w:rsid w:val="0029367B"/>
    <w:rsid w:val="00294346"/>
    <w:rsid w:val="0029552A"/>
    <w:rsid w:val="0029625F"/>
    <w:rsid w:val="002A3633"/>
    <w:rsid w:val="002A3C42"/>
    <w:rsid w:val="002A5D75"/>
    <w:rsid w:val="002B1B1A"/>
    <w:rsid w:val="002B3AF3"/>
    <w:rsid w:val="002B42A4"/>
    <w:rsid w:val="002B61BF"/>
    <w:rsid w:val="002B7228"/>
    <w:rsid w:val="002C0F30"/>
    <w:rsid w:val="002C1A25"/>
    <w:rsid w:val="002C246F"/>
    <w:rsid w:val="002C3F88"/>
    <w:rsid w:val="002C53EE"/>
    <w:rsid w:val="002C5926"/>
    <w:rsid w:val="002D1198"/>
    <w:rsid w:val="002D19CC"/>
    <w:rsid w:val="002D24F7"/>
    <w:rsid w:val="002D2799"/>
    <w:rsid w:val="002D2CD7"/>
    <w:rsid w:val="002D3D37"/>
    <w:rsid w:val="002D4DDC"/>
    <w:rsid w:val="002D4F75"/>
    <w:rsid w:val="002D58E1"/>
    <w:rsid w:val="002D6493"/>
    <w:rsid w:val="002D7AB6"/>
    <w:rsid w:val="002E03A9"/>
    <w:rsid w:val="002E06D0"/>
    <w:rsid w:val="002E0EEE"/>
    <w:rsid w:val="002E15CD"/>
    <w:rsid w:val="002E24BA"/>
    <w:rsid w:val="002E2709"/>
    <w:rsid w:val="002E317B"/>
    <w:rsid w:val="002E3C27"/>
    <w:rsid w:val="002E403A"/>
    <w:rsid w:val="002E571E"/>
    <w:rsid w:val="002E598C"/>
    <w:rsid w:val="002E5CD8"/>
    <w:rsid w:val="002E70C9"/>
    <w:rsid w:val="002E7F3A"/>
    <w:rsid w:val="002F00EB"/>
    <w:rsid w:val="002F095F"/>
    <w:rsid w:val="002F1941"/>
    <w:rsid w:val="002F1E45"/>
    <w:rsid w:val="002F379D"/>
    <w:rsid w:val="002F39FB"/>
    <w:rsid w:val="002F4D2E"/>
    <w:rsid w:val="002F4EDB"/>
    <w:rsid w:val="002F5F22"/>
    <w:rsid w:val="002F6015"/>
    <w:rsid w:val="002F6054"/>
    <w:rsid w:val="00302189"/>
    <w:rsid w:val="00302787"/>
    <w:rsid w:val="00307A14"/>
    <w:rsid w:val="00311B01"/>
    <w:rsid w:val="00315713"/>
    <w:rsid w:val="00315A0A"/>
    <w:rsid w:val="0031686C"/>
    <w:rsid w:val="00316FE0"/>
    <w:rsid w:val="003204D2"/>
    <w:rsid w:val="00320E64"/>
    <w:rsid w:val="00321A33"/>
    <w:rsid w:val="00323B72"/>
    <w:rsid w:val="0032605E"/>
    <w:rsid w:val="00326D35"/>
    <w:rsid w:val="003275D1"/>
    <w:rsid w:val="00330B2A"/>
    <w:rsid w:val="00331E17"/>
    <w:rsid w:val="00333063"/>
    <w:rsid w:val="00333326"/>
    <w:rsid w:val="00337FF6"/>
    <w:rsid w:val="00340140"/>
    <w:rsid w:val="003408E3"/>
    <w:rsid w:val="00343480"/>
    <w:rsid w:val="00343712"/>
    <w:rsid w:val="00343BAE"/>
    <w:rsid w:val="0034492C"/>
    <w:rsid w:val="003451F4"/>
    <w:rsid w:val="00345E89"/>
    <w:rsid w:val="003506E4"/>
    <w:rsid w:val="00350A88"/>
    <w:rsid w:val="003522A1"/>
    <w:rsid w:val="0035254B"/>
    <w:rsid w:val="00352820"/>
    <w:rsid w:val="00353555"/>
    <w:rsid w:val="003565D4"/>
    <w:rsid w:val="003575E4"/>
    <w:rsid w:val="003577DE"/>
    <w:rsid w:val="003607FB"/>
    <w:rsid w:val="00360FD5"/>
    <w:rsid w:val="0036109D"/>
    <w:rsid w:val="00361D69"/>
    <w:rsid w:val="00362529"/>
    <w:rsid w:val="00362A2B"/>
    <w:rsid w:val="003634A5"/>
    <w:rsid w:val="00366231"/>
    <w:rsid w:val="00366868"/>
    <w:rsid w:val="003673B1"/>
    <w:rsid w:val="00367506"/>
    <w:rsid w:val="00370085"/>
    <w:rsid w:val="003701F4"/>
    <w:rsid w:val="00370C83"/>
    <w:rsid w:val="00373EEB"/>
    <w:rsid w:val="003744A7"/>
    <w:rsid w:val="003761A1"/>
    <w:rsid w:val="00376235"/>
    <w:rsid w:val="00381D31"/>
    <w:rsid w:val="00381FB6"/>
    <w:rsid w:val="00382219"/>
    <w:rsid w:val="003822DC"/>
    <w:rsid w:val="00383308"/>
    <w:rsid w:val="003835EE"/>
    <w:rsid w:val="003836D3"/>
    <w:rsid w:val="00383A52"/>
    <w:rsid w:val="0038402A"/>
    <w:rsid w:val="00384A8C"/>
    <w:rsid w:val="0038508E"/>
    <w:rsid w:val="00385BC0"/>
    <w:rsid w:val="003865E8"/>
    <w:rsid w:val="00390B20"/>
    <w:rsid w:val="00391652"/>
    <w:rsid w:val="00394591"/>
    <w:rsid w:val="0039507F"/>
    <w:rsid w:val="0039656F"/>
    <w:rsid w:val="00397696"/>
    <w:rsid w:val="003A1260"/>
    <w:rsid w:val="003A295F"/>
    <w:rsid w:val="003A3B1E"/>
    <w:rsid w:val="003A41DD"/>
    <w:rsid w:val="003A6508"/>
    <w:rsid w:val="003A6BFC"/>
    <w:rsid w:val="003A7033"/>
    <w:rsid w:val="003A72D2"/>
    <w:rsid w:val="003B064E"/>
    <w:rsid w:val="003B1AB5"/>
    <w:rsid w:val="003B47FE"/>
    <w:rsid w:val="003B5673"/>
    <w:rsid w:val="003B62C9"/>
    <w:rsid w:val="003B6DFF"/>
    <w:rsid w:val="003B75B6"/>
    <w:rsid w:val="003C322B"/>
    <w:rsid w:val="003C495C"/>
    <w:rsid w:val="003C6E31"/>
    <w:rsid w:val="003C7176"/>
    <w:rsid w:val="003D06CF"/>
    <w:rsid w:val="003D0929"/>
    <w:rsid w:val="003D182F"/>
    <w:rsid w:val="003D257B"/>
    <w:rsid w:val="003D4729"/>
    <w:rsid w:val="003D4B2A"/>
    <w:rsid w:val="003D7276"/>
    <w:rsid w:val="003D766A"/>
    <w:rsid w:val="003D7DD6"/>
    <w:rsid w:val="003E0140"/>
    <w:rsid w:val="003E05FC"/>
    <w:rsid w:val="003E5AAF"/>
    <w:rsid w:val="003E600D"/>
    <w:rsid w:val="003E633C"/>
    <w:rsid w:val="003E64DF"/>
    <w:rsid w:val="003E6A5D"/>
    <w:rsid w:val="003E6BBB"/>
    <w:rsid w:val="003F193A"/>
    <w:rsid w:val="003F2DA2"/>
    <w:rsid w:val="003F4207"/>
    <w:rsid w:val="003F5321"/>
    <w:rsid w:val="003F57BB"/>
    <w:rsid w:val="003F5C46"/>
    <w:rsid w:val="003F7CBB"/>
    <w:rsid w:val="003F7CCB"/>
    <w:rsid w:val="003F7D34"/>
    <w:rsid w:val="00401360"/>
    <w:rsid w:val="00405897"/>
    <w:rsid w:val="004106A0"/>
    <w:rsid w:val="0041294B"/>
    <w:rsid w:val="00412C8E"/>
    <w:rsid w:val="0041518D"/>
    <w:rsid w:val="004206C5"/>
    <w:rsid w:val="0042106E"/>
    <w:rsid w:val="00421EF2"/>
    <w:rsid w:val="0042221D"/>
    <w:rsid w:val="00424A1B"/>
    <w:rsid w:val="00424DD3"/>
    <w:rsid w:val="00425946"/>
    <w:rsid w:val="004269C5"/>
    <w:rsid w:val="00427D51"/>
    <w:rsid w:val="00433FCB"/>
    <w:rsid w:val="00435939"/>
    <w:rsid w:val="0043636C"/>
    <w:rsid w:val="004378A3"/>
    <w:rsid w:val="00437CC7"/>
    <w:rsid w:val="00442B9C"/>
    <w:rsid w:val="0044618E"/>
    <w:rsid w:val="0044738A"/>
    <w:rsid w:val="004473D3"/>
    <w:rsid w:val="00450056"/>
    <w:rsid w:val="00452231"/>
    <w:rsid w:val="004524AD"/>
    <w:rsid w:val="00454689"/>
    <w:rsid w:val="00454B5A"/>
    <w:rsid w:val="00454C9F"/>
    <w:rsid w:val="0045607D"/>
    <w:rsid w:val="00460C13"/>
    <w:rsid w:val="00460E63"/>
    <w:rsid w:val="00463228"/>
    <w:rsid w:val="0046365E"/>
    <w:rsid w:val="00463782"/>
    <w:rsid w:val="00463A1B"/>
    <w:rsid w:val="00463CF6"/>
    <w:rsid w:val="00463F1A"/>
    <w:rsid w:val="004667E0"/>
    <w:rsid w:val="0046760E"/>
    <w:rsid w:val="00470E10"/>
    <w:rsid w:val="00470FAF"/>
    <w:rsid w:val="00472288"/>
    <w:rsid w:val="00472989"/>
    <w:rsid w:val="00473368"/>
    <w:rsid w:val="004744F7"/>
    <w:rsid w:val="00474A41"/>
    <w:rsid w:val="00475277"/>
    <w:rsid w:val="00475AAF"/>
    <w:rsid w:val="00477A97"/>
    <w:rsid w:val="00477F48"/>
    <w:rsid w:val="00480CA4"/>
    <w:rsid w:val="00481343"/>
    <w:rsid w:val="00483796"/>
    <w:rsid w:val="0048381E"/>
    <w:rsid w:val="0048549E"/>
    <w:rsid w:val="00485DD4"/>
    <w:rsid w:val="004860FB"/>
    <w:rsid w:val="0049020C"/>
    <w:rsid w:val="00490536"/>
    <w:rsid w:val="00490BCD"/>
    <w:rsid w:val="00493347"/>
    <w:rsid w:val="0049388B"/>
    <w:rsid w:val="00496092"/>
    <w:rsid w:val="004A086A"/>
    <w:rsid w:val="004A08DB"/>
    <w:rsid w:val="004A25D0"/>
    <w:rsid w:val="004A2CBD"/>
    <w:rsid w:val="004A37E8"/>
    <w:rsid w:val="004A7549"/>
    <w:rsid w:val="004A7618"/>
    <w:rsid w:val="004A792B"/>
    <w:rsid w:val="004B09D4"/>
    <w:rsid w:val="004B2386"/>
    <w:rsid w:val="004B2BDB"/>
    <w:rsid w:val="004B2FB0"/>
    <w:rsid w:val="004B330A"/>
    <w:rsid w:val="004B3C41"/>
    <w:rsid w:val="004B55A6"/>
    <w:rsid w:val="004B6EB4"/>
    <w:rsid w:val="004B7B87"/>
    <w:rsid w:val="004B7C8E"/>
    <w:rsid w:val="004C42E9"/>
    <w:rsid w:val="004C5621"/>
    <w:rsid w:val="004C6710"/>
    <w:rsid w:val="004C6BA1"/>
    <w:rsid w:val="004D0EDC"/>
    <w:rsid w:val="004D1220"/>
    <w:rsid w:val="004D12CD"/>
    <w:rsid w:val="004D14B3"/>
    <w:rsid w:val="004D1529"/>
    <w:rsid w:val="004D1805"/>
    <w:rsid w:val="004D2253"/>
    <w:rsid w:val="004D5514"/>
    <w:rsid w:val="004D56C3"/>
    <w:rsid w:val="004D6AEB"/>
    <w:rsid w:val="004D744B"/>
    <w:rsid w:val="004D7AF9"/>
    <w:rsid w:val="004E02DD"/>
    <w:rsid w:val="004E0338"/>
    <w:rsid w:val="004E4FF3"/>
    <w:rsid w:val="004E5319"/>
    <w:rsid w:val="004E56A8"/>
    <w:rsid w:val="004E69C0"/>
    <w:rsid w:val="004F13E6"/>
    <w:rsid w:val="004F1CAA"/>
    <w:rsid w:val="004F2C73"/>
    <w:rsid w:val="004F3B55"/>
    <w:rsid w:val="004F4E46"/>
    <w:rsid w:val="004F5686"/>
    <w:rsid w:val="004F6018"/>
    <w:rsid w:val="004F607C"/>
    <w:rsid w:val="004F6B7D"/>
    <w:rsid w:val="005015F6"/>
    <w:rsid w:val="00501C32"/>
    <w:rsid w:val="005030C4"/>
    <w:rsid w:val="005031C5"/>
    <w:rsid w:val="00504535"/>
    <w:rsid w:val="005049B9"/>
    <w:rsid w:val="00504FDC"/>
    <w:rsid w:val="005056F3"/>
    <w:rsid w:val="005120CC"/>
    <w:rsid w:val="00512611"/>
    <w:rsid w:val="00512B7B"/>
    <w:rsid w:val="00513B1C"/>
    <w:rsid w:val="00514EA1"/>
    <w:rsid w:val="00516AAB"/>
    <w:rsid w:val="0051798B"/>
    <w:rsid w:val="00521F5A"/>
    <w:rsid w:val="00522A37"/>
    <w:rsid w:val="00525AD9"/>
    <w:rsid w:val="00525E06"/>
    <w:rsid w:val="00526454"/>
    <w:rsid w:val="00531564"/>
    <w:rsid w:val="00531823"/>
    <w:rsid w:val="00533562"/>
    <w:rsid w:val="00534ECC"/>
    <w:rsid w:val="005362E2"/>
    <w:rsid w:val="0053720D"/>
    <w:rsid w:val="00537445"/>
    <w:rsid w:val="00540623"/>
    <w:rsid w:val="00540E80"/>
    <w:rsid w:val="00540EF5"/>
    <w:rsid w:val="00541BF3"/>
    <w:rsid w:val="00541CD3"/>
    <w:rsid w:val="00543536"/>
    <w:rsid w:val="0054561F"/>
    <w:rsid w:val="005459BA"/>
    <w:rsid w:val="0054627C"/>
    <w:rsid w:val="005476FA"/>
    <w:rsid w:val="0055070C"/>
    <w:rsid w:val="005507D8"/>
    <w:rsid w:val="00553F45"/>
    <w:rsid w:val="005541AA"/>
    <w:rsid w:val="005546E0"/>
    <w:rsid w:val="0055595E"/>
    <w:rsid w:val="00557988"/>
    <w:rsid w:val="00560977"/>
    <w:rsid w:val="00560984"/>
    <w:rsid w:val="00561279"/>
    <w:rsid w:val="00562C49"/>
    <w:rsid w:val="00562DEF"/>
    <w:rsid w:val="00563A35"/>
    <w:rsid w:val="00564E09"/>
    <w:rsid w:val="00565357"/>
    <w:rsid w:val="00566596"/>
    <w:rsid w:val="00570867"/>
    <w:rsid w:val="00570954"/>
    <w:rsid w:val="00572659"/>
    <w:rsid w:val="00572A39"/>
    <w:rsid w:val="005733A3"/>
    <w:rsid w:val="00573569"/>
    <w:rsid w:val="005737B9"/>
    <w:rsid w:val="005741E9"/>
    <w:rsid w:val="005748CF"/>
    <w:rsid w:val="00581A05"/>
    <w:rsid w:val="0058315A"/>
    <w:rsid w:val="00583E79"/>
    <w:rsid w:val="00584270"/>
    <w:rsid w:val="00584738"/>
    <w:rsid w:val="0058530D"/>
    <w:rsid w:val="0058617D"/>
    <w:rsid w:val="0058660D"/>
    <w:rsid w:val="005901D0"/>
    <w:rsid w:val="005918AE"/>
    <w:rsid w:val="005920B0"/>
    <w:rsid w:val="005924D3"/>
    <w:rsid w:val="0059380D"/>
    <w:rsid w:val="00593DF5"/>
    <w:rsid w:val="005946DA"/>
    <w:rsid w:val="00595068"/>
    <w:rsid w:val="00595A8F"/>
    <w:rsid w:val="0059673A"/>
    <w:rsid w:val="00596BD8"/>
    <w:rsid w:val="00596F6B"/>
    <w:rsid w:val="00597BF2"/>
    <w:rsid w:val="005A22ED"/>
    <w:rsid w:val="005A2375"/>
    <w:rsid w:val="005A26FD"/>
    <w:rsid w:val="005A4951"/>
    <w:rsid w:val="005A4C8C"/>
    <w:rsid w:val="005A57FB"/>
    <w:rsid w:val="005A5C7E"/>
    <w:rsid w:val="005B134E"/>
    <w:rsid w:val="005B1D0A"/>
    <w:rsid w:val="005B2039"/>
    <w:rsid w:val="005B344F"/>
    <w:rsid w:val="005B3FBA"/>
    <w:rsid w:val="005B4A1D"/>
    <w:rsid w:val="005B4D07"/>
    <w:rsid w:val="005B674D"/>
    <w:rsid w:val="005C0A0E"/>
    <w:rsid w:val="005C0CBE"/>
    <w:rsid w:val="005C1930"/>
    <w:rsid w:val="005C1FCF"/>
    <w:rsid w:val="005C202F"/>
    <w:rsid w:val="005C215B"/>
    <w:rsid w:val="005C27EA"/>
    <w:rsid w:val="005C2E3A"/>
    <w:rsid w:val="005C425F"/>
    <w:rsid w:val="005C428D"/>
    <w:rsid w:val="005C6089"/>
    <w:rsid w:val="005C76C7"/>
    <w:rsid w:val="005D136B"/>
    <w:rsid w:val="005D1885"/>
    <w:rsid w:val="005D27FE"/>
    <w:rsid w:val="005D4A38"/>
    <w:rsid w:val="005D5D16"/>
    <w:rsid w:val="005D61D7"/>
    <w:rsid w:val="005D6550"/>
    <w:rsid w:val="005D6882"/>
    <w:rsid w:val="005E08D6"/>
    <w:rsid w:val="005E2A27"/>
    <w:rsid w:val="005E2EEA"/>
    <w:rsid w:val="005E3708"/>
    <w:rsid w:val="005E3CCD"/>
    <w:rsid w:val="005E3D6B"/>
    <w:rsid w:val="005E5E4A"/>
    <w:rsid w:val="005E693D"/>
    <w:rsid w:val="005E75BF"/>
    <w:rsid w:val="005E7EC7"/>
    <w:rsid w:val="005F1427"/>
    <w:rsid w:val="005F376A"/>
    <w:rsid w:val="005F4FED"/>
    <w:rsid w:val="005F55DC"/>
    <w:rsid w:val="005F57BA"/>
    <w:rsid w:val="005F61E6"/>
    <w:rsid w:val="005F62A1"/>
    <w:rsid w:val="005F6C45"/>
    <w:rsid w:val="005F7C4C"/>
    <w:rsid w:val="0060202C"/>
    <w:rsid w:val="00605A69"/>
    <w:rsid w:val="006069A4"/>
    <w:rsid w:val="00606C54"/>
    <w:rsid w:val="00607244"/>
    <w:rsid w:val="00607D41"/>
    <w:rsid w:val="006108D8"/>
    <w:rsid w:val="00610BBE"/>
    <w:rsid w:val="00612150"/>
    <w:rsid w:val="00614375"/>
    <w:rsid w:val="00615B0A"/>
    <w:rsid w:val="00616583"/>
    <w:rsid w:val="006168CF"/>
    <w:rsid w:val="00616C1E"/>
    <w:rsid w:val="0062011B"/>
    <w:rsid w:val="00621586"/>
    <w:rsid w:val="00622E5A"/>
    <w:rsid w:val="0062519B"/>
    <w:rsid w:val="006256CE"/>
    <w:rsid w:val="00626DE0"/>
    <w:rsid w:val="006276BD"/>
    <w:rsid w:val="00630901"/>
    <w:rsid w:val="00630B1F"/>
    <w:rsid w:val="00631F8E"/>
    <w:rsid w:val="00632967"/>
    <w:rsid w:val="00632E48"/>
    <w:rsid w:val="00633455"/>
    <w:rsid w:val="00633F90"/>
    <w:rsid w:val="006343AD"/>
    <w:rsid w:val="00636EE9"/>
    <w:rsid w:val="006373E0"/>
    <w:rsid w:val="00640950"/>
    <w:rsid w:val="00641567"/>
    <w:rsid w:val="00641AE7"/>
    <w:rsid w:val="00642629"/>
    <w:rsid w:val="00642D75"/>
    <w:rsid w:val="00646020"/>
    <w:rsid w:val="00647405"/>
    <w:rsid w:val="00652707"/>
    <w:rsid w:val="0065293D"/>
    <w:rsid w:val="0065380F"/>
    <w:rsid w:val="00653EFC"/>
    <w:rsid w:val="00654021"/>
    <w:rsid w:val="0065428F"/>
    <w:rsid w:val="00661045"/>
    <w:rsid w:val="00662CEE"/>
    <w:rsid w:val="00662FB0"/>
    <w:rsid w:val="00663DCC"/>
    <w:rsid w:val="00666060"/>
    <w:rsid w:val="00666DA8"/>
    <w:rsid w:val="00671057"/>
    <w:rsid w:val="00672656"/>
    <w:rsid w:val="0067271D"/>
    <w:rsid w:val="00672ABE"/>
    <w:rsid w:val="00675AAF"/>
    <w:rsid w:val="0068031A"/>
    <w:rsid w:val="00681B2F"/>
    <w:rsid w:val="0068335F"/>
    <w:rsid w:val="006856EC"/>
    <w:rsid w:val="00690C50"/>
    <w:rsid w:val="00691E6A"/>
    <w:rsid w:val="00693302"/>
    <w:rsid w:val="0069640B"/>
    <w:rsid w:val="00697BCA"/>
    <w:rsid w:val="006A1B83"/>
    <w:rsid w:val="006A1B9E"/>
    <w:rsid w:val="006A21CD"/>
    <w:rsid w:val="006A4729"/>
    <w:rsid w:val="006A5918"/>
    <w:rsid w:val="006A6F67"/>
    <w:rsid w:val="006A7896"/>
    <w:rsid w:val="006A7E63"/>
    <w:rsid w:val="006B21B2"/>
    <w:rsid w:val="006B259E"/>
    <w:rsid w:val="006B28F1"/>
    <w:rsid w:val="006B3C3A"/>
    <w:rsid w:val="006B4A44"/>
    <w:rsid w:val="006B4A4A"/>
    <w:rsid w:val="006B4ECC"/>
    <w:rsid w:val="006B7CB2"/>
    <w:rsid w:val="006C19B2"/>
    <w:rsid w:val="006C585F"/>
    <w:rsid w:val="006C5BB8"/>
    <w:rsid w:val="006C6936"/>
    <w:rsid w:val="006C7B01"/>
    <w:rsid w:val="006D0FE8"/>
    <w:rsid w:val="006D3D4A"/>
    <w:rsid w:val="006D4B2B"/>
    <w:rsid w:val="006D4F3C"/>
    <w:rsid w:val="006D5C66"/>
    <w:rsid w:val="006E1B3C"/>
    <w:rsid w:val="006E23FB"/>
    <w:rsid w:val="006E27F2"/>
    <w:rsid w:val="006E325A"/>
    <w:rsid w:val="006E33EC"/>
    <w:rsid w:val="006E3802"/>
    <w:rsid w:val="006E3DD5"/>
    <w:rsid w:val="006E6C02"/>
    <w:rsid w:val="006E76B0"/>
    <w:rsid w:val="006E7CBF"/>
    <w:rsid w:val="006F231A"/>
    <w:rsid w:val="006F788D"/>
    <w:rsid w:val="006F78E1"/>
    <w:rsid w:val="006F79FE"/>
    <w:rsid w:val="00701072"/>
    <w:rsid w:val="00701752"/>
    <w:rsid w:val="00702054"/>
    <w:rsid w:val="0070244B"/>
    <w:rsid w:val="007035A4"/>
    <w:rsid w:val="00703A60"/>
    <w:rsid w:val="0070535A"/>
    <w:rsid w:val="00710C94"/>
    <w:rsid w:val="007114B0"/>
    <w:rsid w:val="00711799"/>
    <w:rsid w:val="0071226E"/>
    <w:rsid w:val="00712B78"/>
    <w:rsid w:val="0071393B"/>
    <w:rsid w:val="00713EE2"/>
    <w:rsid w:val="00714134"/>
    <w:rsid w:val="00715F4C"/>
    <w:rsid w:val="007177FC"/>
    <w:rsid w:val="0072019A"/>
    <w:rsid w:val="00720A15"/>
    <w:rsid w:val="00720C5E"/>
    <w:rsid w:val="00721701"/>
    <w:rsid w:val="00723351"/>
    <w:rsid w:val="00723CA4"/>
    <w:rsid w:val="00724228"/>
    <w:rsid w:val="007250A9"/>
    <w:rsid w:val="00725EAE"/>
    <w:rsid w:val="00730646"/>
    <w:rsid w:val="00731835"/>
    <w:rsid w:val="00731B3B"/>
    <w:rsid w:val="00732EF9"/>
    <w:rsid w:val="0073326D"/>
    <w:rsid w:val="007341F8"/>
    <w:rsid w:val="00734372"/>
    <w:rsid w:val="00734A7F"/>
    <w:rsid w:val="00734EB8"/>
    <w:rsid w:val="00735F8B"/>
    <w:rsid w:val="007360B8"/>
    <w:rsid w:val="00737B83"/>
    <w:rsid w:val="0074061E"/>
    <w:rsid w:val="00740BD2"/>
    <w:rsid w:val="007414BA"/>
    <w:rsid w:val="00742D1F"/>
    <w:rsid w:val="00742E90"/>
    <w:rsid w:val="00743641"/>
    <w:rsid w:val="00743EBA"/>
    <w:rsid w:val="00743FBF"/>
    <w:rsid w:val="00744C8E"/>
    <w:rsid w:val="00744CA7"/>
    <w:rsid w:val="00745DC6"/>
    <w:rsid w:val="00746DE1"/>
    <w:rsid w:val="0074707E"/>
    <w:rsid w:val="0075119E"/>
    <w:rsid w:val="007516DC"/>
    <w:rsid w:val="007518B7"/>
    <w:rsid w:val="007537A7"/>
    <w:rsid w:val="007543F2"/>
    <w:rsid w:val="00754B80"/>
    <w:rsid w:val="00754F67"/>
    <w:rsid w:val="00755400"/>
    <w:rsid w:val="00755C33"/>
    <w:rsid w:val="00755C6D"/>
    <w:rsid w:val="00756B67"/>
    <w:rsid w:val="00757A8F"/>
    <w:rsid w:val="00761918"/>
    <w:rsid w:val="00762F03"/>
    <w:rsid w:val="0076413B"/>
    <w:rsid w:val="00764634"/>
    <w:rsid w:val="0076488F"/>
    <w:rsid w:val="007648AE"/>
    <w:rsid w:val="00764BF8"/>
    <w:rsid w:val="0076514D"/>
    <w:rsid w:val="007654CD"/>
    <w:rsid w:val="00766199"/>
    <w:rsid w:val="007667A7"/>
    <w:rsid w:val="00773D59"/>
    <w:rsid w:val="00774AD9"/>
    <w:rsid w:val="00775386"/>
    <w:rsid w:val="007761CA"/>
    <w:rsid w:val="00780C47"/>
    <w:rsid w:val="00781003"/>
    <w:rsid w:val="007813B5"/>
    <w:rsid w:val="00781BC8"/>
    <w:rsid w:val="0078255A"/>
    <w:rsid w:val="007839F5"/>
    <w:rsid w:val="00785EF2"/>
    <w:rsid w:val="0079008C"/>
    <w:rsid w:val="00790B81"/>
    <w:rsid w:val="007911FD"/>
    <w:rsid w:val="00793930"/>
    <w:rsid w:val="00793DD1"/>
    <w:rsid w:val="007941CE"/>
    <w:rsid w:val="00794FEC"/>
    <w:rsid w:val="007959EF"/>
    <w:rsid w:val="00796F48"/>
    <w:rsid w:val="007A003E"/>
    <w:rsid w:val="007A0EBD"/>
    <w:rsid w:val="007A1333"/>
    <w:rsid w:val="007A1965"/>
    <w:rsid w:val="007A24D6"/>
    <w:rsid w:val="007A2CBD"/>
    <w:rsid w:val="007A2ED1"/>
    <w:rsid w:val="007A3913"/>
    <w:rsid w:val="007A4BE6"/>
    <w:rsid w:val="007A5B45"/>
    <w:rsid w:val="007A719A"/>
    <w:rsid w:val="007B03D0"/>
    <w:rsid w:val="007B0DC6"/>
    <w:rsid w:val="007B1094"/>
    <w:rsid w:val="007B1762"/>
    <w:rsid w:val="007B2A04"/>
    <w:rsid w:val="007B3320"/>
    <w:rsid w:val="007C301F"/>
    <w:rsid w:val="007C4540"/>
    <w:rsid w:val="007C5633"/>
    <w:rsid w:val="007C59D5"/>
    <w:rsid w:val="007C65AF"/>
    <w:rsid w:val="007C6D37"/>
    <w:rsid w:val="007C7027"/>
    <w:rsid w:val="007C7354"/>
    <w:rsid w:val="007D135D"/>
    <w:rsid w:val="007D2F50"/>
    <w:rsid w:val="007D57FB"/>
    <w:rsid w:val="007D6533"/>
    <w:rsid w:val="007D730F"/>
    <w:rsid w:val="007D7CD8"/>
    <w:rsid w:val="007E1380"/>
    <w:rsid w:val="007E3AA7"/>
    <w:rsid w:val="007F0706"/>
    <w:rsid w:val="007F167C"/>
    <w:rsid w:val="007F1B28"/>
    <w:rsid w:val="007F1F72"/>
    <w:rsid w:val="007F2151"/>
    <w:rsid w:val="007F3381"/>
    <w:rsid w:val="007F48EA"/>
    <w:rsid w:val="007F4E3E"/>
    <w:rsid w:val="007F6072"/>
    <w:rsid w:val="007F67FE"/>
    <w:rsid w:val="007F6D47"/>
    <w:rsid w:val="007F737D"/>
    <w:rsid w:val="00800EAB"/>
    <w:rsid w:val="00801CF1"/>
    <w:rsid w:val="0080308E"/>
    <w:rsid w:val="00803345"/>
    <w:rsid w:val="0080477B"/>
    <w:rsid w:val="00804A0F"/>
    <w:rsid w:val="008055FD"/>
    <w:rsid w:val="00806705"/>
    <w:rsid w:val="00806738"/>
    <w:rsid w:val="00806ED3"/>
    <w:rsid w:val="00817F07"/>
    <w:rsid w:val="008216D5"/>
    <w:rsid w:val="008221CB"/>
    <w:rsid w:val="008223CF"/>
    <w:rsid w:val="00823352"/>
    <w:rsid w:val="008249CE"/>
    <w:rsid w:val="00824A25"/>
    <w:rsid w:val="00824FFA"/>
    <w:rsid w:val="008265BD"/>
    <w:rsid w:val="00826EE5"/>
    <w:rsid w:val="0083094E"/>
    <w:rsid w:val="00830B17"/>
    <w:rsid w:val="00831A50"/>
    <w:rsid w:val="00831B3C"/>
    <w:rsid w:val="00831C89"/>
    <w:rsid w:val="00832114"/>
    <w:rsid w:val="00834C46"/>
    <w:rsid w:val="00836ECD"/>
    <w:rsid w:val="00840068"/>
    <w:rsid w:val="0084093E"/>
    <w:rsid w:val="00841CE1"/>
    <w:rsid w:val="00842578"/>
    <w:rsid w:val="0084424F"/>
    <w:rsid w:val="008452FC"/>
    <w:rsid w:val="008473D8"/>
    <w:rsid w:val="008506AD"/>
    <w:rsid w:val="00851BF0"/>
    <w:rsid w:val="00852092"/>
    <w:rsid w:val="008528DC"/>
    <w:rsid w:val="00852B8C"/>
    <w:rsid w:val="00854981"/>
    <w:rsid w:val="00860980"/>
    <w:rsid w:val="00861608"/>
    <w:rsid w:val="00861FFD"/>
    <w:rsid w:val="00864B2E"/>
    <w:rsid w:val="00865963"/>
    <w:rsid w:val="0086797E"/>
    <w:rsid w:val="00870892"/>
    <w:rsid w:val="0087450E"/>
    <w:rsid w:val="00874B27"/>
    <w:rsid w:val="00875596"/>
    <w:rsid w:val="00875A82"/>
    <w:rsid w:val="00876B67"/>
    <w:rsid w:val="00876CA3"/>
    <w:rsid w:val="008772FE"/>
    <w:rsid w:val="008775F1"/>
    <w:rsid w:val="008821AE"/>
    <w:rsid w:val="00883D3A"/>
    <w:rsid w:val="00883FE4"/>
    <w:rsid w:val="008845E0"/>
    <w:rsid w:val="008854F7"/>
    <w:rsid w:val="00885A9D"/>
    <w:rsid w:val="00887019"/>
    <w:rsid w:val="00891716"/>
    <w:rsid w:val="008929D2"/>
    <w:rsid w:val="00893636"/>
    <w:rsid w:val="00893B94"/>
    <w:rsid w:val="00894DDF"/>
    <w:rsid w:val="00896E9D"/>
    <w:rsid w:val="00896F11"/>
    <w:rsid w:val="00897EBF"/>
    <w:rsid w:val="008A1049"/>
    <w:rsid w:val="008A1C98"/>
    <w:rsid w:val="008A322D"/>
    <w:rsid w:val="008A4D72"/>
    <w:rsid w:val="008A6285"/>
    <w:rsid w:val="008A63B2"/>
    <w:rsid w:val="008A70AF"/>
    <w:rsid w:val="008A7617"/>
    <w:rsid w:val="008A7D16"/>
    <w:rsid w:val="008B3062"/>
    <w:rsid w:val="008B345D"/>
    <w:rsid w:val="008B3A73"/>
    <w:rsid w:val="008B425D"/>
    <w:rsid w:val="008B6020"/>
    <w:rsid w:val="008C0A13"/>
    <w:rsid w:val="008C1FC2"/>
    <w:rsid w:val="008C2980"/>
    <w:rsid w:val="008C3581"/>
    <w:rsid w:val="008C3E10"/>
    <w:rsid w:val="008C565C"/>
    <w:rsid w:val="008C5AFB"/>
    <w:rsid w:val="008C5D13"/>
    <w:rsid w:val="008C7F29"/>
    <w:rsid w:val="008D07FB"/>
    <w:rsid w:val="008D0C02"/>
    <w:rsid w:val="008D357D"/>
    <w:rsid w:val="008D7A04"/>
    <w:rsid w:val="008E00D3"/>
    <w:rsid w:val="008E08A5"/>
    <w:rsid w:val="008E0E73"/>
    <w:rsid w:val="008E12A3"/>
    <w:rsid w:val="008E387B"/>
    <w:rsid w:val="008E3952"/>
    <w:rsid w:val="008E6087"/>
    <w:rsid w:val="008E758D"/>
    <w:rsid w:val="008F0804"/>
    <w:rsid w:val="008F10A7"/>
    <w:rsid w:val="008F1ACA"/>
    <w:rsid w:val="008F3A35"/>
    <w:rsid w:val="008F63A8"/>
    <w:rsid w:val="008F742D"/>
    <w:rsid w:val="008F755D"/>
    <w:rsid w:val="008F7A39"/>
    <w:rsid w:val="00900A90"/>
    <w:rsid w:val="009011B0"/>
    <w:rsid w:val="009021E8"/>
    <w:rsid w:val="00906E29"/>
    <w:rsid w:val="00907443"/>
    <w:rsid w:val="00911440"/>
    <w:rsid w:val="00911712"/>
    <w:rsid w:val="00911B27"/>
    <w:rsid w:val="00912EFB"/>
    <w:rsid w:val="00913D2B"/>
    <w:rsid w:val="009162EC"/>
    <w:rsid w:val="00917030"/>
    <w:rsid w:val="0091703A"/>
    <w:rsid w:val="009170BE"/>
    <w:rsid w:val="00920B55"/>
    <w:rsid w:val="009223B9"/>
    <w:rsid w:val="00925569"/>
    <w:rsid w:val="00926039"/>
    <w:rsid w:val="009262C9"/>
    <w:rsid w:val="00930EB9"/>
    <w:rsid w:val="0093295E"/>
    <w:rsid w:val="00933DC7"/>
    <w:rsid w:val="00934A54"/>
    <w:rsid w:val="00935C6A"/>
    <w:rsid w:val="00936F20"/>
    <w:rsid w:val="00937C66"/>
    <w:rsid w:val="009412E2"/>
    <w:rsid w:val="009418F4"/>
    <w:rsid w:val="00942BBC"/>
    <w:rsid w:val="00944180"/>
    <w:rsid w:val="00944352"/>
    <w:rsid w:val="00944AA0"/>
    <w:rsid w:val="00947DA2"/>
    <w:rsid w:val="00950444"/>
    <w:rsid w:val="00950E98"/>
    <w:rsid w:val="00951177"/>
    <w:rsid w:val="00951821"/>
    <w:rsid w:val="0095206E"/>
    <w:rsid w:val="00953130"/>
    <w:rsid w:val="00956A8F"/>
    <w:rsid w:val="00960088"/>
    <w:rsid w:val="00960EDA"/>
    <w:rsid w:val="009614C5"/>
    <w:rsid w:val="009673E8"/>
    <w:rsid w:val="009677B8"/>
    <w:rsid w:val="009677E4"/>
    <w:rsid w:val="00970A84"/>
    <w:rsid w:val="00971C05"/>
    <w:rsid w:val="009744EE"/>
    <w:rsid w:val="009745FB"/>
    <w:rsid w:val="00974DB8"/>
    <w:rsid w:val="00975AB0"/>
    <w:rsid w:val="009762A0"/>
    <w:rsid w:val="009771C4"/>
    <w:rsid w:val="009777F5"/>
    <w:rsid w:val="00980661"/>
    <w:rsid w:val="0098093B"/>
    <w:rsid w:val="0098133B"/>
    <w:rsid w:val="0098357D"/>
    <w:rsid w:val="00983868"/>
    <w:rsid w:val="00986000"/>
    <w:rsid w:val="009876D4"/>
    <w:rsid w:val="00987923"/>
    <w:rsid w:val="009914A5"/>
    <w:rsid w:val="0099172F"/>
    <w:rsid w:val="00991CCF"/>
    <w:rsid w:val="0099548E"/>
    <w:rsid w:val="00996456"/>
    <w:rsid w:val="00996A12"/>
    <w:rsid w:val="00997163"/>
    <w:rsid w:val="00997B0F"/>
    <w:rsid w:val="00997BEB"/>
    <w:rsid w:val="009A1CAD"/>
    <w:rsid w:val="009A2A1A"/>
    <w:rsid w:val="009A3440"/>
    <w:rsid w:val="009A3BF2"/>
    <w:rsid w:val="009A5832"/>
    <w:rsid w:val="009A637A"/>
    <w:rsid w:val="009A6838"/>
    <w:rsid w:val="009B21C0"/>
    <w:rsid w:val="009B24B5"/>
    <w:rsid w:val="009B31B8"/>
    <w:rsid w:val="009B4EBC"/>
    <w:rsid w:val="009B5ABB"/>
    <w:rsid w:val="009B693E"/>
    <w:rsid w:val="009B72F0"/>
    <w:rsid w:val="009B73CE"/>
    <w:rsid w:val="009C04AB"/>
    <w:rsid w:val="009C2461"/>
    <w:rsid w:val="009C2721"/>
    <w:rsid w:val="009C47AD"/>
    <w:rsid w:val="009C50E7"/>
    <w:rsid w:val="009C5FE7"/>
    <w:rsid w:val="009C6FE2"/>
    <w:rsid w:val="009C7674"/>
    <w:rsid w:val="009D004A"/>
    <w:rsid w:val="009D017A"/>
    <w:rsid w:val="009D170E"/>
    <w:rsid w:val="009D2854"/>
    <w:rsid w:val="009D42F5"/>
    <w:rsid w:val="009D5095"/>
    <w:rsid w:val="009D5880"/>
    <w:rsid w:val="009D6E49"/>
    <w:rsid w:val="009D71AB"/>
    <w:rsid w:val="009E1454"/>
    <w:rsid w:val="009E22F7"/>
    <w:rsid w:val="009E3224"/>
    <w:rsid w:val="009E3530"/>
    <w:rsid w:val="009E3B07"/>
    <w:rsid w:val="009E51D1"/>
    <w:rsid w:val="009E5531"/>
    <w:rsid w:val="009E6356"/>
    <w:rsid w:val="009E69CA"/>
    <w:rsid w:val="009F0200"/>
    <w:rsid w:val="009F0C8D"/>
    <w:rsid w:val="009F171E"/>
    <w:rsid w:val="009F22AF"/>
    <w:rsid w:val="009F3D2F"/>
    <w:rsid w:val="009F5266"/>
    <w:rsid w:val="009F5929"/>
    <w:rsid w:val="009F7052"/>
    <w:rsid w:val="00A01321"/>
    <w:rsid w:val="00A02111"/>
    <w:rsid w:val="00A02668"/>
    <w:rsid w:val="00A02801"/>
    <w:rsid w:val="00A0499D"/>
    <w:rsid w:val="00A06A39"/>
    <w:rsid w:val="00A07B94"/>
    <w:rsid w:val="00A07F58"/>
    <w:rsid w:val="00A1298A"/>
    <w:rsid w:val="00A131CB"/>
    <w:rsid w:val="00A13BA8"/>
    <w:rsid w:val="00A14847"/>
    <w:rsid w:val="00A149B3"/>
    <w:rsid w:val="00A1509A"/>
    <w:rsid w:val="00A16D6D"/>
    <w:rsid w:val="00A171F1"/>
    <w:rsid w:val="00A17711"/>
    <w:rsid w:val="00A17B8D"/>
    <w:rsid w:val="00A21383"/>
    <w:rsid w:val="00A2199F"/>
    <w:rsid w:val="00A21B31"/>
    <w:rsid w:val="00A22318"/>
    <w:rsid w:val="00A2360E"/>
    <w:rsid w:val="00A246E2"/>
    <w:rsid w:val="00A26E0C"/>
    <w:rsid w:val="00A271CA"/>
    <w:rsid w:val="00A27A7C"/>
    <w:rsid w:val="00A320D5"/>
    <w:rsid w:val="00A32FCB"/>
    <w:rsid w:val="00A34C25"/>
    <w:rsid w:val="00A3507D"/>
    <w:rsid w:val="00A3717A"/>
    <w:rsid w:val="00A37FDD"/>
    <w:rsid w:val="00A401FF"/>
    <w:rsid w:val="00A4088C"/>
    <w:rsid w:val="00A41E53"/>
    <w:rsid w:val="00A4456B"/>
    <w:rsid w:val="00A448D4"/>
    <w:rsid w:val="00A452E0"/>
    <w:rsid w:val="00A50806"/>
    <w:rsid w:val="00A51EA5"/>
    <w:rsid w:val="00A53742"/>
    <w:rsid w:val="00A5460E"/>
    <w:rsid w:val="00A557A1"/>
    <w:rsid w:val="00A56DF0"/>
    <w:rsid w:val="00A63059"/>
    <w:rsid w:val="00A633FE"/>
    <w:rsid w:val="00A634A7"/>
    <w:rsid w:val="00A63AE3"/>
    <w:rsid w:val="00A64FC4"/>
    <w:rsid w:val="00A651A4"/>
    <w:rsid w:val="00A66C9D"/>
    <w:rsid w:val="00A67DB8"/>
    <w:rsid w:val="00A700B4"/>
    <w:rsid w:val="00A71361"/>
    <w:rsid w:val="00A746E2"/>
    <w:rsid w:val="00A74DDC"/>
    <w:rsid w:val="00A763F6"/>
    <w:rsid w:val="00A7658E"/>
    <w:rsid w:val="00A80C5A"/>
    <w:rsid w:val="00A811B0"/>
    <w:rsid w:val="00A81FF2"/>
    <w:rsid w:val="00A83904"/>
    <w:rsid w:val="00A8461E"/>
    <w:rsid w:val="00A850E0"/>
    <w:rsid w:val="00A90A79"/>
    <w:rsid w:val="00A9237F"/>
    <w:rsid w:val="00A96170"/>
    <w:rsid w:val="00A96B30"/>
    <w:rsid w:val="00AA0D72"/>
    <w:rsid w:val="00AA215F"/>
    <w:rsid w:val="00AA59B5"/>
    <w:rsid w:val="00AA6431"/>
    <w:rsid w:val="00AA7777"/>
    <w:rsid w:val="00AA7B84"/>
    <w:rsid w:val="00AC0B4C"/>
    <w:rsid w:val="00AC1164"/>
    <w:rsid w:val="00AC2296"/>
    <w:rsid w:val="00AC2754"/>
    <w:rsid w:val="00AC48B0"/>
    <w:rsid w:val="00AC4ACD"/>
    <w:rsid w:val="00AC5391"/>
    <w:rsid w:val="00AC5DFB"/>
    <w:rsid w:val="00AC68AA"/>
    <w:rsid w:val="00AC7650"/>
    <w:rsid w:val="00AD13DC"/>
    <w:rsid w:val="00AD1580"/>
    <w:rsid w:val="00AD496B"/>
    <w:rsid w:val="00AD5668"/>
    <w:rsid w:val="00AD61E2"/>
    <w:rsid w:val="00AD682B"/>
    <w:rsid w:val="00AD6DE2"/>
    <w:rsid w:val="00AE0A40"/>
    <w:rsid w:val="00AE1ED4"/>
    <w:rsid w:val="00AE21E1"/>
    <w:rsid w:val="00AE2F8D"/>
    <w:rsid w:val="00AE3BAE"/>
    <w:rsid w:val="00AE42E4"/>
    <w:rsid w:val="00AE5A33"/>
    <w:rsid w:val="00AE6A21"/>
    <w:rsid w:val="00AE6BE1"/>
    <w:rsid w:val="00AE7211"/>
    <w:rsid w:val="00AF0C33"/>
    <w:rsid w:val="00AF1C8F"/>
    <w:rsid w:val="00AF2B68"/>
    <w:rsid w:val="00AF2C92"/>
    <w:rsid w:val="00AF3DF6"/>
    <w:rsid w:val="00AF3EC1"/>
    <w:rsid w:val="00AF4042"/>
    <w:rsid w:val="00AF5025"/>
    <w:rsid w:val="00AF519F"/>
    <w:rsid w:val="00AF5387"/>
    <w:rsid w:val="00AF55F5"/>
    <w:rsid w:val="00AF687B"/>
    <w:rsid w:val="00AF7E86"/>
    <w:rsid w:val="00B024B9"/>
    <w:rsid w:val="00B0455E"/>
    <w:rsid w:val="00B07651"/>
    <w:rsid w:val="00B077FA"/>
    <w:rsid w:val="00B10DAB"/>
    <w:rsid w:val="00B10F76"/>
    <w:rsid w:val="00B11815"/>
    <w:rsid w:val="00B1207B"/>
    <w:rsid w:val="00B127D7"/>
    <w:rsid w:val="00B13B0C"/>
    <w:rsid w:val="00B1453A"/>
    <w:rsid w:val="00B1575F"/>
    <w:rsid w:val="00B15CDF"/>
    <w:rsid w:val="00B20F82"/>
    <w:rsid w:val="00B25BD5"/>
    <w:rsid w:val="00B26A99"/>
    <w:rsid w:val="00B27037"/>
    <w:rsid w:val="00B2707F"/>
    <w:rsid w:val="00B2743D"/>
    <w:rsid w:val="00B27FF1"/>
    <w:rsid w:val="00B336E4"/>
    <w:rsid w:val="00B34079"/>
    <w:rsid w:val="00B348C4"/>
    <w:rsid w:val="00B354A5"/>
    <w:rsid w:val="00B35697"/>
    <w:rsid w:val="00B35C42"/>
    <w:rsid w:val="00B3663C"/>
    <w:rsid w:val="00B3793A"/>
    <w:rsid w:val="00B37FC9"/>
    <w:rsid w:val="00B401BA"/>
    <w:rsid w:val="00B406D4"/>
    <w:rsid w:val="00B407E4"/>
    <w:rsid w:val="00B425B6"/>
    <w:rsid w:val="00B42A72"/>
    <w:rsid w:val="00B441AE"/>
    <w:rsid w:val="00B444CE"/>
    <w:rsid w:val="00B45A60"/>
    <w:rsid w:val="00B45C85"/>
    <w:rsid w:val="00B45F33"/>
    <w:rsid w:val="00B46D50"/>
    <w:rsid w:val="00B53170"/>
    <w:rsid w:val="00B54641"/>
    <w:rsid w:val="00B55A74"/>
    <w:rsid w:val="00B573CC"/>
    <w:rsid w:val="00B607BD"/>
    <w:rsid w:val="00B60B6E"/>
    <w:rsid w:val="00B616F8"/>
    <w:rsid w:val="00B62999"/>
    <w:rsid w:val="00B62CFD"/>
    <w:rsid w:val="00B63BE3"/>
    <w:rsid w:val="00B64885"/>
    <w:rsid w:val="00B65EA4"/>
    <w:rsid w:val="00B66810"/>
    <w:rsid w:val="00B71448"/>
    <w:rsid w:val="00B72BE3"/>
    <w:rsid w:val="00B73B80"/>
    <w:rsid w:val="00B744C1"/>
    <w:rsid w:val="00B7460E"/>
    <w:rsid w:val="00B759F7"/>
    <w:rsid w:val="00B770C7"/>
    <w:rsid w:val="00B777B1"/>
    <w:rsid w:val="00B802A7"/>
    <w:rsid w:val="00B805F9"/>
    <w:rsid w:val="00B80D93"/>
    <w:rsid w:val="00B80F26"/>
    <w:rsid w:val="00B822BD"/>
    <w:rsid w:val="00B83A0F"/>
    <w:rsid w:val="00B842F4"/>
    <w:rsid w:val="00B91A7B"/>
    <w:rsid w:val="00B929DD"/>
    <w:rsid w:val="00B94605"/>
    <w:rsid w:val="00B95405"/>
    <w:rsid w:val="00B963F1"/>
    <w:rsid w:val="00B965F0"/>
    <w:rsid w:val="00B968C2"/>
    <w:rsid w:val="00BA020A"/>
    <w:rsid w:val="00BA21F7"/>
    <w:rsid w:val="00BA34B1"/>
    <w:rsid w:val="00BA603E"/>
    <w:rsid w:val="00BA6D98"/>
    <w:rsid w:val="00BB02A4"/>
    <w:rsid w:val="00BB1270"/>
    <w:rsid w:val="00BB1E44"/>
    <w:rsid w:val="00BB221D"/>
    <w:rsid w:val="00BB3EF6"/>
    <w:rsid w:val="00BB5267"/>
    <w:rsid w:val="00BB52B8"/>
    <w:rsid w:val="00BB59D8"/>
    <w:rsid w:val="00BB5F6E"/>
    <w:rsid w:val="00BB76D1"/>
    <w:rsid w:val="00BB7E69"/>
    <w:rsid w:val="00BC2BC4"/>
    <w:rsid w:val="00BC3C1F"/>
    <w:rsid w:val="00BC4EDC"/>
    <w:rsid w:val="00BC55F8"/>
    <w:rsid w:val="00BC5F16"/>
    <w:rsid w:val="00BC6B8F"/>
    <w:rsid w:val="00BC7B33"/>
    <w:rsid w:val="00BC7CE7"/>
    <w:rsid w:val="00BD295E"/>
    <w:rsid w:val="00BD4664"/>
    <w:rsid w:val="00BD4839"/>
    <w:rsid w:val="00BD5E77"/>
    <w:rsid w:val="00BD6542"/>
    <w:rsid w:val="00BD7428"/>
    <w:rsid w:val="00BE1193"/>
    <w:rsid w:val="00BE25AA"/>
    <w:rsid w:val="00BE2E36"/>
    <w:rsid w:val="00BE3633"/>
    <w:rsid w:val="00BE4647"/>
    <w:rsid w:val="00BE4EF2"/>
    <w:rsid w:val="00BE74FA"/>
    <w:rsid w:val="00BF08CF"/>
    <w:rsid w:val="00BF0C43"/>
    <w:rsid w:val="00BF2A46"/>
    <w:rsid w:val="00BF4849"/>
    <w:rsid w:val="00BF4E32"/>
    <w:rsid w:val="00BF4EA7"/>
    <w:rsid w:val="00C00EDB"/>
    <w:rsid w:val="00C02863"/>
    <w:rsid w:val="00C0383A"/>
    <w:rsid w:val="00C04291"/>
    <w:rsid w:val="00C067FF"/>
    <w:rsid w:val="00C07D28"/>
    <w:rsid w:val="00C07F6F"/>
    <w:rsid w:val="00C12862"/>
    <w:rsid w:val="00C1321C"/>
    <w:rsid w:val="00C13D28"/>
    <w:rsid w:val="00C14585"/>
    <w:rsid w:val="00C145EA"/>
    <w:rsid w:val="00C16037"/>
    <w:rsid w:val="00C16344"/>
    <w:rsid w:val="00C165A0"/>
    <w:rsid w:val="00C176CE"/>
    <w:rsid w:val="00C20014"/>
    <w:rsid w:val="00C216CE"/>
    <w:rsid w:val="00C2184F"/>
    <w:rsid w:val="00C22A78"/>
    <w:rsid w:val="00C22D7A"/>
    <w:rsid w:val="00C23C7E"/>
    <w:rsid w:val="00C246C5"/>
    <w:rsid w:val="00C25A82"/>
    <w:rsid w:val="00C2739F"/>
    <w:rsid w:val="00C30894"/>
    <w:rsid w:val="00C30A2A"/>
    <w:rsid w:val="00C32815"/>
    <w:rsid w:val="00C33993"/>
    <w:rsid w:val="00C3472F"/>
    <w:rsid w:val="00C36066"/>
    <w:rsid w:val="00C363A7"/>
    <w:rsid w:val="00C37A09"/>
    <w:rsid w:val="00C4069E"/>
    <w:rsid w:val="00C407B3"/>
    <w:rsid w:val="00C4137A"/>
    <w:rsid w:val="00C41ADC"/>
    <w:rsid w:val="00C42F9A"/>
    <w:rsid w:val="00C44149"/>
    <w:rsid w:val="00C44410"/>
    <w:rsid w:val="00C44A15"/>
    <w:rsid w:val="00C4630A"/>
    <w:rsid w:val="00C46EDE"/>
    <w:rsid w:val="00C523F0"/>
    <w:rsid w:val="00C526D2"/>
    <w:rsid w:val="00C52A46"/>
    <w:rsid w:val="00C52A99"/>
    <w:rsid w:val="00C56546"/>
    <w:rsid w:val="00C5794E"/>
    <w:rsid w:val="00C60968"/>
    <w:rsid w:val="00C61F5D"/>
    <w:rsid w:val="00C6390E"/>
    <w:rsid w:val="00C63D39"/>
    <w:rsid w:val="00C63EDD"/>
    <w:rsid w:val="00C644B5"/>
    <w:rsid w:val="00C65B36"/>
    <w:rsid w:val="00C67D17"/>
    <w:rsid w:val="00C67EA5"/>
    <w:rsid w:val="00C71476"/>
    <w:rsid w:val="00C7292E"/>
    <w:rsid w:val="00C73365"/>
    <w:rsid w:val="00C741A7"/>
    <w:rsid w:val="00C74E88"/>
    <w:rsid w:val="00C75D16"/>
    <w:rsid w:val="00C77A51"/>
    <w:rsid w:val="00C80924"/>
    <w:rsid w:val="00C8286B"/>
    <w:rsid w:val="00C850BF"/>
    <w:rsid w:val="00C87757"/>
    <w:rsid w:val="00C87E6A"/>
    <w:rsid w:val="00C903C1"/>
    <w:rsid w:val="00C91267"/>
    <w:rsid w:val="00C91CC9"/>
    <w:rsid w:val="00C926AF"/>
    <w:rsid w:val="00C947F8"/>
    <w:rsid w:val="00C9515F"/>
    <w:rsid w:val="00C9636A"/>
    <w:rsid w:val="00C963C5"/>
    <w:rsid w:val="00CA017B"/>
    <w:rsid w:val="00CA030C"/>
    <w:rsid w:val="00CA1F41"/>
    <w:rsid w:val="00CA32EE"/>
    <w:rsid w:val="00CA6A1A"/>
    <w:rsid w:val="00CA6C57"/>
    <w:rsid w:val="00CA7803"/>
    <w:rsid w:val="00CB2470"/>
    <w:rsid w:val="00CC1E75"/>
    <w:rsid w:val="00CC1ECF"/>
    <w:rsid w:val="00CC2E0E"/>
    <w:rsid w:val="00CC361C"/>
    <w:rsid w:val="00CC474B"/>
    <w:rsid w:val="00CC5834"/>
    <w:rsid w:val="00CC658C"/>
    <w:rsid w:val="00CC67BF"/>
    <w:rsid w:val="00CD0843"/>
    <w:rsid w:val="00CD1D3C"/>
    <w:rsid w:val="00CD1E58"/>
    <w:rsid w:val="00CD282C"/>
    <w:rsid w:val="00CD5A78"/>
    <w:rsid w:val="00CD6A09"/>
    <w:rsid w:val="00CD7345"/>
    <w:rsid w:val="00CD76D1"/>
    <w:rsid w:val="00CE17A7"/>
    <w:rsid w:val="00CE372E"/>
    <w:rsid w:val="00CE71D0"/>
    <w:rsid w:val="00CF0A1B"/>
    <w:rsid w:val="00CF19F6"/>
    <w:rsid w:val="00CF1A3B"/>
    <w:rsid w:val="00CF1DAD"/>
    <w:rsid w:val="00CF2F4F"/>
    <w:rsid w:val="00CF370C"/>
    <w:rsid w:val="00CF3864"/>
    <w:rsid w:val="00CF3A47"/>
    <w:rsid w:val="00CF536D"/>
    <w:rsid w:val="00CF6B6F"/>
    <w:rsid w:val="00D011C5"/>
    <w:rsid w:val="00D03128"/>
    <w:rsid w:val="00D035AA"/>
    <w:rsid w:val="00D03EA9"/>
    <w:rsid w:val="00D0627F"/>
    <w:rsid w:val="00D068AF"/>
    <w:rsid w:val="00D10CB8"/>
    <w:rsid w:val="00D12806"/>
    <w:rsid w:val="00D12D44"/>
    <w:rsid w:val="00D14A06"/>
    <w:rsid w:val="00D15018"/>
    <w:rsid w:val="00D158AC"/>
    <w:rsid w:val="00D1694C"/>
    <w:rsid w:val="00D20F12"/>
    <w:rsid w:val="00D20F5E"/>
    <w:rsid w:val="00D21AB2"/>
    <w:rsid w:val="00D21DE4"/>
    <w:rsid w:val="00D2369B"/>
    <w:rsid w:val="00D23B76"/>
    <w:rsid w:val="00D23C17"/>
    <w:rsid w:val="00D25434"/>
    <w:rsid w:val="00D25A94"/>
    <w:rsid w:val="00D27C73"/>
    <w:rsid w:val="00D27F85"/>
    <w:rsid w:val="00D30BDD"/>
    <w:rsid w:val="00D35A96"/>
    <w:rsid w:val="00D35B27"/>
    <w:rsid w:val="00D379A3"/>
    <w:rsid w:val="00D40792"/>
    <w:rsid w:val="00D41F94"/>
    <w:rsid w:val="00D4267E"/>
    <w:rsid w:val="00D43272"/>
    <w:rsid w:val="00D45FF3"/>
    <w:rsid w:val="00D47E0B"/>
    <w:rsid w:val="00D512CF"/>
    <w:rsid w:val="00D528B9"/>
    <w:rsid w:val="00D53186"/>
    <w:rsid w:val="00D5487D"/>
    <w:rsid w:val="00D5672C"/>
    <w:rsid w:val="00D5737A"/>
    <w:rsid w:val="00D60140"/>
    <w:rsid w:val="00D6024A"/>
    <w:rsid w:val="00D608B5"/>
    <w:rsid w:val="00D60C28"/>
    <w:rsid w:val="00D63C93"/>
    <w:rsid w:val="00D64770"/>
    <w:rsid w:val="00D71F99"/>
    <w:rsid w:val="00D73C65"/>
    <w:rsid w:val="00D73CA4"/>
    <w:rsid w:val="00D73D71"/>
    <w:rsid w:val="00D74396"/>
    <w:rsid w:val="00D80284"/>
    <w:rsid w:val="00D81F71"/>
    <w:rsid w:val="00D82B0B"/>
    <w:rsid w:val="00D82DE9"/>
    <w:rsid w:val="00D8372B"/>
    <w:rsid w:val="00D84E02"/>
    <w:rsid w:val="00D8642D"/>
    <w:rsid w:val="00D90A5E"/>
    <w:rsid w:val="00D90EF6"/>
    <w:rsid w:val="00D91A01"/>
    <w:rsid w:val="00D91A68"/>
    <w:rsid w:val="00D92689"/>
    <w:rsid w:val="00D95A68"/>
    <w:rsid w:val="00D961FB"/>
    <w:rsid w:val="00DA17C7"/>
    <w:rsid w:val="00DA42E4"/>
    <w:rsid w:val="00DA6A9A"/>
    <w:rsid w:val="00DA7210"/>
    <w:rsid w:val="00DB1445"/>
    <w:rsid w:val="00DB1EFD"/>
    <w:rsid w:val="00DB2FA9"/>
    <w:rsid w:val="00DB3EAF"/>
    <w:rsid w:val="00DB618E"/>
    <w:rsid w:val="00DB6E56"/>
    <w:rsid w:val="00DC1E15"/>
    <w:rsid w:val="00DC2C40"/>
    <w:rsid w:val="00DC3123"/>
    <w:rsid w:val="00DC3203"/>
    <w:rsid w:val="00DC3C99"/>
    <w:rsid w:val="00DC52F5"/>
    <w:rsid w:val="00DC5B61"/>
    <w:rsid w:val="00DC5FD0"/>
    <w:rsid w:val="00DC7C5B"/>
    <w:rsid w:val="00DC7CEB"/>
    <w:rsid w:val="00DD0354"/>
    <w:rsid w:val="00DD0D26"/>
    <w:rsid w:val="00DD27D7"/>
    <w:rsid w:val="00DD458C"/>
    <w:rsid w:val="00DD4DA4"/>
    <w:rsid w:val="00DD50F3"/>
    <w:rsid w:val="00DD6C56"/>
    <w:rsid w:val="00DD72E9"/>
    <w:rsid w:val="00DD7605"/>
    <w:rsid w:val="00DE0CB1"/>
    <w:rsid w:val="00DE2020"/>
    <w:rsid w:val="00DE3476"/>
    <w:rsid w:val="00DE4FEC"/>
    <w:rsid w:val="00DF0011"/>
    <w:rsid w:val="00DF0825"/>
    <w:rsid w:val="00DF1F57"/>
    <w:rsid w:val="00DF2CE4"/>
    <w:rsid w:val="00DF4F5B"/>
    <w:rsid w:val="00DF5B84"/>
    <w:rsid w:val="00DF6D5B"/>
    <w:rsid w:val="00DF6F3D"/>
    <w:rsid w:val="00DF771B"/>
    <w:rsid w:val="00DF7EE2"/>
    <w:rsid w:val="00E01300"/>
    <w:rsid w:val="00E01BAA"/>
    <w:rsid w:val="00E01F61"/>
    <w:rsid w:val="00E0205F"/>
    <w:rsid w:val="00E0282A"/>
    <w:rsid w:val="00E02A30"/>
    <w:rsid w:val="00E04E62"/>
    <w:rsid w:val="00E05D55"/>
    <w:rsid w:val="00E07E14"/>
    <w:rsid w:val="00E1073C"/>
    <w:rsid w:val="00E11272"/>
    <w:rsid w:val="00E1323B"/>
    <w:rsid w:val="00E13557"/>
    <w:rsid w:val="00E14F94"/>
    <w:rsid w:val="00E16FCE"/>
    <w:rsid w:val="00E17336"/>
    <w:rsid w:val="00E17D15"/>
    <w:rsid w:val="00E22B95"/>
    <w:rsid w:val="00E24083"/>
    <w:rsid w:val="00E261D7"/>
    <w:rsid w:val="00E30331"/>
    <w:rsid w:val="00E30BB8"/>
    <w:rsid w:val="00E31C0B"/>
    <w:rsid w:val="00E31F9C"/>
    <w:rsid w:val="00E32C5A"/>
    <w:rsid w:val="00E37ADE"/>
    <w:rsid w:val="00E40488"/>
    <w:rsid w:val="00E41817"/>
    <w:rsid w:val="00E43789"/>
    <w:rsid w:val="00E45638"/>
    <w:rsid w:val="00E50367"/>
    <w:rsid w:val="00E507B0"/>
    <w:rsid w:val="00E51ABA"/>
    <w:rsid w:val="00E524CB"/>
    <w:rsid w:val="00E53722"/>
    <w:rsid w:val="00E55672"/>
    <w:rsid w:val="00E55711"/>
    <w:rsid w:val="00E604DF"/>
    <w:rsid w:val="00E60895"/>
    <w:rsid w:val="00E65456"/>
    <w:rsid w:val="00E65A91"/>
    <w:rsid w:val="00E65E64"/>
    <w:rsid w:val="00E66188"/>
    <w:rsid w:val="00E664FB"/>
    <w:rsid w:val="00E66EEA"/>
    <w:rsid w:val="00E70373"/>
    <w:rsid w:val="00E70E3D"/>
    <w:rsid w:val="00E72E40"/>
    <w:rsid w:val="00E73665"/>
    <w:rsid w:val="00E73999"/>
    <w:rsid w:val="00E73BDC"/>
    <w:rsid w:val="00E73E9E"/>
    <w:rsid w:val="00E77DB9"/>
    <w:rsid w:val="00E81660"/>
    <w:rsid w:val="00E82301"/>
    <w:rsid w:val="00E828D6"/>
    <w:rsid w:val="00E854FE"/>
    <w:rsid w:val="00E87B4A"/>
    <w:rsid w:val="00E906CC"/>
    <w:rsid w:val="00E939A0"/>
    <w:rsid w:val="00E958D9"/>
    <w:rsid w:val="00E972AD"/>
    <w:rsid w:val="00E97E4E"/>
    <w:rsid w:val="00EA1CC2"/>
    <w:rsid w:val="00EA2D76"/>
    <w:rsid w:val="00EA4644"/>
    <w:rsid w:val="00EA6658"/>
    <w:rsid w:val="00EA758A"/>
    <w:rsid w:val="00EA7A9A"/>
    <w:rsid w:val="00EB199F"/>
    <w:rsid w:val="00EB27C4"/>
    <w:rsid w:val="00EB401E"/>
    <w:rsid w:val="00EB5387"/>
    <w:rsid w:val="00EB5C10"/>
    <w:rsid w:val="00EB69C4"/>
    <w:rsid w:val="00EB7322"/>
    <w:rsid w:val="00EB7D7F"/>
    <w:rsid w:val="00EC0FE9"/>
    <w:rsid w:val="00EC1460"/>
    <w:rsid w:val="00EC18F0"/>
    <w:rsid w:val="00EC376E"/>
    <w:rsid w:val="00EC426D"/>
    <w:rsid w:val="00EC4E40"/>
    <w:rsid w:val="00EC571B"/>
    <w:rsid w:val="00EC57D7"/>
    <w:rsid w:val="00EC5A0D"/>
    <w:rsid w:val="00EC6385"/>
    <w:rsid w:val="00ED0BCB"/>
    <w:rsid w:val="00ED1DE9"/>
    <w:rsid w:val="00ED228E"/>
    <w:rsid w:val="00ED23D4"/>
    <w:rsid w:val="00ED2790"/>
    <w:rsid w:val="00ED5546"/>
    <w:rsid w:val="00ED5E0B"/>
    <w:rsid w:val="00ED7242"/>
    <w:rsid w:val="00EE01D6"/>
    <w:rsid w:val="00EE20EA"/>
    <w:rsid w:val="00EE2E51"/>
    <w:rsid w:val="00EE2E8D"/>
    <w:rsid w:val="00EE3714"/>
    <w:rsid w:val="00EE37B6"/>
    <w:rsid w:val="00EE77CA"/>
    <w:rsid w:val="00EE7ADA"/>
    <w:rsid w:val="00EE7D4E"/>
    <w:rsid w:val="00EF0F45"/>
    <w:rsid w:val="00EF1DEC"/>
    <w:rsid w:val="00EF4885"/>
    <w:rsid w:val="00EF7463"/>
    <w:rsid w:val="00F002EF"/>
    <w:rsid w:val="00F00BB2"/>
    <w:rsid w:val="00F01EE9"/>
    <w:rsid w:val="00F02F94"/>
    <w:rsid w:val="00F03F5D"/>
    <w:rsid w:val="00F04572"/>
    <w:rsid w:val="00F04900"/>
    <w:rsid w:val="00F0496A"/>
    <w:rsid w:val="00F065A4"/>
    <w:rsid w:val="00F076E2"/>
    <w:rsid w:val="00F126B9"/>
    <w:rsid w:val="00F12715"/>
    <w:rsid w:val="00F13BF2"/>
    <w:rsid w:val="00F13DF8"/>
    <w:rsid w:val="00F144D5"/>
    <w:rsid w:val="00F146F0"/>
    <w:rsid w:val="00F15039"/>
    <w:rsid w:val="00F1556A"/>
    <w:rsid w:val="00F1659A"/>
    <w:rsid w:val="00F17851"/>
    <w:rsid w:val="00F17B11"/>
    <w:rsid w:val="00F20FF3"/>
    <w:rsid w:val="00F2190B"/>
    <w:rsid w:val="00F2261C"/>
    <w:rsid w:val="00F228B5"/>
    <w:rsid w:val="00F2389C"/>
    <w:rsid w:val="00F24B9E"/>
    <w:rsid w:val="00F252D9"/>
    <w:rsid w:val="00F2567F"/>
    <w:rsid w:val="00F25C67"/>
    <w:rsid w:val="00F27334"/>
    <w:rsid w:val="00F30DFF"/>
    <w:rsid w:val="00F32B80"/>
    <w:rsid w:val="00F340EB"/>
    <w:rsid w:val="00F35285"/>
    <w:rsid w:val="00F35D59"/>
    <w:rsid w:val="00F372E1"/>
    <w:rsid w:val="00F40C72"/>
    <w:rsid w:val="00F42130"/>
    <w:rsid w:val="00F42B29"/>
    <w:rsid w:val="00F43448"/>
    <w:rsid w:val="00F439C2"/>
    <w:rsid w:val="00F43B9D"/>
    <w:rsid w:val="00F44D5E"/>
    <w:rsid w:val="00F4564F"/>
    <w:rsid w:val="00F459C7"/>
    <w:rsid w:val="00F47F61"/>
    <w:rsid w:val="00F50AD7"/>
    <w:rsid w:val="00F52EDD"/>
    <w:rsid w:val="00F53A35"/>
    <w:rsid w:val="00F53B6C"/>
    <w:rsid w:val="00F54EDC"/>
    <w:rsid w:val="00F55A3D"/>
    <w:rsid w:val="00F55E0C"/>
    <w:rsid w:val="00F5744B"/>
    <w:rsid w:val="00F603ED"/>
    <w:rsid w:val="00F6054F"/>
    <w:rsid w:val="00F61209"/>
    <w:rsid w:val="00F616AA"/>
    <w:rsid w:val="00F6259E"/>
    <w:rsid w:val="00F65DD4"/>
    <w:rsid w:val="00F67133"/>
    <w:rsid w:val="00F672A5"/>
    <w:rsid w:val="00F672B2"/>
    <w:rsid w:val="00F67C40"/>
    <w:rsid w:val="00F7060B"/>
    <w:rsid w:val="00F71D64"/>
    <w:rsid w:val="00F720FC"/>
    <w:rsid w:val="00F836B1"/>
    <w:rsid w:val="00F83973"/>
    <w:rsid w:val="00F8599E"/>
    <w:rsid w:val="00F85C00"/>
    <w:rsid w:val="00F86415"/>
    <w:rsid w:val="00F87FA3"/>
    <w:rsid w:val="00F91E8F"/>
    <w:rsid w:val="00F9255C"/>
    <w:rsid w:val="00F93AF8"/>
    <w:rsid w:val="00F93D8C"/>
    <w:rsid w:val="00F94B9B"/>
    <w:rsid w:val="00F953FC"/>
    <w:rsid w:val="00F97197"/>
    <w:rsid w:val="00FA1913"/>
    <w:rsid w:val="00FA3102"/>
    <w:rsid w:val="00FA42BB"/>
    <w:rsid w:val="00FA48D4"/>
    <w:rsid w:val="00FA54FA"/>
    <w:rsid w:val="00FA586C"/>
    <w:rsid w:val="00FA7B51"/>
    <w:rsid w:val="00FB227E"/>
    <w:rsid w:val="00FB271D"/>
    <w:rsid w:val="00FB335E"/>
    <w:rsid w:val="00FB3D61"/>
    <w:rsid w:val="00FB3E38"/>
    <w:rsid w:val="00FB44CE"/>
    <w:rsid w:val="00FB5009"/>
    <w:rsid w:val="00FB76AB"/>
    <w:rsid w:val="00FC1499"/>
    <w:rsid w:val="00FC1AE0"/>
    <w:rsid w:val="00FC3004"/>
    <w:rsid w:val="00FC390D"/>
    <w:rsid w:val="00FC675B"/>
    <w:rsid w:val="00FD03FE"/>
    <w:rsid w:val="00FD126E"/>
    <w:rsid w:val="00FD1671"/>
    <w:rsid w:val="00FD3C36"/>
    <w:rsid w:val="00FD4D81"/>
    <w:rsid w:val="00FD6080"/>
    <w:rsid w:val="00FD7498"/>
    <w:rsid w:val="00FD7E81"/>
    <w:rsid w:val="00FD7FB3"/>
    <w:rsid w:val="00FE0023"/>
    <w:rsid w:val="00FE0A6A"/>
    <w:rsid w:val="00FE43E4"/>
    <w:rsid w:val="00FE4713"/>
    <w:rsid w:val="00FE4920"/>
    <w:rsid w:val="00FE59B8"/>
    <w:rsid w:val="00FE76CE"/>
    <w:rsid w:val="00FF1317"/>
    <w:rsid w:val="00FF1DC1"/>
    <w:rsid w:val="00FF1F44"/>
    <w:rsid w:val="00FF225E"/>
    <w:rsid w:val="00FF3B89"/>
    <w:rsid w:val="00FF4BA8"/>
    <w:rsid w:val="00FF5D88"/>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1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footnote text" w:uiPriority="99"/>
    <w:lsdException w:name="header" w:uiPriority="99"/>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C36066"/>
    <w:pPr>
      <w:spacing w:line="240" w:lineRule="auto"/>
    </w:pPr>
    <w:rPr>
      <w:sz w:val="22"/>
      <w:szCs w:val="20"/>
    </w:rPr>
  </w:style>
  <w:style w:type="character" w:customStyle="1" w:styleId="FootnoteTextChar">
    <w:name w:val="Footnote Text Char"/>
    <w:basedOn w:val="DefaultParagraphFont"/>
    <w:link w:val="FootnoteText"/>
    <w:uiPriority w:val="99"/>
    <w:rsid w:val="00C36066"/>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F02F94"/>
    <w:pPr>
      <w:tabs>
        <w:tab w:val="center" w:pos="4320"/>
        <w:tab w:val="right" w:pos="8640"/>
      </w:tabs>
      <w:spacing w:line="240" w:lineRule="auto"/>
    </w:pPr>
  </w:style>
  <w:style w:type="character" w:customStyle="1" w:styleId="HeaderChar">
    <w:name w:val="Header Char"/>
    <w:basedOn w:val="DefaultParagraphFont"/>
    <w:link w:val="Header"/>
    <w:uiPriority w:val="99"/>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TableGrid">
    <w:name w:val="Table Grid"/>
    <w:basedOn w:val="TableNormal"/>
    <w:uiPriority w:val="59"/>
    <w:rsid w:val="0072019A"/>
    <w:rPr>
      <w:rFonts w:eastAsiaTheme="minorEastAsia"/>
      <w:color w:val="000000"/>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4B09"/>
  </w:style>
  <w:style w:type="paragraph" w:styleId="BalloonText">
    <w:name w:val="Balloon Text"/>
    <w:basedOn w:val="Normal"/>
    <w:link w:val="BalloonTextChar"/>
    <w:rsid w:val="009D170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9D170E"/>
    <w:rPr>
      <w:rFonts w:ascii="Lucida Grande" w:hAnsi="Lucida Grande" w:cs="Lucida Grande"/>
      <w:sz w:val="18"/>
      <w:szCs w:val="18"/>
    </w:rPr>
  </w:style>
  <w:style w:type="character" w:styleId="CommentReference">
    <w:name w:val="annotation reference"/>
    <w:basedOn w:val="DefaultParagraphFont"/>
    <w:rsid w:val="002577FB"/>
    <w:rPr>
      <w:sz w:val="18"/>
      <w:szCs w:val="18"/>
    </w:rPr>
  </w:style>
  <w:style w:type="paragraph" w:styleId="CommentText">
    <w:name w:val="annotation text"/>
    <w:basedOn w:val="Normal"/>
    <w:link w:val="CommentTextChar"/>
    <w:rsid w:val="002577FB"/>
    <w:pPr>
      <w:spacing w:line="240" w:lineRule="auto"/>
    </w:pPr>
  </w:style>
  <w:style w:type="character" w:customStyle="1" w:styleId="CommentTextChar">
    <w:name w:val="Comment Text Char"/>
    <w:basedOn w:val="DefaultParagraphFont"/>
    <w:link w:val="CommentText"/>
    <w:rsid w:val="002577FB"/>
    <w:rPr>
      <w:sz w:val="24"/>
      <w:szCs w:val="24"/>
    </w:rPr>
  </w:style>
  <w:style w:type="paragraph" w:styleId="CommentSubject">
    <w:name w:val="annotation subject"/>
    <w:basedOn w:val="CommentText"/>
    <w:next w:val="CommentText"/>
    <w:link w:val="CommentSubjectChar"/>
    <w:rsid w:val="002577FB"/>
    <w:rPr>
      <w:b/>
      <w:bCs/>
      <w:sz w:val="20"/>
      <w:szCs w:val="20"/>
    </w:rPr>
  </w:style>
  <w:style w:type="character" w:customStyle="1" w:styleId="CommentSubjectChar">
    <w:name w:val="Comment Subject Char"/>
    <w:basedOn w:val="CommentTextChar"/>
    <w:link w:val="CommentSubject"/>
    <w:rsid w:val="002577FB"/>
    <w:rPr>
      <w:b/>
      <w:bCs/>
      <w:sz w:val="24"/>
      <w:szCs w:val="24"/>
    </w:rPr>
  </w:style>
  <w:style w:type="paragraph" w:styleId="Revision">
    <w:name w:val="Revision"/>
    <w:hidden/>
    <w:rsid w:val="00111752"/>
    <w:rPr>
      <w:sz w:val="24"/>
      <w:szCs w:val="24"/>
    </w:rPr>
  </w:style>
  <w:style w:type="paragraph" w:styleId="ListParagraph">
    <w:name w:val="List Paragraph"/>
    <w:basedOn w:val="Normal"/>
    <w:uiPriority w:val="34"/>
    <w:qFormat/>
    <w:rsid w:val="00F86415"/>
    <w:pPr>
      <w:spacing w:after="200" w:line="276"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footnote text" w:uiPriority="99"/>
    <w:lsdException w:name="header" w:uiPriority="99"/>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C36066"/>
    <w:pPr>
      <w:spacing w:line="240" w:lineRule="auto"/>
    </w:pPr>
    <w:rPr>
      <w:sz w:val="22"/>
      <w:szCs w:val="20"/>
    </w:rPr>
  </w:style>
  <w:style w:type="character" w:customStyle="1" w:styleId="FootnoteTextChar">
    <w:name w:val="Footnote Text Char"/>
    <w:basedOn w:val="DefaultParagraphFont"/>
    <w:link w:val="FootnoteText"/>
    <w:uiPriority w:val="99"/>
    <w:rsid w:val="00C36066"/>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F02F94"/>
    <w:pPr>
      <w:tabs>
        <w:tab w:val="center" w:pos="4320"/>
        <w:tab w:val="right" w:pos="8640"/>
      </w:tabs>
      <w:spacing w:line="240" w:lineRule="auto"/>
    </w:pPr>
  </w:style>
  <w:style w:type="character" w:customStyle="1" w:styleId="HeaderChar">
    <w:name w:val="Header Char"/>
    <w:basedOn w:val="DefaultParagraphFont"/>
    <w:link w:val="Header"/>
    <w:uiPriority w:val="99"/>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TableGrid">
    <w:name w:val="Table Grid"/>
    <w:basedOn w:val="TableNormal"/>
    <w:uiPriority w:val="59"/>
    <w:rsid w:val="0072019A"/>
    <w:rPr>
      <w:rFonts w:eastAsiaTheme="minorEastAsia"/>
      <w:color w:val="000000"/>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4B09"/>
  </w:style>
  <w:style w:type="paragraph" w:styleId="BalloonText">
    <w:name w:val="Balloon Text"/>
    <w:basedOn w:val="Normal"/>
    <w:link w:val="BalloonTextChar"/>
    <w:rsid w:val="009D170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9D170E"/>
    <w:rPr>
      <w:rFonts w:ascii="Lucida Grande" w:hAnsi="Lucida Grande" w:cs="Lucida Grande"/>
      <w:sz w:val="18"/>
      <w:szCs w:val="18"/>
    </w:rPr>
  </w:style>
  <w:style w:type="character" w:styleId="CommentReference">
    <w:name w:val="annotation reference"/>
    <w:basedOn w:val="DefaultParagraphFont"/>
    <w:rsid w:val="002577FB"/>
    <w:rPr>
      <w:sz w:val="18"/>
      <w:szCs w:val="18"/>
    </w:rPr>
  </w:style>
  <w:style w:type="paragraph" w:styleId="CommentText">
    <w:name w:val="annotation text"/>
    <w:basedOn w:val="Normal"/>
    <w:link w:val="CommentTextChar"/>
    <w:rsid w:val="002577FB"/>
    <w:pPr>
      <w:spacing w:line="240" w:lineRule="auto"/>
    </w:pPr>
  </w:style>
  <w:style w:type="character" w:customStyle="1" w:styleId="CommentTextChar">
    <w:name w:val="Comment Text Char"/>
    <w:basedOn w:val="DefaultParagraphFont"/>
    <w:link w:val="CommentText"/>
    <w:rsid w:val="002577FB"/>
    <w:rPr>
      <w:sz w:val="24"/>
      <w:szCs w:val="24"/>
    </w:rPr>
  </w:style>
  <w:style w:type="paragraph" w:styleId="CommentSubject">
    <w:name w:val="annotation subject"/>
    <w:basedOn w:val="CommentText"/>
    <w:next w:val="CommentText"/>
    <w:link w:val="CommentSubjectChar"/>
    <w:rsid w:val="002577FB"/>
    <w:rPr>
      <w:b/>
      <w:bCs/>
      <w:sz w:val="20"/>
      <w:szCs w:val="20"/>
    </w:rPr>
  </w:style>
  <w:style w:type="character" w:customStyle="1" w:styleId="CommentSubjectChar">
    <w:name w:val="Comment Subject Char"/>
    <w:basedOn w:val="CommentTextChar"/>
    <w:link w:val="CommentSubject"/>
    <w:rsid w:val="002577FB"/>
    <w:rPr>
      <w:b/>
      <w:bCs/>
      <w:sz w:val="24"/>
      <w:szCs w:val="24"/>
    </w:rPr>
  </w:style>
  <w:style w:type="paragraph" w:styleId="Revision">
    <w:name w:val="Revision"/>
    <w:hidden/>
    <w:rsid w:val="00111752"/>
    <w:rPr>
      <w:sz w:val="24"/>
      <w:szCs w:val="24"/>
    </w:rPr>
  </w:style>
  <w:style w:type="paragraph" w:styleId="ListParagraph">
    <w:name w:val="List Paragraph"/>
    <w:basedOn w:val="Normal"/>
    <w:uiPriority w:val="34"/>
    <w:qFormat/>
    <w:rsid w:val="00F86415"/>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80503258">
      <w:bodyDiv w:val="1"/>
      <w:marLeft w:val="0"/>
      <w:marRight w:val="0"/>
      <w:marTop w:val="0"/>
      <w:marBottom w:val="0"/>
      <w:divBdr>
        <w:top w:val="none" w:sz="0" w:space="0" w:color="auto"/>
        <w:left w:val="none" w:sz="0" w:space="0" w:color="auto"/>
        <w:bottom w:val="none" w:sz="0" w:space="0" w:color="auto"/>
        <w:right w:val="none" w:sz="0" w:space="0" w:color="auto"/>
      </w:divBdr>
    </w:div>
    <w:div w:id="985162999">
      <w:bodyDiv w:val="1"/>
      <w:marLeft w:val="0"/>
      <w:marRight w:val="0"/>
      <w:marTop w:val="0"/>
      <w:marBottom w:val="0"/>
      <w:divBdr>
        <w:top w:val="none" w:sz="0" w:space="0" w:color="auto"/>
        <w:left w:val="none" w:sz="0" w:space="0" w:color="auto"/>
        <w:bottom w:val="none" w:sz="0" w:space="0" w:color="auto"/>
        <w:right w:val="none" w:sz="0" w:space="0" w:color="auto"/>
      </w:divBdr>
    </w:div>
    <w:div w:id="1080446233">
      <w:bodyDiv w:val="1"/>
      <w:marLeft w:val="0"/>
      <w:marRight w:val="0"/>
      <w:marTop w:val="0"/>
      <w:marBottom w:val="0"/>
      <w:divBdr>
        <w:top w:val="none" w:sz="0" w:space="0" w:color="auto"/>
        <w:left w:val="none" w:sz="0" w:space="0" w:color="auto"/>
        <w:bottom w:val="none" w:sz="0" w:space="0" w:color="auto"/>
        <w:right w:val="none" w:sz="0" w:space="0" w:color="auto"/>
      </w:divBdr>
    </w:div>
    <w:div w:id="1341934797">
      <w:bodyDiv w:val="1"/>
      <w:marLeft w:val="0"/>
      <w:marRight w:val="0"/>
      <w:marTop w:val="0"/>
      <w:marBottom w:val="0"/>
      <w:divBdr>
        <w:top w:val="none" w:sz="0" w:space="0" w:color="auto"/>
        <w:left w:val="none" w:sz="0" w:space="0" w:color="auto"/>
        <w:bottom w:val="none" w:sz="0" w:space="0" w:color="auto"/>
        <w:right w:val="none" w:sz="0" w:space="0" w:color="auto"/>
      </w:divBdr>
    </w:div>
    <w:div w:id="1607497554">
      <w:bodyDiv w:val="1"/>
      <w:marLeft w:val="0"/>
      <w:marRight w:val="0"/>
      <w:marTop w:val="0"/>
      <w:marBottom w:val="0"/>
      <w:divBdr>
        <w:top w:val="none" w:sz="0" w:space="0" w:color="auto"/>
        <w:left w:val="none" w:sz="0" w:space="0" w:color="auto"/>
        <w:bottom w:val="none" w:sz="0" w:space="0" w:color="auto"/>
        <w:right w:val="none" w:sz="0" w:space="0" w:color="auto"/>
      </w:divBdr>
    </w:div>
    <w:div w:id="1968929128">
      <w:bodyDiv w:val="1"/>
      <w:marLeft w:val="0"/>
      <w:marRight w:val="0"/>
      <w:marTop w:val="0"/>
      <w:marBottom w:val="0"/>
      <w:divBdr>
        <w:top w:val="none" w:sz="0" w:space="0" w:color="auto"/>
        <w:left w:val="none" w:sz="0" w:space="0" w:color="auto"/>
        <w:bottom w:val="none" w:sz="0" w:space="0" w:color="auto"/>
        <w:right w:val="none" w:sz="0" w:space="0" w:color="auto"/>
      </w:divBdr>
    </w:div>
    <w:div w:id="20871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F194-A26F-42B3-929E-08461F5A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TF_Template_Word_Mac_2011</vt:lpstr>
    </vt:vector>
  </TitlesOfParts>
  <Company>OTS Support Desk</Company>
  <LinksUpToDate>false</LinksUpToDate>
  <CharactersWithSpaces>7549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creator>Jon Murphy</dc:creator>
  <cp:lastModifiedBy>Murphy, Jonathan W. (LT)</cp:lastModifiedBy>
  <cp:revision>3</cp:revision>
  <cp:lastPrinted>2011-07-22T14:54:00Z</cp:lastPrinted>
  <dcterms:created xsi:type="dcterms:W3CDTF">2017-12-12T20:44:00Z</dcterms:created>
  <dcterms:modified xsi:type="dcterms:W3CDTF">2017-12-12T20:46:00Z</dcterms:modified>
</cp:coreProperties>
</file>