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/>
          <w:bCs/>
          <w:i w:val="0"/>
          <w:caps w:val="0"/>
          <w:color w:val="0000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Additional file 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33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/>
          <w:bCs/>
          <w:i w:val="0"/>
          <w:caps w:val="0"/>
          <w:color w:val="0000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szCs w:val="21"/>
          <w:u w:val="none"/>
          <w:lang w:val="en-GB"/>
        </w:rPr>
        <w:t xml:space="preserve">The influence of ATP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u w:val="none"/>
          <w:lang w:val="en-GB"/>
          <w14:textFill>
            <w14:solidFill>
              <w14:schemeClr w14:val="tx1"/>
            </w14:solidFill>
          </w14:textFill>
        </w:rPr>
        <w:t>and</w:t>
      </w:r>
      <w:r>
        <w:rPr>
          <w:rFonts w:hint="default" w:ascii="Times New Roman" w:hAnsi="Times New Roman" w:eastAsia="宋体" w:cs="Times New Roman"/>
          <w:color w:val="FF0000"/>
          <w:szCs w:val="21"/>
          <w:u w:val="none"/>
          <w:lang w:val="en-GB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u w:val="none"/>
          <w:lang w:val="en-GB"/>
        </w:rPr>
        <w:t>Bax on</w:t>
      </w:r>
      <w:r>
        <w:rPr>
          <w:rFonts w:hint="default" w:ascii="Times New Roman" w:hAnsi="Times New Roman" w:eastAsia="宋体" w:cs="Times New Roman"/>
          <w:color w:val="FF0000"/>
          <w:szCs w:val="21"/>
          <w:u w:val="none"/>
          <w:lang w:val="en-GB"/>
        </w:rPr>
        <w:t xml:space="preserve"> </w:t>
      </w:r>
      <w:r>
        <w:rPr>
          <w:rFonts w:hint="default" w:ascii="Times New Roman" w:hAnsi="Times New Roman" w:eastAsia="宋体" w:cs="Times New Roman"/>
          <w:szCs w:val="21"/>
          <w:u w:val="none"/>
          <w:lang w:val="en-GB"/>
        </w:rPr>
        <w:t xml:space="preserve">the rate of early apoptosis of </w:t>
      </w:r>
      <w:r>
        <w:rPr>
          <w:rFonts w:hint="default" w:ascii="Times New Roman" w:hAnsi="Times New Roman" w:eastAsia="宋体" w:cs="Times New Roman"/>
          <w:i/>
          <w:szCs w:val="21"/>
          <w:u w:val="none"/>
          <w:lang w:val="en-GB"/>
        </w:rPr>
        <w:t xml:space="preserve">E. tenella </w:t>
      </w:r>
      <w:r>
        <w:rPr>
          <w:rFonts w:hint="default" w:ascii="Times New Roman" w:hAnsi="Times New Roman" w:eastAsia="宋体" w:cs="Times New Roman"/>
          <w:szCs w:val="21"/>
          <w:u w:val="none"/>
          <w:lang w:val="en-GB"/>
        </w:rPr>
        <w:t>host cells</w:t>
      </w:r>
      <w:r>
        <w:rPr>
          <w:rFonts w:hint="eastAsia" w:ascii="Times New Roman" w:hAnsi="Times New Roman" w:eastAsia="宋体" w:cs="Times New Roman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u w:val="none"/>
          <w:lang w:val="en-GB"/>
        </w:rPr>
        <w:t>by flow cytometry</w:t>
      </w:r>
      <w:r>
        <w:rPr>
          <w:rFonts w:hint="default" w:ascii="Times New Roman" w:hAnsi="Times New Roman" w:eastAsia="宋体" w:cs="Times New Roman"/>
          <w:szCs w:val="21"/>
          <w:u w:val="none"/>
          <w:lang w:val="en-GB"/>
        </w:rPr>
        <w:t xml:space="preserve">. 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10" w:tblpY="30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ind w:firstLine="630" w:firstLineChars="300"/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Time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T0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T1</w:t>
            </w: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4h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7.47±0.19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6.41±0.45*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5.40±0.50+</w:t>
            </w: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6.15±0.19#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24h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2.67±0.22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5.25±0.43**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3.83±0.31++</w:t>
            </w: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3.64±0.13##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48h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3.50±0.20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6.88±0.68**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4.96±0.34++</w:t>
            </w: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5.11±0.18#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72h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4.38±0.21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6.27±0.58**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4.88±0.46+</w:t>
            </w: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4.19±0.42##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96h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7.82±0.53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9.97±0.24**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6.37±0.99++</w:t>
            </w: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6.18±0.21##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120h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7.96±0.66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11.90±0.36**</w:t>
            </w:r>
          </w:p>
        </w:tc>
        <w:tc>
          <w:tcPr>
            <w:tcW w:w="170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9.00±1.63+</w:t>
            </w: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7.47±0.65##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4E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SGullive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io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dvTT86d47313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TT86d47313+0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rtel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29D77CFB" w:usb2="00000012" w:usb3="00000000" w:csb0="0008008D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ber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235d5a9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Y273+ZDKBf4-27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30734"/>
    <w:rsid w:val="22730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2017-11-24T04:57:00Z</dcterms:created>
  <dc:creator>大西瓜</dc:creator>
  <cp:lastModifiedBy>大西瓜</cp:lastModifiedBy>
  <dcterms:modified xsi:type="dcterms:W3CDTF">2017-11-24T04:58:19Z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