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2B6" w:rsidRPr="00DC4083" w:rsidRDefault="00DC4083">
      <w:pPr>
        <w:rPr>
          <w:u w:val="single"/>
        </w:rPr>
      </w:pPr>
      <w:bookmarkStart w:id="0" w:name="_GoBack"/>
      <w:bookmarkEnd w:id="0"/>
      <w:r w:rsidRPr="00DC4083">
        <w:rPr>
          <w:u w:val="single"/>
        </w:rPr>
        <w:t>Supplementary Information</w:t>
      </w:r>
    </w:p>
    <w:p w:rsidR="00DC4083" w:rsidRPr="00DC4083" w:rsidRDefault="00DC4083" w:rsidP="00DC4083">
      <w:pPr>
        <w:rPr>
          <w:u w:val="single"/>
        </w:rPr>
      </w:pPr>
      <w:r w:rsidRPr="00DC4083">
        <w:rPr>
          <w:u w:val="single"/>
        </w:rPr>
        <w:t>Depth model Constraints</w:t>
      </w:r>
    </w:p>
    <w:p w:rsidR="00DC4083" w:rsidRDefault="00DC4083" w:rsidP="00DC4083">
      <w:r>
        <w:t xml:space="preserve">The </w:t>
      </w:r>
      <w:r w:rsidR="001351BD">
        <w:t xml:space="preserve">depth model covers a </w:t>
      </w:r>
      <w:r>
        <w:t>500 km</w:t>
      </w:r>
      <w:r w:rsidRPr="00401571">
        <w:rPr>
          <w:vertAlign w:val="superscript"/>
        </w:rPr>
        <w:t>2</w:t>
      </w:r>
      <w:r>
        <w:t xml:space="preserve"> area at a gridding resolution of 5 km for key sequence stratigraphic depth surfaces. </w:t>
      </w:r>
      <w:r w:rsidR="001351BD">
        <w:t>Additional surfaces were interpolated between the key depth surfaces in order to capture the structure at a 2</w:t>
      </w:r>
      <w:r w:rsidR="001351BD" w:rsidRPr="000616E0">
        <w:rPr>
          <w:vertAlign w:val="superscript"/>
        </w:rPr>
        <w:t>nd</w:t>
      </w:r>
      <w:r w:rsidR="001351BD">
        <w:t xml:space="preserve"> order sequence stratigraphic interval within the geological framework of the basin</w:t>
      </w:r>
      <w:r w:rsidR="0042597E">
        <w:t>. The model inputs include s</w:t>
      </w:r>
      <w:r>
        <w:t xml:space="preserve">tructural depth maps from Anderson </w:t>
      </w:r>
      <w:r w:rsidRPr="00673975">
        <w:rPr>
          <w:i/>
        </w:rPr>
        <w:t>et al.</w:t>
      </w:r>
      <w:r>
        <w:t xml:space="preserve"> (2013) and Isopach maps from </w:t>
      </w:r>
      <w:r>
        <w:rPr>
          <w:rFonts w:cs="Arial"/>
          <w:lang w:val="en-GB"/>
        </w:rPr>
        <w:t xml:space="preserve">Walford </w:t>
      </w:r>
      <w:r w:rsidRPr="00673975">
        <w:rPr>
          <w:rFonts w:cs="Arial"/>
          <w:i/>
          <w:lang w:val="en-GB"/>
        </w:rPr>
        <w:t>et al.</w:t>
      </w:r>
      <w:r>
        <w:rPr>
          <w:rFonts w:cs="Arial"/>
          <w:lang w:val="en-GB"/>
        </w:rPr>
        <w:t xml:space="preserve"> (2005)</w:t>
      </w:r>
      <w:r>
        <w:t xml:space="preserve"> </w:t>
      </w:r>
      <w:r w:rsidR="0042597E">
        <w:t xml:space="preserve">that </w:t>
      </w:r>
      <w:r>
        <w:t xml:space="preserve">were used to calculate the depth surfaces over the Zambezi Delta Depression and Beira High. The onshore extent of the model was constrained using the surface geology map from Pekkala </w:t>
      </w:r>
      <w:r w:rsidRPr="00673975">
        <w:rPr>
          <w:i/>
        </w:rPr>
        <w:t>et al.</w:t>
      </w:r>
      <w:r>
        <w:t xml:space="preserve"> (2008). Where strata of a certain age reach the surface the digital elevation model (DEM) is used to constrain the correct depth relative to sea level of surfaces in the model. Well data from the region (Kamen-Kaye, 1982; De Buyl and Flores, 1984; Salman and Abdula, 1995) were included in the model,</w:t>
      </w:r>
      <w:r w:rsidRPr="00555036">
        <w:t xml:space="preserve"> </w:t>
      </w:r>
      <w:r>
        <w:t xml:space="preserve">however they are simplified wells sticks without wireline logs and so they are lower confidence data sources. The locations of the major regional faults were defined from (Flores, 1973; Kamen-Kaye 1982; Hiller, 1995; Mahanjane, 2012, Anderson et al., 2013) and their depths were included schematically using cross sections from Trueblood (2013) and Zacarias (2009) and a seismic section from </w:t>
      </w:r>
      <w:r>
        <w:rPr>
          <w:lang w:val="en-GB"/>
        </w:rPr>
        <w:t>Mahanjane (2012). This seismic section was</w:t>
      </w:r>
      <w:r>
        <w:t xml:space="preserve"> converted with a basic time-depth calculation using the total depth of the</w:t>
      </w:r>
      <w:r w:rsidRPr="005E3FF5">
        <w:rPr>
          <w:lang w:val="en-GB"/>
        </w:rPr>
        <w:t xml:space="preserve"> Zambezi</w:t>
      </w:r>
      <w:r>
        <w:rPr>
          <w:lang w:val="en-GB"/>
        </w:rPr>
        <w:t xml:space="preserve"> -3 well (</w:t>
      </w:r>
      <w:r>
        <w:t>Kamen-Kaye, 1982</w:t>
      </w:r>
      <w:r>
        <w:rPr>
          <w:lang w:val="en-GB"/>
        </w:rPr>
        <w:t xml:space="preserve">) and then extrapolated </w:t>
      </w:r>
      <w:r w:rsidR="00A82F40">
        <w:rPr>
          <w:lang w:val="en-GB"/>
        </w:rPr>
        <w:t>over</w:t>
      </w:r>
      <w:r>
        <w:rPr>
          <w:lang w:val="en-GB"/>
        </w:rPr>
        <w:t xml:space="preserve"> the remaining extent of the section</w:t>
      </w:r>
      <w:r>
        <w:t>.</w:t>
      </w:r>
    </w:p>
    <w:p w:rsidR="00DC4083" w:rsidRDefault="00DC4083" w:rsidP="00DC4083">
      <w:pPr>
        <w:rPr>
          <w:b/>
          <w:u w:val="single"/>
        </w:rPr>
      </w:pPr>
      <w:r w:rsidRPr="00555036">
        <w:rPr>
          <w:u w:val="single"/>
        </w:rPr>
        <w:t>Source rock</w:t>
      </w:r>
      <w:r>
        <w:rPr>
          <w:b/>
          <w:u w:val="single"/>
        </w:rPr>
        <w:t xml:space="preserve"> </w:t>
      </w:r>
      <w:r>
        <w:rPr>
          <w:u w:val="single"/>
        </w:rPr>
        <w:t>d</w:t>
      </w:r>
      <w:r w:rsidRPr="00555036">
        <w:rPr>
          <w:u w:val="single"/>
        </w:rPr>
        <w:t>efinitions</w:t>
      </w:r>
    </w:p>
    <w:p w:rsidR="00DC4083" w:rsidRDefault="00DC4083" w:rsidP="00CF76CC">
      <w:pPr>
        <w:spacing w:after="0"/>
      </w:pPr>
      <w:r>
        <w:t>Although the source rock remains unpenetrated, a reasonable definition of properties for each source rock was achieved using the regional understanding of the key drivers and controls on the depositional environments to assign the following organofacies (ORGAS source rock schema, Pepper and Corvi,1995).</w:t>
      </w:r>
    </w:p>
    <w:p w:rsidR="00DC4083" w:rsidRDefault="00DC4083" w:rsidP="00CF76CC">
      <w:pPr>
        <w:spacing w:after="0"/>
      </w:pPr>
    </w:p>
    <w:p w:rsidR="00DC4083" w:rsidRDefault="0003080A" w:rsidP="00CF76CC">
      <w:pPr>
        <w:pStyle w:val="ListParagraph"/>
        <w:numPr>
          <w:ilvl w:val="0"/>
          <w:numId w:val="1"/>
        </w:numPr>
        <w:spacing w:after="0"/>
      </w:pPr>
      <w:r>
        <w:t>Bajocian</w:t>
      </w:r>
      <w:r w:rsidR="00DC4083">
        <w:t xml:space="preserve"> lacustrine and rift restricted shales: Organofacies C (~Type I).</w:t>
      </w:r>
    </w:p>
    <w:p w:rsidR="00DC4083" w:rsidRDefault="0003080A" w:rsidP="00CF76CC">
      <w:pPr>
        <w:pStyle w:val="ListParagraph"/>
        <w:numPr>
          <w:ilvl w:val="0"/>
          <w:numId w:val="1"/>
        </w:numPr>
        <w:spacing w:after="0"/>
      </w:pPr>
      <w:r>
        <w:t xml:space="preserve">Kimmeridgian </w:t>
      </w:r>
      <w:r w:rsidR="00DC4083">
        <w:t>deep marine shales (known as the Lupata Equivalent): Organofacies B (~Type II).</w:t>
      </w:r>
    </w:p>
    <w:p w:rsidR="00DC4083" w:rsidRDefault="00DC4083" w:rsidP="00CF76CC">
      <w:pPr>
        <w:pStyle w:val="ListParagraph"/>
        <w:numPr>
          <w:ilvl w:val="0"/>
          <w:numId w:val="1"/>
        </w:numPr>
        <w:spacing w:after="0"/>
      </w:pPr>
      <w:r>
        <w:t xml:space="preserve">Early </w:t>
      </w:r>
      <w:r w:rsidR="0003080A">
        <w:t>Aptian</w:t>
      </w:r>
      <w:r>
        <w:t xml:space="preserve"> deep marine shales</w:t>
      </w:r>
      <w:r w:rsidR="0003080A">
        <w:t xml:space="preserve"> (known as the Lower Domo Shales)</w:t>
      </w:r>
      <w:r>
        <w:t>: Organofacies B (~Type II).</w:t>
      </w:r>
    </w:p>
    <w:p w:rsidR="00DC4083" w:rsidRDefault="00DC4083" w:rsidP="00CF76CC">
      <w:pPr>
        <w:spacing w:after="0"/>
      </w:pPr>
    </w:p>
    <w:p w:rsidR="00DC4083" w:rsidRDefault="00DC4083" w:rsidP="00CF76CC">
      <w:pPr>
        <w:spacing w:after="0"/>
      </w:pPr>
      <w:r>
        <w:t>Initial Total Organic Carbon (TOC) and Initial Hydrogen Index (HI) values were assigned to each source rock using global averages for the different kerogen type, because of the lack of sufficient measured data from analogues in East Africa for source rocks of this age.</w:t>
      </w:r>
    </w:p>
    <w:p w:rsidR="00327079" w:rsidRDefault="00327079" w:rsidP="00CF76CC">
      <w:pPr>
        <w:spacing w:after="0"/>
      </w:pPr>
    </w:p>
    <w:p w:rsidR="00327079" w:rsidRDefault="008008F3" w:rsidP="00CF76CC">
      <w:pPr>
        <w:spacing w:after="0"/>
        <w:rPr>
          <w:u w:val="single"/>
        </w:rPr>
      </w:pPr>
      <w:r>
        <w:rPr>
          <w:u w:val="single"/>
        </w:rPr>
        <w:t>Proprietary modelling s</w:t>
      </w:r>
      <w:r w:rsidR="00327079">
        <w:rPr>
          <w:u w:val="single"/>
        </w:rPr>
        <w:t>oftware details</w:t>
      </w:r>
    </w:p>
    <w:p w:rsidR="00327079" w:rsidRDefault="008008F3" w:rsidP="00B7568B">
      <w:pPr>
        <w:spacing w:after="0"/>
      </w:pPr>
      <w:r>
        <w:t xml:space="preserve">The modelling software that was used in this project is proprietary to Landmark, Halliburton. The 3D modelling software that was used </w:t>
      </w:r>
      <w:r w:rsidR="002C7CC5">
        <w:t xml:space="preserve">to build the structural framework was </w:t>
      </w:r>
      <w:r w:rsidR="00327079">
        <w:t>DecisionSpace Geoscience™</w:t>
      </w:r>
      <w:r w:rsidR="00B7568B">
        <w:t xml:space="preserve"> version </w:t>
      </w:r>
      <w:r w:rsidR="00881F68">
        <w:t>5000.10.0.06</w:t>
      </w:r>
      <w:r w:rsidR="00327079">
        <w:t xml:space="preserve">. </w:t>
      </w:r>
      <w:r w:rsidR="0003080A">
        <w:t>The petroleum systems modelling software used to build the basin model was Permedia</w:t>
      </w:r>
      <w:r w:rsidR="0003080A" w:rsidRPr="0003080A">
        <w:rPr>
          <w:vertAlign w:val="superscript"/>
        </w:rPr>
        <w:t>TM</w:t>
      </w:r>
      <w:r w:rsidR="0003080A">
        <w:t xml:space="preserve"> version 5000.12. </w:t>
      </w:r>
    </w:p>
    <w:p w:rsidR="0003080A" w:rsidRPr="0003080A" w:rsidRDefault="0003080A" w:rsidP="00B7568B">
      <w:pPr>
        <w:spacing w:after="0"/>
      </w:pPr>
    </w:p>
    <w:p w:rsidR="002C7CC5" w:rsidRDefault="002C7CC5" w:rsidP="00CF76CC">
      <w:pPr>
        <w:spacing w:after="0"/>
      </w:pPr>
      <w:r>
        <w:t xml:space="preserve">The depth surfaces were </w:t>
      </w:r>
      <w:r w:rsidR="00B7568B">
        <w:t>created within the</w:t>
      </w:r>
      <w:r>
        <w:t xml:space="preserve"> structural framework using the Dynamic Framework to Fill® tool. This modelling tool allows many depth surfaces to be built simultaneously as part of the same </w:t>
      </w:r>
      <w:r>
        <w:lastRenderedPageBreak/>
        <w:t>model and so it is possible to automatically update the entire model whenever there are changes to the input data. This tool also uses geological principles, such as conformance, to define the relationships between surfaces and so adds geological intelligence to the model. For example, a surface that is defined as an unconformity in the model will truncate other modelled surfaces.</w:t>
      </w:r>
    </w:p>
    <w:p w:rsidR="00B7568B" w:rsidRDefault="00B7568B" w:rsidP="00B7568B">
      <w:pPr>
        <w:spacing w:after="0"/>
      </w:pPr>
      <w:r>
        <w:t>Landmark’s petroleum system modelling software, Permedia</w:t>
      </w:r>
      <w:r w:rsidRPr="000616E0">
        <w:rPr>
          <w:vertAlign w:val="superscript"/>
        </w:rPr>
        <w:t>TM</w:t>
      </w:r>
      <w:r>
        <w:rPr>
          <w:vertAlign w:val="superscript"/>
        </w:rPr>
        <w:t xml:space="preserve"> </w:t>
      </w:r>
      <w:r>
        <w:t>w</w:t>
      </w:r>
      <w:r w:rsidR="00A4229F">
        <w:t>as used for the basin modelling.</w:t>
      </w:r>
    </w:p>
    <w:p w:rsidR="00AE37E4" w:rsidRDefault="00AE37E4" w:rsidP="00B7568B">
      <w:pPr>
        <w:spacing w:after="0"/>
      </w:pPr>
    </w:p>
    <w:p w:rsidR="00AE37E4" w:rsidRPr="00816EFB" w:rsidRDefault="00AE37E4" w:rsidP="00B7568B">
      <w:pPr>
        <w:spacing w:after="0"/>
        <w:rPr>
          <w:u w:val="single"/>
        </w:rPr>
      </w:pPr>
      <w:r w:rsidRPr="00816EFB">
        <w:rPr>
          <w:u w:val="single"/>
        </w:rPr>
        <w:t>Neftex Exploration Insights Global Sequence Stratigraphic Model</w:t>
      </w:r>
    </w:p>
    <w:p w:rsidR="00AE37E4" w:rsidRDefault="00816EFB" w:rsidP="00B7568B">
      <w:pPr>
        <w:spacing w:after="0"/>
      </w:pPr>
      <w:r>
        <w:t>Landmark’s proprietary global sequence stratigraphic model recognizes specific geological events related to eustatic changes in sea-level rather than using lithostratigraphic units to define strata. In this way the strata can be correlated globally.</w:t>
      </w:r>
    </w:p>
    <w:p w:rsidR="00AE37E4" w:rsidRDefault="00AE37E4" w:rsidP="00B7568B">
      <w:pPr>
        <w:spacing w:after="0"/>
      </w:pPr>
    </w:p>
    <w:p w:rsidR="00B7568B" w:rsidRPr="00327079" w:rsidRDefault="00B7568B" w:rsidP="00CF76CC">
      <w:pPr>
        <w:spacing w:after="0"/>
        <w:rPr>
          <w:u w:val="single"/>
        </w:rPr>
      </w:pPr>
    </w:p>
    <w:p w:rsidR="00327079" w:rsidRDefault="00327079" w:rsidP="00CF76CC">
      <w:pPr>
        <w:spacing w:after="0"/>
      </w:pPr>
    </w:p>
    <w:p w:rsidR="005B6590" w:rsidRPr="005B6590" w:rsidRDefault="005B6590" w:rsidP="00CF76CC">
      <w:pPr>
        <w:spacing w:after="0"/>
        <w:rPr>
          <w:u w:val="single"/>
        </w:rPr>
      </w:pPr>
      <w:r w:rsidRPr="005B6590">
        <w:rPr>
          <w:u w:val="single"/>
        </w:rPr>
        <w:t>Supplementary information references</w:t>
      </w:r>
    </w:p>
    <w:p w:rsidR="000B3A05" w:rsidRPr="003B3D9C" w:rsidRDefault="000B3A05" w:rsidP="000B3A05">
      <w:pPr>
        <w:pStyle w:val="Body"/>
        <w:rPr>
          <w:rFonts w:cs="GillSansMT"/>
        </w:rPr>
      </w:pPr>
      <w:r w:rsidRPr="003B3D9C">
        <w:t>Anderson, L., Caillot, A.</w:t>
      </w:r>
      <w:r>
        <w:t>,</w:t>
      </w:r>
      <w:r w:rsidRPr="003B3D9C">
        <w:t xml:space="preserve"> Gatter, L.</w:t>
      </w:r>
      <w:r>
        <w:t xml:space="preserve">, </w:t>
      </w:r>
      <w:r w:rsidRPr="002C782F">
        <w:t>Barrere, C.</w:t>
      </w:r>
      <w:r>
        <w:t>,</w:t>
      </w:r>
      <w:r w:rsidRPr="002C782F">
        <w:t xml:space="preserve"> Grimmer</w:t>
      </w:r>
      <w:r>
        <w:t>,</w:t>
      </w:r>
      <w:r w:rsidRPr="002C782F">
        <w:t xml:space="preserve"> J. and Mahanjane</w:t>
      </w:r>
      <w:r>
        <w:t xml:space="preserve">, </w:t>
      </w:r>
      <w:r w:rsidRPr="002C782F">
        <w:t xml:space="preserve">E.S. </w:t>
      </w:r>
      <w:r w:rsidRPr="003B3D9C">
        <w:t xml:space="preserve">2013. Rifting of the Zambezi Delta Region, Northern Mozambique Basin and Its Implications for a Jurassic Marine Source Rock. </w:t>
      </w:r>
      <w:r>
        <w:t xml:space="preserve">Presented at the </w:t>
      </w:r>
      <w:r w:rsidRPr="003B3D9C">
        <w:t>12th PESGB/HGS Conference on African E&amp;P, London</w:t>
      </w:r>
      <w:r>
        <w:t>, United Kingdom,</w:t>
      </w:r>
      <w:r w:rsidRPr="003B3D9C">
        <w:t xml:space="preserve"> </w:t>
      </w:r>
      <w:r>
        <w:t>10–12 September.</w:t>
      </w:r>
    </w:p>
    <w:p w:rsidR="000B3A05" w:rsidRDefault="000B3A05" w:rsidP="000B3A05">
      <w:pPr>
        <w:pStyle w:val="Body"/>
      </w:pPr>
      <w:r w:rsidRPr="003B3D9C">
        <w:t>De Buyl, M. and Flores</w:t>
      </w:r>
      <w:r>
        <w:t>,</w:t>
      </w:r>
      <w:r w:rsidRPr="003B3D9C">
        <w:t xml:space="preserve"> G. 198</w:t>
      </w:r>
      <w:r>
        <w:t>6</w:t>
      </w:r>
      <w:r w:rsidRPr="003B3D9C">
        <w:t xml:space="preserve">. The Southern Mozambique Basin: The Most Promising Hydrocarbon Province Offshore East Africa. </w:t>
      </w:r>
      <w:r w:rsidRPr="0060509C">
        <w:rPr>
          <w:i/>
        </w:rPr>
        <w:t>In:</w:t>
      </w:r>
      <w:r w:rsidRPr="003B3D9C">
        <w:t xml:space="preserve"> M.T. Halbouty (Ed.), </w:t>
      </w:r>
      <w:r w:rsidRPr="0060509C">
        <w:rPr>
          <w:i/>
        </w:rPr>
        <w:t>Future Petroleum Provinces of the World</w:t>
      </w:r>
      <w:r w:rsidRPr="003B3D9C">
        <w:t>, 399</w:t>
      </w:r>
      <w:r>
        <w:t>–</w:t>
      </w:r>
      <w:r w:rsidRPr="003B3D9C">
        <w:t>425.</w:t>
      </w:r>
    </w:p>
    <w:p w:rsidR="005B6590" w:rsidRDefault="005B6590" w:rsidP="005B6590">
      <w:r w:rsidRPr="00F94D5D">
        <w:t xml:space="preserve">Flores, G. 1973. The Cretaceous and Tertiary sedimentary Basins of Mozambique and Zululand. In G. Blant (Eds.), Sedimentary Basins of the African Coasts: 2nd part. South and East Coast, p. 81-111. </w:t>
      </w:r>
    </w:p>
    <w:p w:rsidR="005B6590" w:rsidRDefault="005B6590" w:rsidP="005B6590">
      <w:r w:rsidRPr="00F94D5D">
        <w:t>Hiller, K. 1995. Malawi. In H. Kulke (Eds.), Regional petroleum geology of the world; Part II, Africa, Ame</w:t>
      </w:r>
      <w:r w:rsidR="00A046C8">
        <w:t>rica, Australia and Antarctica. Regionale Erdoel</w:t>
      </w:r>
      <w:r w:rsidRPr="00F94D5D">
        <w:t xml:space="preserve"> und Erdgasgeologie der Erde; Teil I, p. 239-244. </w:t>
      </w:r>
    </w:p>
    <w:p w:rsidR="000B3A05" w:rsidRPr="003B3D9C" w:rsidRDefault="000B3A05" w:rsidP="000B3A05">
      <w:pPr>
        <w:pStyle w:val="Body"/>
      </w:pPr>
      <w:r w:rsidRPr="003B3D9C">
        <w:t>Kamen-Kaye, M.</w:t>
      </w:r>
      <w:r>
        <w:t xml:space="preserve"> 1982. Mozambique - Madagascar G</w:t>
      </w:r>
      <w:r w:rsidRPr="003B3D9C">
        <w:t xml:space="preserve">eosyncline, I: Deposition and Architecture. </w:t>
      </w:r>
      <w:r w:rsidRPr="001A6C90">
        <w:rPr>
          <w:i/>
        </w:rPr>
        <w:t>Journal of Petroleum Geology</w:t>
      </w:r>
      <w:r w:rsidRPr="003B3D9C">
        <w:t xml:space="preserve">, </w:t>
      </w:r>
      <w:r w:rsidRPr="00DB2481">
        <w:rPr>
          <w:b/>
        </w:rPr>
        <w:t>5</w:t>
      </w:r>
      <w:r w:rsidRPr="003B3D9C">
        <w:t xml:space="preserve"> </w:t>
      </w:r>
      <w:r>
        <w:t>(</w:t>
      </w:r>
      <w:r w:rsidRPr="003B3D9C">
        <w:t>1</w:t>
      </w:r>
      <w:r>
        <w:t>),</w:t>
      </w:r>
      <w:r w:rsidRPr="003B3D9C">
        <w:t xml:space="preserve"> 3</w:t>
      </w:r>
      <w:r>
        <w:t>–</w:t>
      </w:r>
      <w:r w:rsidRPr="003B3D9C">
        <w:t>30.</w:t>
      </w:r>
    </w:p>
    <w:p w:rsidR="000B3A05" w:rsidRPr="003B3D9C" w:rsidRDefault="000B3A05" w:rsidP="000B3A05">
      <w:pPr>
        <w:pStyle w:val="Body"/>
        <w:rPr>
          <w:rFonts w:cs="GillSansMT"/>
        </w:rPr>
      </w:pPr>
      <w:r w:rsidRPr="003B3D9C">
        <w:t xml:space="preserve">Mahanjane, E.S. 2012. A Geotectonic History of the Northern Mozambique Basin Including the Beira High – A Contribution for the Understanding of its Development. </w:t>
      </w:r>
      <w:r w:rsidRPr="00DA5409">
        <w:rPr>
          <w:i/>
        </w:rPr>
        <w:t>Marine and Petroleum Geology</w:t>
      </w:r>
      <w:r w:rsidRPr="003B3D9C">
        <w:t xml:space="preserve">, </w:t>
      </w:r>
      <w:r w:rsidRPr="00DB2481">
        <w:rPr>
          <w:b/>
        </w:rPr>
        <w:t>36</w:t>
      </w:r>
      <w:r w:rsidRPr="003B3D9C">
        <w:t xml:space="preserve"> </w:t>
      </w:r>
      <w:r>
        <w:t>(</w:t>
      </w:r>
      <w:r w:rsidRPr="003B3D9C">
        <w:t>1</w:t>
      </w:r>
      <w:r>
        <w:t>)</w:t>
      </w:r>
      <w:r w:rsidRPr="003B3D9C">
        <w:t xml:space="preserve"> 1</w:t>
      </w:r>
      <w:r>
        <w:t>–</w:t>
      </w:r>
      <w:r w:rsidRPr="003B3D9C">
        <w:t>12.</w:t>
      </w:r>
    </w:p>
    <w:p w:rsidR="005B6590" w:rsidRDefault="005B6590" w:rsidP="000B3A05">
      <w:pPr>
        <w:pStyle w:val="Body"/>
      </w:pPr>
      <w:r w:rsidRPr="00346609">
        <w:t>Pekkala, Y., T. Lehto and H. Mäkitie 2008. GTK Consortium Geological Surveys in Mozambique 2002-2007. Geological Survey of Finland - Special Paper no. 48, Geologian Tutkimuskeskus (Geological Survey of Finland), 1-321 p.</w:t>
      </w:r>
    </w:p>
    <w:p w:rsidR="000B3A05" w:rsidRDefault="000B3A05" w:rsidP="000B3A05">
      <w:pPr>
        <w:pStyle w:val="Body"/>
        <w:rPr>
          <w:rFonts w:cs="GillSansMT"/>
        </w:rPr>
      </w:pPr>
      <w:r w:rsidRPr="003B3D9C">
        <w:rPr>
          <w:rFonts w:cs="GillSansMT"/>
        </w:rPr>
        <w:t>Pepper, A.S. and Corvi</w:t>
      </w:r>
      <w:r>
        <w:rPr>
          <w:rFonts w:cs="GillSansMT"/>
        </w:rPr>
        <w:t>,</w:t>
      </w:r>
      <w:r w:rsidRPr="003B3D9C">
        <w:rPr>
          <w:rFonts w:cs="GillSansMT"/>
        </w:rPr>
        <w:t xml:space="preserve"> P.J. 1995. Simple Kinetic Models of Petroleum Formation. Part I: Oil and Gas Generation from Kerogen. </w:t>
      </w:r>
      <w:r w:rsidRPr="00DA5409">
        <w:rPr>
          <w:rFonts w:cs="GillSansMT"/>
          <w:i/>
        </w:rPr>
        <w:t>Marine and Petroleum Geology</w:t>
      </w:r>
      <w:r w:rsidRPr="003B3D9C">
        <w:rPr>
          <w:rFonts w:cs="GillSansMT"/>
        </w:rPr>
        <w:t xml:space="preserve">, </w:t>
      </w:r>
      <w:r w:rsidRPr="00DB2481">
        <w:rPr>
          <w:rFonts w:cs="GillSansMT"/>
          <w:b/>
        </w:rPr>
        <w:t>12</w:t>
      </w:r>
      <w:r w:rsidRPr="003B3D9C">
        <w:rPr>
          <w:rFonts w:cs="GillSansMT"/>
        </w:rPr>
        <w:t xml:space="preserve"> </w:t>
      </w:r>
      <w:r>
        <w:rPr>
          <w:rFonts w:cs="GillSansMT"/>
        </w:rPr>
        <w:t>(</w:t>
      </w:r>
      <w:r w:rsidRPr="003B3D9C">
        <w:rPr>
          <w:rFonts w:cs="GillSansMT"/>
        </w:rPr>
        <w:t>3</w:t>
      </w:r>
      <w:r>
        <w:rPr>
          <w:rFonts w:cs="GillSansMT"/>
        </w:rPr>
        <w:t>)</w:t>
      </w:r>
      <w:r w:rsidRPr="003B3D9C">
        <w:rPr>
          <w:rFonts w:cs="GillSansMT"/>
        </w:rPr>
        <w:t>, 291</w:t>
      </w:r>
      <w:r>
        <w:t>–</w:t>
      </w:r>
      <w:r w:rsidRPr="003B3D9C">
        <w:rPr>
          <w:rFonts w:cs="GillSansMT"/>
        </w:rPr>
        <w:t>319.</w:t>
      </w:r>
    </w:p>
    <w:p w:rsidR="000B3A05" w:rsidRDefault="000B3A05" w:rsidP="000B3A05">
      <w:pPr>
        <w:pStyle w:val="Body"/>
        <w:rPr>
          <w:rFonts w:cs="GillSansMT"/>
        </w:rPr>
      </w:pPr>
      <w:r w:rsidRPr="00740448">
        <w:t>Salman, G. and I. Abdula 1995. Development of the Mozambique and Ruvuma sedimentary basins, offshore Mozambique. Sedi</w:t>
      </w:r>
      <w:r>
        <w:t>mentary Geology, v. 96, p. 7-41</w:t>
      </w:r>
      <w:r w:rsidRPr="00740448">
        <w:t>.</w:t>
      </w:r>
      <w:r w:rsidRPr="003B3D9C">
        <w:rPr>
          <w:rFonts w:cs="GillSansMT"/>
        </w:rPr>
        <w:t xml:space="preserve"> </w:t>
      </w:r>
    </w:p>
    <w:p w:rsidR="005B6590" w:rsidRPr="003B3D9C" w:rsidRDefault="005B6590" w:rsidP="000B3A05">
      <w:pPr>
        <w:pStyle w:val="Body"/>
        <w:rPr>
          <w:rFonts w:cs="GillSansMT"/>
        </w:rPr>
      </w:pPr>
      <w:r w:rsidRPr="00A1398F">
        <w:t>Trueblood, S. 2013. Inhassoro: the southernmost oil field in the East Afric</w:t>
      </w:r>
      <w:r>
        <w:t>an rift system?</w:t>
      </w:r>
      <w:r w:rsidRPr="00A1398F">
        <w:t xml:space="preserve"> Finding Petroleum East Africa Oil Forum, London, 9th April 2013. Presentation. Finding Petroleum</w:t>
      </w:r>
      <w:r>
        <w:t>.</w:t>
      </w:r>
    </w:p>
    <w:p w:rsidR="000B3A05" w:rsidRDefault="000B3A05" w:rsidP="000B3A05">
      <w:pPr>
        <w:pStyle w:val="Body"/>
        <w:spacing w:before="240"/>
      </w:pPr>
      <w:r w:rsidRPr="003B3D9C">
        <w:lastRenderedPageBreak/>
        <w:t>Walford</w:t>
      </w:r>
      <w:r>
        <w:t>,</w:t>
      </w:r>
      <w:r w:rsidRPr="003B3D9C">
        <w:t xml:space="preserve"> H.L., White</w:t>
      </w:r>
      <w:r>
        <w:t>,</w:t>
      </w:r>
      <w:r w:rsidRPr="003B3D9C">
        <w:t xml:space="preserve"> N.J. and Sydow</w:t>
      </w:r>
      <w:r>
        <w:t>,</w:t>
      </w:r>
      <w:r w:rsidRPr="003B3D9C">
        <w:t xml:space="preserve"> J.C. 2005. Solid Sediment Load History of the Zambezi Delta. </w:t>
      </w:r>
      <w:r w:rsidRPr="00DA5409">
        <w:rPr>
          <w:i/>
        </w:rPr>
        <w:t>Earth and Planetary Science Letters</w:t>
      </w:r>
      <w:r w:rsidRPr="003B3D9C">
        <w:t xml:space="preserve">, </w:t>
      </w:r>
      <w:r w:rsidRPr="00DB2481">
        <w:rPr>
          <w:b/>
        </w:rPr>
        <w:t>238</w:t>
      </w:r>
      <w:r w:rsidRPr="003B3D9C">
        <w:t xml:space="preserve"> </w:t>
      </w:r>
      <w:r>
        <w:t>(</w:t>
      </w:r>
      <w:r w:rsidRPr="003B3D9C">
        <w:t>1</w:t>
      </w:r>
      <w:r>
        <w:t>–</w:t>
      </w:r>
      <w:r w:rsidRPr="003B3D9C">
        <w:t>2</w:t>
      </w:r>
      <w:r>
        <w:t>)</w:t>
      </w:r>
      <w:r w:rsidRPr="003B3D9C">
        <w:t>, 49</w:t>
      </w:r>
      <w:r>
        <w:t>–</w:t>
      </w:r>
      <w:r w:rsidRPr="003B3D9C">
        <w:t>63.</w:t>
      </w:r>
    </w:p>
    <w:p w:rsidR="00DC4083" w:rsidRDefault="00F2212E">
      <w:r w:rsidRPr="00F2212E">
        <w:rPr>
          <w:rFonts w:cs="Segoe UI"/>
          <w:iCs/>
          <w:color w:val="000000"/>
          <w:szCs w:val="20"/>
        </w:rPr>
        <w:t>Zacarias, C. 2009. Mozambique 4th License Round. Presentation. Instituto Nacional de Petroleos (INP), Mozambique (XURBB_422312).</w:t>
      </w:r>
    </w:p>
    <w:sectPr w:rsidR="00DC408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illSan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738C4"/>
    <w:multiLevelType w:val="hybridMultilevel"/>
    <w:tmpl w:val="1C101B0A"/>
    <w:lvl w:ilvl="0" w:tplc="BF7EBBBA">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083"/>
    <w:rsid w:val="0003080A"/>
    <w:rsid w:val="000B3A05"/>
    <w:rsid w:val="001351BD"/>
    <w:rsid w:val="00167824"/>
    <w:rsid w:val="002704E5"/>
    <w:rsid w:val="00277E55"/>
    <w:rsid w:val="002C7CC5"/>
    <w:rsid w:val="00327079"/>
    <w:rsid w:val="00365A5B"/>
    <w:rsid w:val="003B2EE5"/>
    <w:rsid w:val="0042597E"/>
    <w:rsid w:val="00532C0C"/>
    <w:rsid w:val="00540679"/>
    <w:rsid w:val="005B6590"/>
    <w:rsid w:val="005F2ADE"/>
    <w:rsid w:val="00673975"/>
    <w:rsid w:val="007F3EBF"/>
    <w:rsid w:val="008008F3"/>
    <w:rsid w:val="00816EFB"/>
    <w:rsid w:val="00881F68"/>
    <w:rsid w:val="00893CA7"/>
    <w:rsid w:val="00A046C8"/>
    <w:rsid w:val="00A4229F"/>
    <w:rsid w:val="00A64EC8"/>
    <w:rsid w:val="00A82F40"/>
    <w:rsid w:val="00AE37E4"/>
    <w:rsid w:val="00B649A7"/>
    <w:rsid w:val="00B7568B"/>
    <w:rsid w:val="00C02CF7"/>
    <w:rsid w:val="00CF76CC"/>
    <w:rsid w:val="00D82D59"/>
    <w:rsid w:val="00DC4083"/>
    <w:rsid w:val="00E53519"/>
    <w:rsid w:val="00F2212E"/>
    <w:rsid w:val="00F27DCC"/>
    <w:rsid w:val="00F55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4083"/>
    <w:pPr>
      <w:ind w:left="720"/>
      <w:contextualSpacing/>
    </w:pPr>
    <w:rPr>
      <w:lang w:val="en-GB"/>
    </w:rPr>
  </w:style>
  <w:style w:type="paragraph" w:customStyle="1" w:styleId="Body">
    <w:name w:val="Body"/>
    <w:basedOn w:val="Normal"/>
    <w:qFormat/>
    <w:rsid w:val="000B3A05"/>
    <w:pPr>
      <w:spacing w:after="120" w:line="240" w:lineRule="auto"/>
    </w:pPr>
    <w:rPr>
      <w:rFonts w:cs="Segoe UI"/>
      <w:iCs/>
      <w:color w:val="000000"/>
      <w:szCs w:val="20"/>
    </w:rPr>
  </w:style>
  <w:style w:type="character" w:styleId="Hyperlink">
    <w:name w:val="Hyperlink"/>
    <w:basedOn w:val="DefaultParagraphFont"/>
    <w:uiPriority w:val="99"/>
    <w:unhideWhenUsed/>
    <w:rsid w:val="000B3A05"/>
    <w:rPr>
      <w:color w:val="0000FF" w:themeColor="hyperlink"/>
      <w:u w:val="single"/>
    </w:rPr>
  </w:style>
  <w:style w:type="character" w:styleId="CommentReference">
    <w:name w:val="annotation reference"/>
    <w:basedOn w:val="DefaultParagraphFont"/>
    <w:uiPriority w:val="99"/>
    <w:semiHidden/>
    <w:unhideWhenUsed/>
    <w:rsid w:val="00327079"/>
    <w:rPr>
      <w:sz w:val="16"/>
      <w:szCs w:val="16"/>
    </w:rPr>
  </w:style>
  <w:style w:type="paragraph" w:styleId="CommentText">
    <w:name w:val="annotation text"/>
    <w:basedOn w:val="Normal"/>
    <w:link w:val="CommentTextChar"/>
    <w:uiPriority w:val="99"/>
    <w:semiHidden/>
    <w:unhideWhenUsed/>
    <w:rsid w:val="00327079"/>
    <w:pPr>
      <w:spacing w:line="240" w:lineRule="auto"/>
    </w:pPr>
    <w:rPr>
      <w:sz w:val="20"/>
      <w:szCs w:val="20"/>
    </w:rPr>
  </w:style>
  <w:style w:type="character" w:customStyle="1" w:styleId="CommentTextChar">
    <w:name w:val="Comment Text Char"/>
    <w:basedOn w:val="DefaultParagraphFont"/>
    <w:link w:val="CommentText"/>
    <w:uiPriority w:val="99"/>
    <w:semiHidden/>
    <w:rsid w:val="00327079"/>
    <w:rPr>
      <w:sz w:val="20"/>
      <w:szCs w:val="20"/>
    </w:rPr>
  </w:style>
  <w:style w:type="paragraph" w:styleId="BalloonText">
    <w:name w:val="Balloon Text"/>
    <w:basedOn w:val="Normal"/>
    <w:link w:val="BalloonTextChar"/>
    <w:uiPriority w:val="99"/>
    <w:semiHidden/>
    <w:unhideWhenUsed/>
    <w:rsid w:val="003270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079"/>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03080A"/>
    <w:rPr>
      <w:b/>
      <w:bCs/>
    </w:rPr>
  </w:style>
  <w:style w:type="character" w:customStyle="1" w:styleId="CommentSubjectChar">
    <w:name w:val="Comment Subject Char"/>
    <w:basedOn w:val="CommentTextChar"/>
    <w:link w:val="CommentSubject"/>
    <w:uiPriority w:val="99"/>
    <w:semiHidden/>
    <w:rsid w:val="0003080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4083"/>
    <w:pPr>
      <w:ind w:left="720"/>
      <w:contextualSpacing/>
    </w:pPr>
    <w:rPr>
      <w:lang w:val="en-GB"/>
    </w:rPr>
  </w:style>
  <w:style w:type="paragraph" w:customStyle="1" w:styleId="Body">
    <w:name w:val="Body"/>
    <w:basedOn w:val="Normal"/>
    <w:qFormat/>
    <w:rsid w:val="000B3A05"/>
    <w:pPr>
      <w:spacing w:after="120" w:line="240" w:lineRule="auto"/>
    </w:pPr>
    <w:rPr>
      <w:rFonts w:cs="Segoe UI"/>
      <w:iCs/>
      <w:color w:val="000000"/>
      <w:szCs w:val="20"/>
    </w:rPr>
  </w:style>
  <w:style w:type="character" w:styleId="Hyperlink">
    <w:name w:val="Hyperlink"/>
    <w:basedOn w:val="DefaultParagraphFont"/>
    <w:uiPriority w:val="99"/>
    <w:unhideWhenUsed/>
    <w:rsid w:val="000B3A05"/>
    <w:rPr>
      <w:color w:val="0000FF" w:themeColor="hyperlink"/>
      <w:u w:val="single"/>
    </w:rPr>
  </w:style>
  <w:style w:type="character" w:styleId="CommentReference">
    <w:name w:val="annotation reference"/>
    <w:basedOn w:val="DefaultParagraphFont"/>
    <w:uiPriority w:val="99"/>
    <w:semiHidden/>
    <w:unhideWhenUsed/>
    <w:rsid w:val="00327079"/>
    <w:rPr>
      <w:sz w:val="16"/>
      <w:szCs w:val="16"/>
    </w:rPr>
  </w:style>
  <w:style w:type="paragraph" w:styleId="CommentText">
    <w:name w:val="annotation text"/>
    <w:basedOn w:val="Normal"/>
    <w:link w:val="CommentTextChar"/>
    <w:uiPriority w:val="99"/>
    <w:semiHidden/>
    <w:unhideWhenUsed/>
    <w:rsid w:val="00327079"/>
    <w:pPr>
      <w:spacing w:line="240" w:lineRule="auto"/>
    </w:pPr>
    <w:rPr>
      <w:sz w:val="20"/>
      <w:szCs w:val="20"/>
    </w:rPr>
  </w:style>
  <w:style w:type="character" w:customStyle="1" w:styleId="CommentTextChar">
    <w:name w:val="Comment Text Char"/>
    <w:basedOn w:val="DefaultParagraphFont"/>
    <w:link w:val="CommentText"/>
    <w:uiPriority w:val="99"/>
    <w:semiHidden/>
    <w:rsid w:val="00327079"/>
    <w:rPr>
      <w:sz w:val="20"/>
      <w:szCs w:val="20"/>
    </w:rPr>
  </w:style>
  <w:style w:type="paragraph" w:styleId="BalloonText">
    <w:name w:val="Balloon Text"/>
    <w:basedOn w:val="Normal"/>
    <w:link w:val="BalloonTextChar"/>
    <w:uiPriority w:val="99"/>
    <w:semiHidden/>
    <w:unhideWhenUsed/>
    <w:rsid w:val="003270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079"/>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03080A"/>
    <w:rPr>
      <w:b/>
      <w:bCs/>
    </w:rPr>
  </w:style>
  <w:style w:type="character" w:customStyle="1" w:styleId="CommentSubjectChar">
    <w:name w:val="Comment Subject Char"/>
    <w:basedOn w:val="CommentTextChar"/>
    <w:link w:val="CommentSubject"/>
    <w:uiPriority w:val="99"/>
    <w:semiHidden/>
    <w:rsid w:val="0003080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957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912</Words>
  <Characters>5202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Halliburton</Company>
  <LinksUpToDate>false</LinksUpToDate>
  <CharactersWithSpaces>6102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Butt</dc:creator>
  <cp:lastModifiedBy>Lucy Bell</cp:lastModifiedBy>
  <cp:revision>2</cp:revision>
  <dcterms:created xsi:type="dcterms:W3CDTF">2017-12-05T10:07:00Z</dcterms:created>
  <dcterms:modified xsi:type="dcterms:W3CDTF">2017-12-05T10:07:00Z</dcterms:modified>
</cp:coreProperties>
</file>