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783C6" w14:textId="77777777" w:rsidR="0012607A" w:rsidRPr="00FF0675" w:rsidRDefault="0012607A" w:rsidP="0012607A">
      <w:pPr>
        <w:pStyle w:val="2Schwarz"/>
        <w:rPr>
          <w:szCs w:val="30"/>
        </w:rPr>
      </w:pPr>
      <w:r w:rsidRPr="00FF0675">
        <w:rPr>
          <w:szCs w:val="30"/>
        </w:rPr>
        <w:t xml:space="preserve">Additional File 1: Material and Methods </w:t>
      </w:r>
    </w:p>
    <w:p w14:paraId="10472D7B" w14:textId="77777777" w:rsidR="0012607A" w:rsidRPr="000E6B95" w:rsidRDefault="0012607A" w:rsidP="0012607A">
      <w:pPr>
        <w:rPr>
          <w:szCs w:val="28"/>
          <w:lang w:val="en-GB"/>
        </w:rPr>
      </w:pPr>
      <w:r w:rsidRPr="000A54F0">
        <w:rPr>
          <w:rFonts w:asciiTheme="majorHAnsi" w:hAnsiTheme="majorHAnsi"/>
          <w:i/>
          <w:sz w:val="28"/>
          <w:szCs w:val="28"/>
          <w:lang w:val="en-GB"/>
        </w:rPr>
        <w:t>Karyotyping and FISH experiments</w:t>
      </w:r>
    </w:p>
    <w:p w14:paraId="15A8868D" w14:textId="7A02528F" w:rsidR="0012607A" w:rsidRDefault="0012607A" w:rsidP="0012607A">
      <w:pPr>
        <w:rPr>
          <w:rFonts w:ascii="Cambria" w:hAnsi="Cambria"/>
        </w:rPr>
      </w:pPr>
      <w:r w:rsidRPr="006132DA">
        <w:rPr>
          <w:rFonts w:ascii="Cambria" w:hAnsi="Cambria"/>
          <w:lang w:val="en-GB"/>
        </w:rPr>
        <w:t xml:space="preserve">Conventional karyotyping was performed on IL-2/DSP30 (Sigma Aldrich, </w:t>
      </w:r>
      <w:r w:rsidRPr="006132DA">
        <w:rPr>
          <w:rFonts w:ascii="Cambria" w:hAnsi="Cambria"/>
        </w:rPr>
        <w:t>St. Louis, MO)</w:t>
      </w:r>
      <w:r w:rsidRPr="006132DA">
        <w:rPr>
          <w:rFonts w:ascii="Cambria" w:hAnsi="Cambria"/>
          <w:lang w:val="en-GB"/>
        </w:rPr>
        <w:t xml:space="preserve"> stimulated and non-stimulated bone marrow</w:t>
      </w:r>
      <w:r>
        <w:rPr>
          <w:rFonts w:ascii="Cambria" w:hAnsi="Cambria"/>
          <w:lang w:val="en-GB"/>
        </w:rPr>
        <w:t xml:space="preserve"> (BM)</w:t>
      </w:r>
      <w:r w:rsidRPr="006132DA">
        <w:rPr>
          <w:rFonts w:ascii="Cambria" w:hAnsi="Cambria"/>
          <w:lang w:val="en-GB"/>
        </w:rPr>
        <w:t xml:space="preserve"> cultures. FISH experiments for detection of the most frequently described chromosomal aberrations in B-CLL were performed on the same material with following commercial </w:t>
      </w:r>
      <w:r w:rsidR="00DB4979">
        <w:rPr>
          <w:rFonts w:ascii="Cambria" w:hAnsi="Cambria"/>
        </w:rPr>
        <w:t xml:space="preserve">probes: </w:t>
      </w:r>
      <w:proofErr w:type="spellStart"/>
      <w:r w:rsidR="00DB4979">
        <w:rPr>
          <w:rFonts w:ascii="Cambria" w:hAnsi="Cambria"/>
        </w:rPr>
        <w:t>Vysis</w:t>
      </w:r>
      <w:proofErr w:type="spellEnd"/>
      <w:r w:rsidR="00DB4979">
        <w:rPr>
          <w:rFonts w:ascii="Cambria" w:hAnsi="Cambria"/>
        </w:rPr>
        <w:t xml:space="preserve"> LSI TP</w:t>
      </w:r>
      <w:r w:rsidRPr="006132DA">
        <w:rPr>
          <w:rFonts w:ascii="Cambria" w:hAnsi="Cambria"/>
        </w:rPr>
        <w:t>53 (17p13.1)/LSI ATM (11q22.3) and LSI D13S319/ LSI 13q34/ CEP 12 Multi-color Probe Set (Abbott Molecular, Des Plaines, IL), MYB (6q23)/D6Z1 dual color and IGH Breakapart (</w:t>
      </w:r>
      <w:proofErr w:type="spellStart"/>
      <w:r w:rsidRPr="006132DA">
        <w:rPr>
          <w:rFonts w:ascii="Cambria" w:hAnsi="Cambria"/>
        </w:rPr>
        <w:t>Cytocell</w:t>
      </w:r>
      <w:r>
        <w:rPr>
          <w:rFonts w:ascii="ZWAdobeF" w:hAnsi="ZWAdobeF" w:cs="ZWAdobeF"/>
          <w:sz w:val="2"/>
          <w:szCs w:val="2"/>
        </w:rPr>
        <w:t>P</w:t>
      </w:r>
      <w:r w:rsidRPr="006132DA">
        <w:rPr>
          <w:rFonts w:ascii="Cambria" w:hAnsi="Cambria"/>
          <w:vertAlign w:val="superscript"/>
        </w:rPr>
        <w:t>TM</w:t>
      </w:r>
      <w:r>
        <w:rPr>
          <w:rFonts w:ascii="ZWAdobeF" w:hAnsi="ZWAdobeF" w:cs="ZWAdobeF"/>
          <w:sz w:val="2"/>
          <w:szCs w:val="2"/>
        </w:rPr>
        <w:t>P</w:t>
      </w:r>
      <w:proofErr w:type="spellEnd"/>
      <w:r w:rsidRPr="006132DA">
        <w:rPr>
          <w:rFonts w:ascii="Cambria" w:hAnsi="Cambria"/>
        </w:rPr>
        <w:t>, Cambridge, UK).</w:t>
      </w:r>
    </w:p>
    <w:p w14:paraId="7D3E91E8" w14:textId="77777777" w:rsidR="0012607A" w:rsidRPr="006132DA" w:rsidRDefault="0012607A" w:rsidP="0012607A">
      <w:pPr>
        <w:rPr>
          <w:rFonts w:ascii="Cambria" w:hAnsi="Cambria"/>
        </w:rPr>
      </w:pPr>
    </w:p>
    <w:p w14:paraId="64706472" w14:textId="77777777" w:rsidR="0012607A" w:rsidRPr="000E6B95" w:rsidRDefault="0012607A" w:rsidP="0012607A">
      <w:pPr>
        <w:rPr>
          <w:szCs w:val="28"/>
          <w:lang w:val="en-GB"/>
        </w:rPr>
      </w:pPr>
      <w:r w:rsidRPr="000A54F0">
        <w:rPr>
          <w:rFonts w:asciiTheme="majorHAnsi" w:hAnsiTheme="majorHAnsi"/>
          <w:i/>
          <w:sz w:val="28"/>
          <w:szCs w:val="28"/>
          <w:lang w:val="en-GB"/>
        </w:rPr>
        <w:t>LDI-PCR and sequencing</w:t>
      </w:r>
    </w:p>
    <w:p w14:paraId="46CA4A4C" w14:textId="1D91E409" w:rsidR="0012607A" w:rsidRDefault="0012607A" w:rsidP="0012607A">
      <w:pPr>
        <w:rPr>
          <w:rFonts w:ascii="Cambria" w:hAnsi="Cambria" w:cs="Arial"/>
          <w:lang w:val="en-GB"/>
        </w:rPr>
      </w:pPr>
      <w:r w:rsidRPr="006132DA">
        <w:rPr>
          <w:rFonts w:ascii="Cambria" w:hAnsi="Cambria"/>
          <w:lang w:val="en-GB"/>
        </w:rPr>
        <w:t xml:space="preserve">Long distance inverse PCR (LDI-PCR) followed by nested PCR was used to amplify the breakpoint region on </w:t>
      </w:r>
      <w:proofErr w:type="gramStart"/>
      <w:r w:rsidRPr="006132DA">
        <w:rPr>
          <w:rFonts w:ascii="Cambria" w:hAnsi="Cambria"/>
          <w:lang w:val="en-GB"/>
        </w:rPr>
        <w:t>der(</w:t>
      </w:r>
      <w:proofErr w:type="gramEnd"/>
      <w:r w:rsidRPr="006132DA">
        <w:rPr>
          <w:rFonts w:ascii="Cambria" w:hAnsi="Cambria"/>
          <w:lang w:val="en-GB"/>
        </w:rPr>
        <w:t xml:space="preserve">12) as already described </w:t>
      </w:r>
      <w:r w:rsidR="00DB4979">
        <w:rPr>
          <w:rFonts w:ascii="Cambria" w:hAnsi="Cambria"/>
          <w:lang w:val="en-GB"/>
        </w:rPr>
        <w:fldChar w:fldCharType="begin">
          <w:fldData xml:space="preserve">PEVuZE5vdGU+PENpdGU+PEF1dGhvcj5LYXJyYW48L0F1dGhvcj48WWVhcj4yMDA1PC9ZZWFyPjxS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=
</w:fldData>
        </w:fldChar>
      </w:r>
      <w:r w:rsidR="00DB4979">
        <w:rPr>
          <w:rFonts w:ascii="Cambria" w:hAnsi="Cambria"/>
          <w:lang w:val="en-GB"/>
        </w:rPr>
        <w:instrText xml:space="preserve"> ADDIN EN.CITE </w:instrText>
      </w:r>
      <w:r w:rsidR="00DB4979">
        <w:rPr>
          <w:rFonts w:ascii="Cambria" w:hAnsi="Cambria"/>
          <w:lang w:val="en-GB"/>
        </w:rPr>
        <w:fldChar w:fldCharType="begin">
          <w:fldData xml:space="preserve">PEVuZE5vdGU+PENpdGU+PEF1dGhvcj5LYXJyYW48L0F1dGhvcj48WWVhcj4yMDA1PC9ZZWFyPjxS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=
</w:fldData>
        </w:fldChar>
      </w:r>
      <w:r w:rsidR="00DB4979">
        <w:rPr>
          <w:rFonts w:ascii="Cambria" w:hAnsi="Cambria"/>
          <w:lang w:val="en-GB"/>
        </w:rPr>
        <w:instrText xml:space="preserve"> ADDIN EN.CITE.DATA </w:instrText>
      </w:r>
      <w:r w:rsidR="00DB4979">
        <w:rPr>
          <w:rFonts w:ascii="Cambria" w:hAnsi="Cambria"/>
          <w:lang w:val="en-GB"/>
        </w:rPr>
      </w:r>
      <w:r w:rsidR="00DB4979">
        <w:rPr>
          <w:rFonts w:ascii="Cambria" w:hAnsi="Cambria"/>
          <w:lang w:val="en-GB"/>
        </w:rPr>
        <w:fldChar w:fldCharType="end"/>
      </w:r>
      <w:r w:rsidR="00DB4979">
        <w:rPr>
          <w:rFonts w:ascii="Cambria" w:hAnsi="Cambria"/>
          <w:lang w:val="en-GB"/>
        </w:rPr>
      </w:r>
      <w:r w:rsidR="00DB4979">
        <w:rPr>
          <w:rFonts w:ascii="Cambria" w:hAnsi="Cambria"/>
          <w:lang w:val="en-GB"/>
        </w:rPr>
        <w:fldChar w:fldCharType="separate"/>
      </w:r>
      <w:r w:rsidR="00DB4979">
        <w:rPr>
          <w:rFonts w:ascii="Cambria" w:hAnsi="Cambria"/>
          <w:noProof/>
          <w:lang w:val="en-GB"/>
        </w:rPr>
        <w:t>[1]</w:t>
      </w:r>
      <w:r w:rsidR="00DB4979">
        <w:rPr>
          <w:rFonts w:ascii="Cambria" w:hAnsi="Cambria"/>
          <w:lang w:val="en-GB"/>
        </w:rPr>
        <w:fldChar w:fldCharType="end"/>
      </w:r>
      <w:r w:rsidRPr="006132DA">
        <w:rPr>
          <w:rFonts w:ascii="Cambria" w:hAnsi="Cambria"/>
          <w:lang w:val="en-GB"/>
        </w:rPr>
        <w:t xml:space="preserve"> with primers for the </w:t>
      </w:r>
      <w:r w:rsidRPr="006132DA">
        <w:rPr>
          <w:rFonts w:ascii="Cambria" w:hAnsi="Cambria"/>
          <w:i/>
        </w:rPr>
        <w:t>IGHJ</w:t>
      </w:r>
      <w:r w:rsidRPr="006132DA">
        <w:rPr>
          <w:rFonts w:ascii="Cambria" w:hAnsi="Cambria"/>
        </w:rPr>
        <w:t xml:space="preserve"> </w:t>
      </w:r>
      <w:r w:rsidR="00DB4979">
        <w:rPr>
          <w:rFonts w:ascii="Cambria" w:hAnsi="Cambria"/>
        </w:rPr>
        <w:fldChar w:fldCharType="begin">
          <w:fldData xml:space="preserve">PEVuZE5vdGU+PENpdGU+PEF1dGhvcj5XaWxsaXM8L0F1dGhvcj48WWVhcj4xOTk3PC9ZZWFyPjxS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</w:fldData>
        </w:fldChar>
      </w:r>
      <w:r w:rsidR="00DB4979">
        <w:rPr>
          <w:rFonts w:ascii="Cambria" w:hAnsi="Cambria"/>
        </w:rPr>
        <w:instrText xml:space="preserve"> ADDIN EN.CITE </w:instrText>
      </w:r>
      <w:r w:rsidR="00DB4979">
        <w:rPr>
          <w:rFonts w:ascii="Cambria" w:hAnsi="Cambria"/>
        </w:rPr>
        <w:fldChar w:fldCharType="begin">
          <w:fldData xml:space="preserve">PEVuZE5vdGU+PENpdGU+PEF1dGhvcj5XaWxsaXM8L0F1dGhvcj48WWVhcj4xOTk3PC9ZZWFyPjxS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</w:fldData>
        </w:fldChar>
      </w:r>
      <w:r w:rsidR="00DB4979">
        <w:rPr>
          <w:rFonts w:ascii="Cambria" w:hAnsi="Cambria"/>
        </w:rPr>
        <w:instrText xml:space="preserve"> ADDIN EN.CITE.DATA </w:instrText>
      </w:r>
      <w:r w:rsidR="00DB4979">
        <w:rPr>
          <w:rFonts w:ascii="Cambria" w:hAnsi="Cambria"/>
        </w:rPr>
      </w:r>
      <w:r w:rsidR="00DB4979">
        <w:rPr>
          <w:rFonts w:ascii="Cambria" w:hAnsi="Cambria"/>
        </w:rPr>
        <w:fldChar w:fldCharType="end"/>
      </w:r>
      <w:r w:rsidR="00DB4979">
        <w:rPr>
          <w:rFonts w:ascii="Cambria" w:hAnsi="Cambria"/>
        </w:rPr>
      </w:r>
      <w:r w:rsidR="00DB4979">
        <w:rPr>
          <w:rFonts w:ascii="Cambria" w:hAnsi="Cambria"/>
        </w:rPr>
        <w:fldChar w:fldCharType="separate"/>
      </w:r>
      <w:r w:rsidR="00DB4979">
        <w:rPr>
          <w:rFonts w:ascii="Cambria" w:hAnsi="Cambria"/>
          <w:noProof/>
        </w:rPr>
        <w:t>[2]</w:t>
      </w:r>
      <w:r w:rsidR="00DB4979">
        <w:rPr>
          <w:rFonts w:ascii="Cambria" w:hAnsi="Cambria"/>
        </w:rPr>
        <w:fldChar w:fldCharType="end"/>
      </w:r>
      <w:r w:rsidRPr="006132DA">
        <w:rPr>
          <w:rFonts w:ascii="Cambria" w:hAnsi="Cambria"/>
        </w:rPr>
        <w:t xml:space="preserve"> and </w:t>
      </w:r>
      <w:r w:rsidRPr="006132DA">
        <w:rPr>
          <w:rFonts w:ascii="Cambria" w:hAnsi="Cambria"/>
          <w:i/>
        </w:rPr>
        <w:t>IGHS</w:t>
      </w:r>
      <w:r w:rsidRPr="006132DA">
        <w:rPr>
          <w:rFonts w:ascii="Cambria" w:hAnsi="Cambria"/>
        </w:rPr>
        <w:t xml:space="preserve"> regions </w:t>
      </w:r>
      <w:r w:rsidR="00DB4979">
        <w:rPr>
          <w:rFonts w:ascii="Cambria" w:hAnsi="Cambria"/>
        </w:rPr>
        <w:fldChar w:fldCharType="begin">
          <w:fldData xml:space="preserve">PEVuZE5vdGU+PENpdGU+PEF1dGhvcj5Tb25va2k8L0F1dGhvcj48WWVhcj4yMDA0PC9ZZWFyPjxS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</w:fldData>
        </w:fldChar>
      </w:r>
      <w:r w:rsidR="00DB4979">
        <w:rPr>
          <w:rFonts w:ascii="Cambria" w:hAnsi="Cambria"/>
        </w:rPr>
        <w:instrText xml:space="preserve"> ADDIN EN.CITE </w:instrText>
      </w:r>
      <w:r w:rsidR="00DB4979">
        <w:rPr>
          <w:rFonts w:ascii="Cambria" w:hAnsi="Cambria"/>
        </w:rPr>
        <w:fldChar w:fldCharType="begin">
          <w:fldData xml:space="preserve">PEVuZE5vdGU+PENpdGU+PEF1dGhvcj5Tb25va2k8L0F1dGhvcj48WWVhcj4yMDA0PC9ZZWFyPjxS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</w:fldData>
        </w:fldChar>
      </w:r>
      <w:r w:rsidR="00DB4979">
        <w:rPr>
          <w:rFonts w:ascii="Cambria" w:hAnsi="Cambria"/>
        </w:rPr>
        <w:instrText xml:space="preserve"> ADDIN EN.CITE.DATA </w:instrText>
      </w:r>
      <w:r w:rsidR="00DB4979">
        <w:rPr>
          <w:rFonts w:ascii="Cambria" w:hAnsi="Cambria"/>
        </w:rPr>
      </w:r>
      <w:r w:rsidR="00DB4979">
        <w:rPr>
          <w:rFonts w:ascii="Cambria" w:hAnsi="Cambria"/>
        </w:rPr>
        <w:fldChar w:fldCharType="end"/>
      </w:r>
      <w:r w:rsidR="00DB4979">
        <w:rPr>
          <w:rFonts w:ascii="Cambria" w:hAnsi="Cambria"/>
        </w:rPr>
      </w:r>
      <w:r w:rsidR="00DB4979">
        <w:rPr>
          <w:rFonts w:ascii="Cambria" w:hAnsi="Cambria"/>
        </w:rPr>
        <w:fldChar w:fldCharType="separate"/>
      </w:r>
      <w:r w:rsidR="00DB4979">
        <w:rPr>
          <w:rFonts w:ascii="Cambria" w:hAnsi="Cambria"/>
          <w:noProof/>
        </w:rPr>
        <w:t>[3]</w:t>
      </w:r>
      <w:r w:rsidR="00DB4979">
        <w:rPr>
          <w:rFonts w:ascii="Cambria" w:hAnsi="Cambria"/>
        </w:rPr>
        <w:fldChar w:fldCharType="end"/>
      </w:r>
      <w:r w:rsidRPr="006132DA">
        <w:rPr>
          <w:rFonts w:ascii="Cambria" w:hAnsi="Cambria"/>
        </w:rPr>
        <w:t xml:space="preserve">. </w:t>
      </w:r>
      <w:r w:rsidRPr="006132DA">
        <w:rPr>
          <w:rFonts w:ascii="Cambria" w:hAnsi="Cambria"/>
          <w:lang w:val="en-GB"/>
        </w:rPr>
        <w:t xml:space="preserve">The nested PCR products were subjected to agarose electrophoresis. Bands not corresponding to the expected germline length were purified with the peqGOLD gel extraction kit (Peqlab, Erlangen, Germany) amplified with the same primers and sequenced. </w:t>
      </w:r>
      <w:r w:rsidRPr="006132DA">
        <w:rPr>
          <w:rFonts w:ascii="Cambria" w:hAnsi="Cambria" w:cs="Arial"/>
          <w:lang w:val="en-GB"/>
        </w:rPr>
        <w:t xml:space="preserve">A second round of sequencing with primer </w:t>
      </w:r>
      <w:proofErr w:type="spellStart"/>
      <w:r w:rsidRPr="006132DA">
        <w:rPr>
          <w:rFonts w:ascii="Cambria" w:hAnsi="Cambria" w:cs="Arial"/>
          <w:lang w:val="en-GB"/>
        </w:rPr>
        <w:t>IgH</w:t>
      </w:r>
      <w:proofErr w:type="spellEnd"/>
      <w:r w:rsidRPr="006132DA">
        <w:rPr>
          <w:rFonts w:ascii="Cambria" w:hAnsi="Cambria" w:cs="Arial"/>
          <w:lang w:val="en-GB"/>
        </w:rPr>
        <w:t xml:space="preserve"> der12 Rv was necessary to read over the breakpoint on </w:t>
      </w:r>
      <w:proofErr w:type="gramStart"/>
      <w:r w:rsidRPr="006132DA">
        <w:rPr>
          <w:rFonts w:ascii="Cambria" w:hAnsi="Cambria" w:cs="Arial"/>
          <w:lang w:val="en-GB"/>
        </w:rPr>
        <w:t>der(</w:t>
      </w:r>
      <w:proofErr w:type="gramEnd"/>
      <w:r w:rsidRPr="006132DA">
        <w:rPr>
          <w:rFonts w:ascii="Cambria" w:hAnsi="Cambria" w:cs="Arial"/>
          <w:lang w:val="en-GB"/>
        </w:rPr>
        <w:t xml:space="preserve">12). Primers </w:t>
      </w:r>
      <w:proofErr w:type="spellStart"/>
      <w:r w:rsidRPr="006132DA">
        <w:rPr>
          <w:rFonts w:ascii="Cambria" w:hAnsi="Cambria" w:cs="Arial"/>
          <w:lang w:val="en-GB"/>
        </w:rPr>
        <w:t>IgH</w:t>
      </w:r>
      <w:proofErr w:type="spellEnd"/>
      <w:r w:rsidRPr="006132DA">
        <w:rPr>
          <w:rFonts w:ascii="Cambria" w:hAnsi="Cambria" w:cs="Arial"/>
          <w:lang w:val="en-GB"/>
        </w:rPr>
        <w:t xml:space="preserve"> der14 Fw and </w:t>
      </w:r>
      <w:proofErr w:type="spellStart"/>
      <w:r w:rsidRPr="006132DA">
        <w:rPr>
          <w:rFonts w:ascii="Cambria" w:hAnsi="Cambria" w:cs="Arial"/>
          <w:lang w:val="en-GB"/>
        </w:rPr>
        <w:t>IgH</w:t>
      </w:r>
      <w:proofErr w:type="spellEnd"/>
      <w:r w:rsidRPr="006132DA">
        <w:rPr>
          <w:rFonts w:ascii="Cambria" w:hAnsi="Cambria" w:cs="Arial"/>
          <w:lang w:val="en-GB"/>
        </w:rPr>
        <w:t xml:space="preserve"> der14 Rv were used to amplify and sequence the breakpoint on </w:t>
      </w:r>
      <w:proofErr w:type="gramStart"/>
      <w:r w:rsidRPr="006132DA">
        <w:rPr>
          <w:rFonts w:ascii="Cambria" w:hAnsi="Cambria" w:cs="Arial"/>
          <w:lang w:val="en-GB"/>
        </w:rPr>
        <w:t>der(</w:t>
      </w:r>
      <w:proofErr w:type="gramEnd"/>
      <w:r w:rsidRPr="006132DA">
        <w:rPr>
          <w:rFonts w:ascii="Cambria" w:hAnsi="Cambria" w:cs="Arial"/>
          <w:lang w:val="en-GB"/>
        </w:rPr>
        <w:t xml:space="preserve">14). For primer sequences please refer to the supporting information (Supplementary Table S1). </w:t>
      </w:r>
    </w:p>
    <w:p w14:paraId="59911A21" w14:textId="77777777" w:rsidR="0012607A" w:rsidRPr="006132DA" w:rsidRDefault="0012607A" w:rsidP="0012607A">
      <w:pPr>
        <w:rPr>
          <w:rFonts w:ascii="Cambria" w:hAnsi="Cambria" w:cs="Arial"/>
          <w:lang w:val="en-GB"/>
        </w:rPr>
      </w:pPr>
    </w:p>
    <w:p w14:paraId="2EA439A2" w14:textId="77777777" w:rsidR="0012607A" w:rsidRPr="000E6B95" w:rsidRDefault="0012607A" w:rsidP="0012607A">
      <w:pPr>
        <w:rPr>
          <w:szCs w:val="28"/>
          <w:lang w:val="en-GB"/>
        </w:rPr>
      </w:pPr>
      <w:r w:rsidRPr="000A54F0">
        <w:rPr>
          <w:rFonts w:asciiTheme="majorHAnsi" w:hAnsiTheme="majorHAnsi"/>
          <w:i/>
          <w:sz w:val="28"/>
          <w:szCs w:val="28"/>
          <w:lang w:val="en-GB"/>
        </w:rPr>
        <w:t>Quantitative reverse transcriptase PCR</w:t>
      </w:r>
    </w:p>
    <w:p w14:paraId="6D43C6ED" w14:textId="76D4C16C" w:rsidR="0012607A" w:rsidRPr="006132DA" w:rsidRDefault="0012607A" w:rsidP="0012607A">
      <w:pPr>
        <w:rPr>
          <w:rFonts w:ascii="Cambria" w:hAnsi="Cambria"/>
          <w:lang w:val="en-GB"/>
        </w:rPr>
      </w:pPr>
      <w:r w:rsidRPr="006132DA">
        <w:rPr>
          <w:rFonts w:ascii="Cambria" w:hAnsi="Cambria"/>
          <w:lang w:val="en-GB"/>
        </w:rPr>
        <w:t xml:space="preserve">The </w:t>
      </w:r>
      <w:r w:rsidRPr="006132DA">
        <w:rPr>
          <w:rFonts w:ascii="Cambria" w:hAnsi="Cambria"/>
          <w:i/>
          <w:lang w:val="en-GB"/>
        </w:rPr>
        <w:t>ASCL1</w:t>
      </w:r>
      <w:r w:rsidRPr="006132DA">
        <w:rPr>
          <w:rFonts w:ascii="Cambria" w:hAnsi="Cambria"/>
          <w:lang w:val="en-GB"/>
        </w:rPr>
        <w:t xml:space="preserve"> expression in the </w:t>
      </w:r>
      <w:r>
        <w:rPr>
          <w:rFonts w:ascii="Cambria" w:hAnsi="Cambria"/>
          <w:lang w:val="en-GB"/>
        </w:rPr>
        <w:t>BM</w:t>
      </w:r>
      <w:r w:rsidRPr="006132DA">
        <w:rPr>
          <w:rFonts w:ascii="Cambria" w:hAnsi="Cambria"/>
          <w:lang w:val="en-GB"/>
        </w:rPr>
        <w:t xml:space="preserve"> of the patient with the </w:t>
      </w:r>
      <w:proofErr w:type="gramStart"/>
      <w:r w:rsidRPr="006132DA">
        <w:rPr>
          <w:rFonts w:ascii="Cambria" w:hAnsi="Cambria"/>
          <w:lang w:val="en-GB"/>
        </w:rPr>
        <w:t>t(</w:t>
      </w:r>
      <w:proofErr w:type="gramEnd"/>
      <w:r w:rsidRPr="006132DA">
        <w:rPr>
          <w:rFonts w:ascii="Cambria" w:hAnsi="Cambria"/>
          <w:lang w:val="en-GB"/>
        </w:rPr>
        <w:t>12;14)(q23.2;</w:t>
      </w:r>
      <w:bookmarkStart w:id="0" w:name="_GoBack"/>
      <w:r w:rsidRPr="006132DA">
        <w:rPr>
          <w:rFonts w:ascii="Cambria" w:hAnsi="Cambria"/>
          <w:lang w:val="en-GB"/>
        </w:rPr>
        <w:t>q32</w:t>
      </w:r>
      <w:bookmarkEnd w:id="0"/>
      <w:r w:rsidR="00E22BAB">
        <w:rPr>
          <w:rFonts w:ascii="Cambria" w:hAnsi="Cambria"/>
          <w:lang w:val="en-GB"/>
        </w:rPr>
        <w:t>.3</w:t>
      </w:r>
      <w:r w:rsidRPr="006132DA">
        <w:rPr>
          <w:rFonts w:ascii="Cambria" w:hAnsi="Cambria"/>
          <w:lang w:val="en-GB"/>
        </w:rPr>
        <w:t xml:space="preserve">) was compared to that of 29 CLL patients and 10 normal </w:t>
      </w:r>
      <w:r>
        <w:rPr>
          <w:rFonts w:ascii="Cambria" w:hAnsi="Cambria"/>
          <w:lang w:val="en-GB"/>
        </w:rPr>
        <w:t>BM</w:t>
      </w:r>
      <w:r w:rsidRPr="006132DA">
        <w:rPr>
          <w:rFonts w:ascii="Cambria" w:hAnsi="Cambria"/>
          <w:lang w:val="en-GB"/>
        </w:rPr>
        <w:t xml:space="preserve"> samples. Details about the cytogenetic findings, the </w:t>
      </w:r>
      <w:r w:rsidRPr="006132DA">
        <w:rPr>
          <w:rFonts w:ascii="Cambria" w:hAnsi="Cambria"/>
          <w:i/>
          <w:lang w:val="en-GB"/>
        </w:rPr>
        <w:t>IGHV</w:t>
      </w:r>
      <w:r w:rsidRPr="006132DA">
        <w:rPr>
          <w:rFonts w:ascii="Cambria" w:hAnsi="Cambria"/>
          <w:lang w:val="en-GB"/>
        </w:rPr>
        <w:t xml:space="preserve"> mutation status and the extent of </w:t>
      </w:r>
      <w:r>
        <w:rPr>
          <w:rFonts w:ascii="Cambria" w:hAnsi="Cambria"/>
          <w:lang w:val="en-GB"/>
        </w:rPr>
        <w:t>BM</w:t>
      </w:r>
      <w:r w:rsidRPr="006132DA">
        <w:rPr>
          <w:rFonts w:ascii="Cambria" w:hAnsi="Cambria"/>
          <w:lang w:val="en-GB"/>
        </w:rPr>
        <w:t xml:space="preserve"> infiltration of the CLL patients are summarized in Table </w:t>
      </w:r>
      <w:r>
        <w:rPr>
          <w:rFonts w:ascii="Cambria" w:hAnsi="Cambria"/>
          <w:lang w:val="en-GB"/>
        </w:rPr>
        <w:t>2</w:t>
      </w:r>
      <w:r w:rsidRPr="006132DA">
        <w:rPr>
          <w:rFonts w:ascii="Cambria" w:hAnsi="Cambria"/>
          <w:lang w:val="en-GB"/>
        </w:rPr>
        <w:t xml:space="preserve">. </w:t>
      </w:r>
    </w:p>
    <w:p w14:paraId="5C337273" w14:textId="670C39C4" w:rsidR="0012607A" w:rsidRPr="006132DA" w:rsidRDefault="0012607A" w:rsidP="0012607A">
      <w:pPr>
        <w:rPr>
          <w:rFonts w:ascii="Cambria" w:hAnsi="Cambria"/>
          <w:lang w:val="en-GB"/>
        </w:rPr>
      </w:pPr>
      <w:r w:rsidRPr="006132DA">
        <w:rPr>
          <w:rFonts w:ascii="Cambria" w:hAnsi="Cambria"/>
          <w:lang w:val="en-GB"/>
        </w:rPr>
        <w:t xml:space="preserve">Reverse transcription was performed with the M-MLV Reverse Transcriptase, RNase H Minus, Point Mutant 200 U/µl by random hexamer priming (Promega, </w:t>
      </w:r>
      <w:r w:rsidRPr="006132DA">
        <w:rPr>
          <w:rFonts w:ascii="Cambria" w:hAnsi="Cambria"/>
        </w:rPr>
        <w:t>Madison, WI</w:t>
      </w:r>
      <w:r w:rsidRPr="006132DA">
        <w:rPr>
          <w:rFonts w:ascii="Cambria" w:hAnsi="Cambria"/>
          <w:lang w:val="en-GB"/>
        </w:rPr>
        <w:t xml:space="preserve">) in duplicates.  The </w:t>
      </w:r>
      <w:proofErr w:type="spellStart"/>
      <w:r w:rsidRPr="006132DA">
        <w:rPr>
          <w:rFonts w:ascii="Cambria" w:hAnsi="Cambria"/>
          <w:lang w:val="en-GB"/>
        </w:rPr>
        <w:t>TaqMan</w:t>
      </w:r>
      <w:proofErr w:type="spellEnd"/>
      <w:r w:rsidRPr="006132DA">
        <w:rPr>
          <w:rFonts w:ascii="Cambria" w:hAnsi="Cambria"/>
          <w:lang w:val="en-GB"/>
        </w:rPr>
        <w:t xml:space="preserve">™ gene expression assay Hs00269932_m1 for </w:t>
      </w:r>
      <w:r w:rsidRPr="006132DA">
        <w:rPr>
          <w:rFonts w:ascii="Cambria" w:hAnsi="Cambria"/>
          <w:i/>
          <w:lang w:val="en-GB"/>
        </w:rPr>
        <w:t>ASCL1</w:t>
      </w:r>
      <w:r w:rsidRPr="006132DA">
        <w:rPr>
          <w:rFonts w:ascii="Cambria" w:hAnsi="Cambria"/>
          <w:lang w:val="en-GB"/>
        </w:rPr>
        <w:t xml:space="preserve"> and the human beta-2-microglobulin (</w:t>
      </w:r>
      <w:r w:rsidRPr="006132DA">
        <w:rPr>
          <w:rFonts w:ascii="Cambria" w:hAnsi="Cambria"/>
          <w:i/>
          <w:lang w:val="en-GB"/>
        </w:rPr>
        <w:t>B2M</w:t>
      </w:r>
      <w:r w:rsidRPr="006132DA">
        <w:rPr>
          <w:rFonts w:ascii="Cambria" w:hAnsi="Cambria"/>
          <w:lang w:val="en-GB"/>
        </w:rPr>
        <w:t>) Endogenous Control 4310886E (Applied Biosystems,</w:t>
      </w:r>
      <w:r w:rsidRPr="006132DA">
        <w:rPr>
          <w:rFonts w:ascii="Cambria" w:hAnsi="Cambria"/>
        </w:rPr>
        <w:t xml:space="preserve"> </w:t>
      </w:r>
      <w:r w:rsidRPr="006132DA">
        <w:rPr>
          <w:rFonts w:ascii="Cambria" w:hAnsi="Cambria"/>
          <w:lang w:val="en-GB"/>
        </w:rPr>
        <w:t xml:space="preserve">Foster City, CA) were used for relative quantification of the </w:t>
      </w:r>
      <w:r w:rsidRPr="006132DA">
        <w:rPr>
          <w:rFonts w:ascii="Cambria" w:hAnsi="Cambria"/>
          <w:i/>
          <w:lang w:val="en-GB"/>
        </w:rPr>
        <w:t>ASCL1</w:t>
      </w:r>
      <w:r w:rsidRPr="006132DA">
        <w:rPr>
          <w:rFonts w:ascii="Cambria" w:hAnsi="Cambria"/>
          <w:lang w:val="en-GB"/>
        </w:rPr>
        <w:t xml:space="preserve"> expression in duplicate reactions.</w:t>
      </w:r>
      <w:r>
        <w:rPr>
          <w:rFonts w:ascii="Cambria" w:hAnsi="Cambria"/>
          <w:lang w:val="en-GB"/>
        </w:rPr>
        <w:t xml:space="preserve"> Evaluation of relative expression differences was accomplished using the comparative </w:t>
      </w:r>
      <w:proofErr w:type="spellStart"/>
      <w:r>
        <w:rPr>
          <w:rFonts w:ascii="Cambria" w:hAnsi="Cambria"/>
          <w:lang w:val="en-GB"/>
        </w:rPr>
        <w:t>Cq</w:t>
      </w:r>
      <w:proofErr w:type="spellEnd"/>
      <w:r>
        <w:rPr>
          <w:rFonts w:ascii="Cambria" w:hAnsi="Cambria"/>
          <w:lang w:val="en-GB"/>
        </w:rPr>
        <w:t xml:space="preserve"> method, Welch’s ANOVA and Tukey-HSD/Tukey-Kramer post-hoc analysis </w:t>
      </w:r>
      <w:r>
        <w:rPr>
          <w:rFonts w:ascii="Cambria" w:hAnsi="Cambria"/>
          <w:lang w:val="en-GB"/>
        </w:rPr>
        <w:fldChar w:fldCharType="begin"/>
      </w:r>
      <w:r w:rsidR="00DB4979">
        <w:rPr>
          <w:rFonts w:ascii="Cambria" w:hAnsi="Cambria"/>
          <w:lang w:val="en-GB"/>
        </w:rPr>
        <w:instrText xml:space="preserve"> ADDIN EN.CITE &lt;EndNote&gt;&lt;Cite&gt;&lt;Author&gt;Livak&lt;/Author&gt;&lt;Year&gt;2001&lt;/Year&gt;&lt;RecNum&gt;460&lt;/RecNum&gt;&lt;DisplayText&gt;[4]&lt;/DisplayText&gt;&lt;record&gt;&lt;rec-number&gt;460&lt;/rec-number&gt;&lt;foreign-keys&gt;&lt;key app="EN" db-id="efr5zfr9kzea0rez0965xf2ossezde05tz55" timestamp="1509963233"&gt;460&lt;/key&gt;&lt;/foreign-keys&gt;&lt;ref-type name="Journal Article"&gt;17&lt;/ref-type&gt;&lt;contributors&gt;&lt;authors&gt;&lt;author&gt;Livak, K. J.&lt;/author&gt;&lt;author&gt;Schmittgen, T. D.&lt;/author&gt;&lt;/authors&gt;&lt;/contributors&gt;&lt;auth-address&gt;Applied Biosystems, Foster City, California 94404, USA.&lt;/auth-address&gt;&lt;titles&gt;&lt;title&gt;Analysis of relative gene expression data using real-time quantitative PCR and the 2(-Delta Delta C(T)) Method&lt;/title&gt;&lt;secondary-title&gt;Methods&lt;/secondary-title&gt;&lt;alt-title&gt;Methods (San Diego, Calif.)&lt;/alt-title&gt;&lt;/titles&gt;&lt;periodical&gt;&lt;full-title&gt;Methods&lt;/full-title&gt;&lt;abbr-1&gt;Methods (San Diego, Calif.)&lt;/abbr-1&gt;&lt;/periodical&gt;&lt;alt-periodical&gt;&lt;full-title&gt;Methods&lt;/full-title&gt;&lt;abbr-1&gt;Methods (San Diego, Calif.)&lt;/abbr-1&gt;&lt;/alt-periodical&gt;&lt;pages&gt;402-8&lt;/pages&gt;&lt;volume&gt;25&lt;/volume&gt;&lt;number&gt;4&lt;/number&gt;&lt;edition&gt;2002/02/16&lt;/edition&gt;&lt;keywords&gt;&lt;keyword&gt;Algorithms&lt;/keyword&gt;&lt;keyword&gt;Brain/metabolism&lt;/keyword&gt;&lt;keyword&gt;Cell Line&lt;/keyword&gt;&lt;keyword&gt;DNA, Complementary/metabolism&lt;/keyword&gt;&lt;keyword&gt;Humans&lt;/keyword&gt;&lt;keyword&gt;Polymerase Chain Reaction/*methods&lt;/keyword&gt;&lt;keyword&gt;*Reverse Transcriptase Polymerase Chain Reaction&lt;/keyword&gt;&lt;keyword&gt;Time Factors&lt;/keyword&gt;&lt;/keywords&gt;&lt;dates&gt;&lt;year&gt;2001&lt;/year&gt;&lt;pub-dates&gt;&lt;date&gt;Dec&lt;/date&gt;&lt;/pub-dates&gt;&lt;/dates&gt;&lt;isbn&gt;1046-2023 (Print)&amp;#xD;1046-2023&lt;/isbn&gt;&lt;accession-num&gt;11846609&lt;/accession-num&gt;&lt;urls&gt;&lt;/urls&gt;&lt;electronic-resource-num&gt;10.1006/meth.2001.1262&lt;/electronic-resource-num&gt;&lt;remote-database-provider&gt;NLM&lt;/remote-database-provider&gt;&lt;language&gt;eng&lt;/language&gt;&lt;/record&gt;&lt;/Cite&gt;&lt;/EndNote&gt;</w:instrText>
      </w:r>
      <w:r>
        <w:rPr>
          <w:rFonts w:ascii="Cambria" w:hAnsi="Cambria"/>
          <w:lang w:val="en-GB"/>
        </w:rPr>
        <w:fldChar w:fldCharType="separate"/>
      </w:r>
      <w:r w:rsidR="00DB4979">
        <w:rPr>
          <w:rFonts w:ascii="Cambria" w:hAnsi="Cambria"/>
          <w:noProof/>
          <w:lang w:val="en-GB"/>
        </w:rPr>
        <w:t>[4]</w:t>
      </w:r>
      <w:r>
        <w:rPr>
          <w:rFonts w:ascii="Cambria" w:hAnsi="Cambria"/>
          <w:lang w:val="en-GB"/>
        </w:rPr>
        <w:fldChar w:fldCharType="end"/>
      </w:r>
      <w:r>
        <w:rPr>
          <w:rFonts w:ascii="Cambria" w:hAnsi="Cambria"/>
          <w:lang w:val="en-GB"/>
        </w:rPr>
        <w:t>.</w:t>
      </w:r>
    </w:p>
    <w:p w14:paraId="3CBA8576" w14:textId="77777777" w:rsidR="0012607A" w:rsidRDefault="0012607A" w:rsidP="0012607A">
      <w:pPr>
        <w:rPr>
          <w:rFonts w:asciiTheme="majorHAnsi" w:hAnsiTheme="majorHAnsi"/>
          <w:i/>
          <w:sz w:val="28"/>
          <w:szCs w:val="28"/>
          <w:lang w:val="en-GB"/>
        </w:rPr>
      </w:pPr>
    </w:p>
    <w:p w14:paraId="5A9ED7FB" w14:textId="77777777" w:rsidR="0012607A" w:rsidRDefault="0012607A" w:rsidP="0012607A">
      <w:pPr>
        <w:rPr>
          <w:rFonts w:asciiTheme="majorHAnsi" w:hAnsiTheme="majorHAnsi"/>
          <w:i/>
          <w:sz w:val="28"/>
          <w:szCs w:val="28"/>
          <w:lang w:val="en-GB"/>
        </w:rPr>
      </w:pPr>
    </w:p>
    <w:p w14:paraId="1AD0A967" w14:textId="77777777" w:rsidR="0012607A" w:rsidRPr="000E6B95" w:rsidRDefault="0012607A" w:rsidP="0012607A">
      <w:pPr>
        <w:rPr>
          <w:szCs w:val="28"/>
          <w:lang w:val="en-GB"/>
        </w:rPr>
      </w:pPr>
      <w:r w:rsidRPr="000A54F0">
        <w:rPr>
          <w:rFonts w:asciiTheme="majorHAnsi" w:hAnsiTheme="majorHAnsi"/>
          <w:i/>
          <w:sz w:val="28"/>
          <w:szCs w:val="28"/>
          <w:lang w:val="en-GB"/>
        </w:rPr>
        <w:t>Immunocytochemistry</w:t>
      </w:r>
    </w:p>
    <w:p w14:paraId="51FF9980" w14:textId="77777777" w:rsidR="0012607A" w:rsidRDefault="0012607A" w:rsidP="0012607A">
      <w:pPr>
        <w:rPr>
          <w:rFonts w:ascii="Cambria" w:hAnsi="Cambria"/>
        </w:rPr>
      </w:pPr>
      <w:r w:rsidRPr="006132DA">
        <w:rPr>
          <w:rFonts w:ascii="Cambria" w:hAnsi="Cambria"/>
        </w:rPr>
        <w:t xml:space="preserve">Immunocytochemistry was performed according to standard procedures on peripheral blood </w:t>
      </w:r>
      <w:proofErr w:type="spellStart"/>
      <w:r w:rsidRPr="006132DA">
        <w:rPr>
          <w:rFonts w:ascii="Cambria" w:hAnsi="Cambria"/>
        </w:rPr>
        <w:t>cytospins</w:t>
      </w:r>
      <w:proofErr w:type="spellEnd"/>
      <w:r w:rsidRPr="006132DA">
        <w:rPr>
          <w:rFonts w:ascii="Cambria" w:hAnsi="Cambria"/>
        </w:rPr>
        <w:t xml:space="preserve"> of the patient and two CLL controls using a 1:50 dilution of a mouse monoclonal anti-ASCL1 antibody (Sigma Aldrich, St. Louis, MO</w:t>
      </w:r>
      <w:r w:rsidRPr="006132DA">
        <w:rPr>
          <w:rFonts w:ascii="Cambria" w:hAnsi="Cambria"/>
          <w:lang w:val="en-GB"/>
        </w:rPr>
        <w:t>)</w:t>
      </w:r>
      <w:r w:rsidRPr="006132DA">
        <w:rPr>
          <w:rFonts w:ascii="Cambria" w:hAnsi="Cambria"/>
        </w:rPr>
        <w:t>. Nuclei were counterstained with hematoxylin (Sigma Aldrich, St. Louis, MO</w:t>
      </w:r>
      <w:r w:rsidRPr="006132DA">
        <w:rPr>
          <w:rFonts w:ascii="Cambria" w:hAnsi="Cambria"/>
          <w:lang w:val="en-GB"/>
        </w:rPr>
        <w:t>)</w:t>
      </w:r>
      <w:r w:rsidRPr="006132DA">
        <w:rPr>
          <w:rFonts w:ascii="Cambria" w:hAnsi="Cambria"/>
        </w:rPr>
        <w:t xml:space="preserve">. </w:t>
      </w:r>
    </w:p>
    <w:p w14:paraId="55B0AF78" w14:textId="77777777" w:rsidR="0012607A" w:rsidRPr="006132DA" w:rsidRDefault="0012607A" w:rsidP="0012607A">
      <w:pPr>
        <w:rPr>
          <w:rFonts w:ascii="Cambria" w:hAnsi="Cambria"/>
        </w:rPr>
      </w:pPr>
    </w:p>
    <w:p w14:paraId="764884FA" w14:textId="77777777" w:rsidR="0012607A" w:rsidRPr="000A54F0" w:rsidRDefault="0012607A" w:rsidP="0012607A">
      <w:pPr>
        <w:rPr>
          <w:szCs w:val="28"/>
          <w:lang w:val="en-GB"/>
        </w:rPr>
      </w:pPr>
      <w:r w:rsidRPr="000A54F0">
        <w:rPr>
          <w:rFonts w:asciiTheme="majorHAnsi" w:hAnsiTheme="majorHAnsi"/>
          <w:i/>
          <w:sz w:val="28"/>
          <w:szCs w:val="28"/>
          <w:lang w:val="en-GB"/>
        </w:rPr>
        <w:t>Flow sorting and RNA isolation</w:t>
      </w:r>
    </w:p>
    <w:p w14:paraId="57226AB9" w14:textId="77777777" w:rsidR="0012607A" w:rsidRPr="006132DA" w:rsidRDefault="0012607A" w:rsidP="0012607A">
      <w:pPr>
        <w:rPr>
          <w:rFonts w:ascii="Cambria" w:hAnsi="Cambria"/>
        </w:rPr>
      </w:pPr>
      <w:r w:rsidRPr="006132DA">
        <w:rPr>
          <w:rFonts w:ascii="Cambria" w:hAnsi="Cambria"/>
        </w:rPr>
        <w:t>Aberrant CD5</w:t>
      </w:r>
      <w:r w:rsidRPr="006132DA">
        <w:rPr>
          <w:rFonts w:ascii="Cambria" w:hAnsi="Cambria"/>
          <w:vertAlign w:val="superscript"/>
        </w:rPr>
        <w:t>+</w:t>
      </w:r>
      <w:r w:rsidRPr="006132DA">
        <w:rPr>
          <w:rFonts w:ascii="Cambria" w:hAnsi="Cambria"/>
        </w:rPr>
        <w:t>/CD19</w:t>
      </w:r>
      <w:r w:rsidRPr="006132DA">
        <w:rPr>
          <w:rFonts w:ascii="Cambria" w:hAnsi="Cambria"/>
          <w:vertAlign w:val="superscript"/>
        </w:rPr>
        <w:t>+</w:t>
      </w:r>
      <w:r w:rsidRPr="00EB21E5">
        <w:rPr>
          <w:rFonts w:ascii="Cambria" w:hAnsi="Cambria"/>
        </w:rPr>
        <w:t xml:space="preserve"> </w:t>
      </w:r>
      <w:r w:rsidRPr="006132DA">
        <w:rPr>
          <w:rFonts w:ascii="Cambria" w:hAnsi="Cambria"/>
        </w:rPr>
        <w:t>B-cells from the patient (10</w:t>
      </w:r>
      <w:r w:rsidRPr="006132DA">
        <w:rPr>
          <w:rFonts w:ascii="Cambria" w:hAnsi="Cambria"/>
          <w:vertAlign w:val="superscript"/>
        </w:rPr>
        <w:t>6</w:t>
      </w:r>
      <w:r w:rsidRPr="006132DA">
        <w:rPr>
          <w:rFonts w:ascii="Cambria" w:hAnsi="Cambria"/>
        </w:rPr>
        <w:t xml:space="preserve"> cells per sample) as well as peripheral blood CD19</w:t>
      </w:r>
      <w:r w:rsidRPr="006132DA">
        <w:rPr>
          <w:rFonts w:ascii="Cambria" w:hAnsi="Cambria"/>
          <w:vertAlign w:val="superscript"/>
        </w:rPr>
        <w:t>+</w:t>
      </w:r>
      <w:r w:rsidRPr="006132DA">
        <w:rPr>
          <w:rFonts w:ascii="Cambria" w:hAnsi="Cambria"/>
        </w:rPr>
        <w:t xml:space="preserve"> B-lymphocytes from seven healthy donors (5*10</w:t>
      </w:r>
      <w:r w:rsidRPr="006132DA">
        <w:rPr>
          <w:rFonts w:ascii="Cambria" w:hAnsi="Cambria"/>
          <w:vertAlign w:val="superscript"/>
        </w:rPr>
        <w:t>5</w:t>
      </w:r>
      <w:r w:rsidRPr="006132DA">
        <w:rPr>
          <w:rFonts w:ascii="Cambria" w:hAnsi="Cambria"/>
        </w:rPr>
        <w:t xml:space="preserve"> -10</w:t>
      </w:r>
      <w:r w:rsidRPr="006132DA">
        <w:rPr>
          <w:rFonts w:ascii="Cambria" w:hAnsi="Cambria"/>
          <w:vertAlign w:val="superscript"/>
        </w:rPr>
        <w:t>6</w:t>
      </w:r>
      <w:r w:rsidRPr="006132DA">
        <w:rPr>
          <w:rFonts w:ascii="Cambria" w:hAnsi="Cambria"/>
        </w:rPr>
        <w:t xml:space="preserve"> cells per sample) were flow sorted in 5 ml Panserin 411S medium (PAN Biotech, </w:t>
      </w:r>
      <w:proofErr w:type="spellStart"/>
      <w:r w:rsidRPr="006132DA">
        <w:rPr>
          <w:rFonts w:ascii="Cambria" w:hAnsi="Cambria"/>
        </w:rPr>
        <w:t>Aidenbach</w:t>
      </w:r>
      <w:proofErr w:type="spellEnd"/>
      <w:r w:rsidRPr="006132DA">
        <w:rPr>
          <w:rFonts w:ascii="Cambria" w:hAnsi="Cambria"/>
        </w:rPr>
        <w:t xml:space="preserve">, Germany). All antibodies used were </w:t>
      </w:r>
      <w:r>
        <w:rPr>
          <w:rFonts w:ascii="Cambria" w:hAnsi="Cambria"/>
        </w:rPr>
        <w:t xml:space="preserve">purchased </w:t>
      </w:r>
      <w:r w:rsidRPr="006132DA">
        <w:rPr>
          <w:rFonts w:ascii="Cambria" w:hAnsi="Cambria"/>
        </w:rPr>
        <w:t>from BD Biosciences (Franklin Lakes, NJ).</w:t>
      </w:r>
    </w:p>
    <w:p w14:paraId="5E651771" w14:textId="77777777" w:rsidR="0012607A" w:rsidRPr="006132DA" w:rsidRDefault="0012607A" w:rsidP="0012607A">
      <w:pPr>
        <w:rPr>
          <w:rFonts w:ascii="Cambria" w:hAnsi="Cambria"/>
          <w:lang w:val="en-GB"/>
        </w:rPr>
      </w:pPr>
      <w:r w:rsidRPr="006132DA">
        <w:rPr>
          <w:rFonts w:ascii="Cambria" w:hAnsi="Cambria"/>
        </w:rPr>
        <w:t>Flow sorting of the patient’s aberrant B-cells was performed eleven years after initial CLL diagnosis, during therapy with the Burton’s tyrosine kinase inhibitor ibrutinib.</w:t>
      </w:r>
      <w:r>
        <w:rPr>
          <w:rFonts w:ascii="Cambria" w:hAnsi="Cambria"/>
        </w:rPr>
        <w:t xml:space="preserve"> </w:t>
      </w:r>
    </w:p>
    <w:p w14:paraId="67413AE4" w14:textId="77777777" w:rsidR="0012607A" w:rsidRPr="006132DA" w:rsidRDefault="0012607A" w:rsidP="0012607A">
      <w:pPr>
        <w:rPr>
          <w:rFonts w:ascii="Cambria" w:hAnsi="Cambria"/>
        </w:rPr>
      </w:pPr>
      <w:r w:rsidRPr="006132DA">
        <w:rPr>
          <w:rFonts w:ascii="Cambria" w:hAnsi="Cambria"/>
        </w:rPr>
        <w:t xml:space="preserve">Sorted lymphocytes were processed immediately. After centrifugation at 300 g for 8 min, cell pellets were lysed in 1 ml peqGOLD TriFast™ (Peqlab, Erlangen, Germany). After phase separation with </w:t>
      </w:r>
      <w:proofErr w:type="spellStart"/>
      <w:r w:rsidRPr="006132DA">
        <w:rPr>
          <w:rFonts w:ascii="Cambria" w:hAnsi="Cambria"/>
        </w:rPr>
        <w:t>chlorophorm</w:t>
      </w:r>
      <w:proofErr w:type="spellEnd"/>
      <w:r w:rsidRPr="006132DA">
        <w:rPr>
          <w:rFonts w:ascii="Cambria" w:hAnsi="Cambria"/>
        </w:rPr>
        <w:t>, the aqueous phase was used for RNA extraction with the Direct-</w:t>
      </w:r>
      <w:proofErr w:type="spellStart"/>
      <w:r w:rsidRPr="006132DA">
        <w:rPr>
          <w:rFonts w:ascii="Cambria" w:hAnsi="Cambria"/>
        </w:rPr>
        <w:t>zol</w:t>
      </w:r>
      <w:proofErr w:type="spellEnd"/>
      <w:r w:rsidRPr="006132DA">
        <w:rPr>
          <w:rFonts w:ascii="Cambria" w:hAnsi="Cambria"/>
        </w:rPr>
        <w:t xml:space="preserve">™ RNA MiniPrep Kit (Zymo Research, Irvine, CA) according to the user manual with following modifications: DNAse I Digestion was performed using the </w:t>
      </w:r>
      <w:proofErr w:type="spellStart"/>
      <w:r w:rsidRPr="006132DA">
        <w:rPr>
          <w:rFonts w:ascii="Cambria" w:hAnsi="Cambria"/>
        </w:rPr>
        <w:t>RNAse</w:t>
      </w:r>
      <w:proofErr w:type="spellEnd"/>
      <w:r w:rsidRPr="006132DA">
        <w:rPr>
          <w:rFonts w:ascii="Cambria" w:hAnsi="Cambria"/>
        </w:rPr>
        <w:t xml:space="preserve">-free DNAse Set (QIAGEN, Venlo, The Netherlands) with 15 µl of DNAse I and 105 µl of the RDD buffer for 30 min at room temperature. Two extra wash steps with 400 and 700 µl Wash Buffer were performed after DNAse I digestion. RNA was eluted in 35 µl </w:t>
      </w:r>
      <w:proofErr w:type="spellStart"/>
      <w:r w:rsidRPr="006132DA">
        <w:rPr>
          <w:rFonts w:ascii="Cambria" w:hAnsi="Cambria"/>
        </w:rPr>
        <w:t>RNAse</w:t>
      </w:r>
      <w:proofErr w:type="spellEnd"/>
      <w:r w:rsidRPr="006132DA">
        <w:rPr>
          <w:rFonts w:ascii="Cambria" w:hAnsi="Cambria"/>
        </w:rPr>
        <w:t xml:space="preserve"> free water. </w:t>
      </w:r>
    </w:p>
    <w:p w14:paraId="4C7D2BCC" w14:textId="77777777" w:rsidR="0012607A" w:rsidRPr="006132DA" w:rsidRDefault="0012607A" w:rsidP="0012607A">
      <w:pPr>
        <w:rPr>
          <w:rFonts w:ascii="Cambria" w:hAnsi="Cambria"/>
        </w:rPr>
      </w:pPr>
      <w:r w:rsidRPr="006132DA">
        <w:rPr>
          <w:rFonts w:ascii="Cambria" w:hAnsi="Cambria"/>
        </w:rPr>
        <w:t xml:space="preserve">Quality control of the isolated RNA was performed before use for microarray experiments by photometric assessment of the A260/A230 and A260/A280 ratios and by chip electrophoresis with the MCE-202 </w:t>
      </w:r>
      <w:proofErr w:type="spellStart"/>
      <w:r w:rsidRPr="006132DA">
        <w:rPr>
          <w:rFonts w:ascii="Cambria" w:hAnsi="Cambria"/>
        </w:rPr>
        <w:t>MultiNA</w:t>
      </w:r>
      <w:proofErr w:type="spellEnd"/>
      <w:r w:rsidRPr="006132DA">
        <w:rPr>
          <w:rFonts w:ascii="Cambria" w:hAnsi="Cambria"/>
        </w:rPr>
        <w:t xml:space="preserve"> microchip electrophoresis system (Shimadzu, Kyoto, Japan). Quantitative PCR with primers for the amplification of </w:t>
      </w:r>
      <w:proofErr w:type="spellStart"/>
      <w:r w:rsidRPr="006132DA">
        <w:rPr>
          <w:rFonts w:ascii="Cambria" w:hAnsi="Cambria"/>
        </w:rPr>
        <w:t>Alu</w:t>
      </w:r>
      <w:proofErr w:type="spellEnd"/>
      <w:r w:rsidRPr="006132DA">
        <w:rPr>
          <w:rFonts w:ascii="Cambria" w:hAnsi="Cambria"/>
        </w:rPr>
        <w:t xml:space="preserve"> repeats was used to assess the presence of genomic DNA in the RNA samples.  </w:t>
      </w:r>
    </w:p>
    <w:p w14:paraId="79060B52" w14:textId="77777777" w:rsidR="0012607A" w:rsidRDefault="0012607A" w:rsidP="0012607A">
      <w:pPr>
        <w:rPr>
          <w:rFonts w:asciiTheme="majorHAnsi" w:hAnsiTheme="majorHAnsi"/>
          <w:i/>
          <w:sz w:val="28"/>
          <w:szCs w:val="28"/>
          <w:lang w:val="en-GB"/>
        </w:rPr>
      </w:pPr>
    </w:p>
    <w:p w14:paraId="77ED3D4D" w14:textId="77777777" w:rsidR="0012607A" w:rsidRPr="000A54F0" w:rsidRDefault="0012607A" w:rsidP="0012607A">
      <w:pPr>
        <w:rPr>
          <w:szCs w:val="28"/>
          <w:lang w:val="en-GB"/>
        </w:rPr>
      </w:pPr>
      <w:r w:rsidRPr="000A54F0">
        <w:rPr>
          <w:rFonts w:asciiTheme="majorHAnsi" w:hAnsiTheme="majorHAnsi"/>
          <w:i/>
          <w:sz w:val="28"/>
          <w:szCs w:val="28"/>
          <w:lang w:val="en-GB"/>
        </w:rPr>
        <w:t>Gene expression microarray</w:t>
      </w:r>
    </w:p>
    <w:p w14:paraId="63559E31" w14:textId="77777777" w:rsidR="0012607A" w:rsidRPr="006132DA" w:rsidRDefault="0012607A" w:rsidP="0012607A">
      <w:pPr>
        <w:rPr>
          <w:rFonts w:ascii="Cambria" w:hAnsi="Cambria"/>
        </w:rPr>
      </w:pPr>
      <w:r w:rsidRPr="006132DA">
        <w:rPr>
          <w:rFonts w:ascii="Cambria" w:hAnsi="Cambria"/>
        </w:rPr>
        <w:t xml:space="preserve">Array probes were prepared from total RNA samples using the </w:t>
      </w:r>
      <w:proofErr w:type="spellStart"/>
      <w:r w:rsidRPr="006132DA">
        <w:rPr>
          <w:rFonts w:ascii="Cambria" w:hAnsi="Cambria"/>
        </w:rPr>
        <w:t>Ovation</w:t>
      </w:r>
      <w:r>
        <w:rPr>
          <w:rFonts w:ascii="ZWAdobeF" w:hAnsi="ZWAdobeF" w:cs="ZWAdobeF"/>
          <w:sz w:val="2"/>
          <w:szCs w:val="2"/>
        </w:rPr>
        <w:t>P</w:t>
      </w:r>
      <w:r w:rsidRPr="006132DA">
        <w:rPr>
          <w:rFonts w:ascii="Cambria" w:hAnsi="Cambria"/>
          <w:vertAlign w:val="superscript"/>
        </w:rPr>
        <w:t>®</w:t>
      </w:r>
      <w:r>
        <w:rPr>
          <w:rFonts w:ascii="ZWAdobeF" w:hAnsi="ZWAdobeF" w:cs="ZWAdobeF"/>
          <w:sz w:val="2"/>
          <w:szCs w:val="2"/>
        </w:rPr>
        <w:t>P</w:t>
      </w:r>
      <w:proofErr w:type="spellEnd"/>
      <w:r w:rsidRPr="006132DA">
        <w:rPr>
          <w:rFonts w:ascii="Cambria" w:hAnsi="Cambria"/>
        </w:rPr>
        <w:t xml:space="preserve"> Pico WTA System V2 (</w:t>
      </w:r>
      <w:proofErr w:type="spellStart"/>
      <w:r w:rsidRPr="006132DA">
        <w:rPr>
          <w:rFonts w:ascii="Cambria" w:hAnsi="Cambria"/>
        </w:rPr>
        <w:t>NuGen</w:t>
      </w:r>
      <w:proofErr w:type="spellEnd"/>
      <w:r w:rsidRPr="006132DA">
        <w:rPr>
          <w:rFonts w:ascii="Cambria" w:hAnsi="Cambria"/>
        </w:rPr>
        <w:t xml:space="preserve"> Technologies, San Carlos, CA). Fragmentation and labeling were performed using the </w:t>
      </w:r>
      <w:proofErr w:type="spellStart"/>
      <w:r w:rsidRPr="006132DA">
        <w:rPr>
          <w:rFonts w:ascii="Cambria" w:hAnsi="Cambria"/>
        </w:rPr>
        <w:t>Encore</w:t>
      </w:r>
      <w:r>
        <w:rPr>
          <w:rFonts w:ascii="ZWAdobeF" w:hAnsi="ZWAdobeF" w:cs="ZWAdobeF"/>
          <w:sz w:val="2"/>
          <w:szCs w:val="2"/>
        </w:rPr>
        <w:t>P</w:t>
      </w:r>
      <w:r w:rsidRPr="006132DA">
        <w:rPr>
          <w:rFonts w:ascii="Cambria" w:hAnsi="Cambria"/>
          <w:vertAlign w:val="superscript"/>
        </w:rPr>
        <w:t>®</w:t>
      </w:r>
      <w:r>
        <w:rPr>
          <w:rFonts w:ascii="ZWAdobeF" w:hAnsi="ZWAdobeF" w:cs="ZWAdobeF"/>
          <w:sz w:val="2"/>
          <w:szCs w:val="2"/>
        </w:rPr>
        <w:t>P</w:t>
      </w:r>
      <w:proofErr w:type="spellEnd"/>
      <w:r w:rsidRPr="006132DA">
        <w:rPr>
          <w:rFonts w:ascii="Cambria" w:hAnsi="Cambria"/>
        </w:rPr>
        <w:t xml:space="preserve"> Biotin Module (</w:t>
      </w:r>
      <w:proofErr w:type="spellStart"/>
      <w:r w:rsidRPr="006132DA">
        <w:rPr>
          <w:rFonts w:ascii="Cambria" w:hAnsi="Cambria"/>
        </w:rPr>
        <w:t>Nugen</w:t>
      </w:r>
      <w:proofErr w:type="spellEnd"/>
      <w:r w:rsidRPr="006132DA">
        <w:rPr>
          <w:rFonts w:ascii="Cambria" w:hAnsi="Cambria"/>
        </w:rPr>
        <w:t xml:space="preserve"> Technologies, San Carlos, CA). Labeled probes were hybridized on a </w:t>
      </w:r>
      <w:proofErr w:type="spellStart"/>
      <w:r w:rsidRPr="006132DA">
        <w:rPr>
          <w:rFonts w:ascii="Cambria" w:hAnsi="Cambria"/>
        </w:rPr>
        <w:t>GeneChip</w:t>
      </w:r>
      <w:r>
        <w:rPr>
          <w:rFonts w:ascii="ZWAdobeF" w:hAnsi="ZWAdobeF" w:cs="ZWAdobeF"/>
          <w:sz w:val="2"/>
          <w:szCs w:val="2"/>
        </w:rPr>
        <w:t>P</w:t>
      </w:r>
      <w:r w:rsidRPr="006132DA">
        <w:rPr>
          <w:rFonts w:ascii="Cambria" w:hAnsi="Cambria"/>
          <w:vertAlign w:val="superscript"/>
        </w:rPr>
        <w:t>®</w:t>
      </w:r>
      <w:r>
        <w:rPr>
          <w:rFonts w:ascii="ZWAdobeF" w:hAnsi="ZWAdobeF" w:cs="ZWAdobeF"/>
          <w:sz w:val="2"/>
          <w:szCs w:val="2"/>
        </w:rPr>
        <w:t>P</w:t>
      </w:r>
      <w:proofErr w:type="spellEnd"/>
      <w:r w:rsidRPr="006132DA">
        <w:rPr>
          <w:rFonts w:ascii="Cambria" w:hAnsi="Cambria"/>
        </w:rPr>
        <w:t xml:space="preserve"> </w:t>
      </w:r>
      <w:proofErr w:type="spellStart"/>
      <w:r w:rsidRPr="006132DA">
        <w:rPr>
          <w:rFonts w:ascii="Cambria" w:hAnsi="Cambria"/>
        </w:rPr>
        <w:t>PrimeView</w:t>
      </w:r>
      <w:proofErr w:type="spellEnd"/>
      <w:r w:rsidRPr="006132DA">
        <w:rPr>
          <w:rFonts w:ascii="Cambria" w:hAnsi="Cambria"/>
        </w:rPr>
        <w:t xml:space="preserve">™ Human Gene Expression Array (Affymetrix, Santa Clara, CA) according to the instructions of the manufacturer. The </w:t>
      </w:r>
      <w:proofErr w:type="spellStart"/>
      <w:r w:rsidRPr="006132DA">
        <w:rPr>
          <w:rFonts w:ascii="Cambria" w:hAnsi="Cambria"/>
        </w:rPr>
        <w:t>Affymetrix</w:t>
      </w:r>
      <w:r>
        <w:rPr>
          <w:rFonts w:ascii="ZWAdobeF" w:hAnsi="ZWAdobeF" w:cs="ZWAdobeF"/>
          <w:sz w:val="2"/>
          <w:szCs w:val="2"/>
        </w:rPr>
        <w:t>P</w:t>
      </w:r>
      <w:r w:rsidRPr="006132DA">
        <w:rPr>
          <w:rFonts w:ascii="Cambria" w:hAnsi="Cambria"/>
          <w:vertAlign w:val="superscript"/>
        </w:rPr>
        <w:t>®</w:t>
      </w:r>
      <w:r>
        <w:rPr>
          <w:rFonts w:ascii="ZWAdobeF" w:hAnsi="ZWAdobeF" w:cs="ZWAdobeF"/>
          <w:sz w:val="2"/>
          <w:szCs w:val="2"/>
        </w:rPr>
        <w:t>P</w:t>
      </w:r>
      <w:proofErr w:type="spellEnd"/>
      <w:r w:rsidRPr="006132DA">
        <w:rPr>
          <w:rFonts w:ascii="Cambria" w:hAnsi="Cambria"/>
        </w:rPr>
        <w:t xml:space="preserve"> Expression Console™ Software (v.1.4.1) (Affymetrix, Santa Clara, CA) was used for array quality control and generation of summarized expression values from the array intensity files.  Gene level differential expression analysis was performed with the Transcriptome Analysis Console (TAC) 3.0 Software (Affymetrix, Santa Clara, CA) using the Tukey’s Bi-weight average algorithm. The </w:t>
      </w:r>
      <w:proofErr w:type="spellStart"/>
      <w:r w:rsidRPr="006132DA">
        <w:rPr>
          <w:rFonts w:ascii="Cambria" w:hAnsi="Cambria"/>
        </w:rPr>
        <w:t>Benjamini</w:t>
      </w:r>
      <w:proofErr w:type="spellEnd"/>
      <w:r w:rsidRPr="006132DA">
        <w:rPr>
          <w:rFonts w:ascii="Cambria" w:hAnsi="Cambria"/>
        </w:rPr>
        <w:t xml:space="preserve">-Hochberg </w:t>
      </w:r>
      <w:r>
        <w:rPr>
          <w:rFonts w:ascii="Cambria" w:hAnsi="Cambria"/>
        </w:rPr>
        <w:t xml:space="preserve">false discovery rate (FDR) </w:t>
      </w:r>
      <w:r w:rsidRPr="006132DA">
        <w:rPr>
          <w:rFonts w:ascii="Cambria" w:hAnsi="Cambria"/>
        </w:rPr>
        <w:t>procedure was used</w:t>
      </w:r>
      <w:r>
        <w:rPr>
          <w:rFonts w:ascii="Cambria" w:hAnsi="Cambria"/>
        </w:rPr>
        <w:t xml:space="preserve"> to adjust</w:t>
      </w:r>
      <w:r w:rsidRPr="006132DA">
        <w:rPr>
          <w:rFonts w:ascii="Cambria" w:hAnsi="Cambria"/>
        </w:rPr>
        <w:t xml:space="preserve"> for multiple hypothesis testing. </w:t>
      </w:r>
    </w:p>
    <w:p w14:paraId="521C3A3C" w14:textId="77777777" w:rsidR="00DB4979" w:rsidRDefault="00DB4979"/>
    <w:p w14:paraId="46244014" w14:textId="7669BDD9" w:rsidR="00DB4979" w:rsidRPr="00DB4979" w:rsidRDefault="00DB4979">
      <w:pPr>
        <w:rPr>
          <w:rFonts w:asciiTheme="majorHAnsi" w:hAnsiTheme="majorHAnsi"/>
          <w:i/>
          <w:sz w:val="28"/>
          <w:szCs w:val="28"/>
          <w:lang w:val="en-GB"/>
        </w:rPr>
      </w:pPr>
      <w:r w:rsidRPr="00DB4979">
        <w:rPr>
          <w:rFonts w:asciiTheme="majorHAnsi" w:hAnsiTheme="majorHAnsi"/>
          <w:i/>
          <w:sz w:val="28"/>
          <w:szCs w:val="28"/>
          <w:lang w:val="en-GB"/>
        </w:rPr>
        <w:t>References</w:t>
      </w:r>
    </w:p>
    <w:p w14:paraId="440B65A0" w14:textId="77777777" w:rsidR="00DB4979" w:rsidRDefault="00DB4979"/>
    <w:p w14:paraId="6E1962CB" w14:textId="77777777" w:rsidR="00DB4979" w:rsidRPr="00DB4979" w:rsidRDefault="00DB4979" w:rsidP="00DB4979">
      <w:pPr>
        <w:pStyle w:val="EndNoteBibliography"/>
        <w:spacing w:line="360" w:lineRule="auto"/>
        <w:ind w:left="720" w:hanging="720"/>
        <w:rPr>
          <w:rFonts w:ascii="Cambria" w:hAnsi="Cambria"/>
          <w:lang w:val="en-US"/>
        </w:rPr>
      </w:pPr>
      <w:r w:rsidRPr="00DB4979">
        <w:rPr>
          <w:rFonts w:ascii="Cambria" w:hAnsi="Cambria"/>
          <w:lang w:val="en-US"/>
        </w:rPr>
        <w:fldChar w:fldCharType="begin"/>
      </w:r>
      <w:r w:rsidRPr="00DB4979">
        <w:rPr>
          <w:rFonts w:ascii="Cambria" w:hAnsi="Cambria"/>
          <w:lang w:val="en-US"/>
        </w:rPr>
        <w:instrText xml:space="preserve"> ADDIN EN.REFLIST </w:instrText>
      </w:r>
      <w:r w:rsidRPr="00DB4979">
        <w:rPr>
          <w:rFonts w:ascii="Cambria" w:hAnsi="Cambria"/>
          <w:lang w:val="en-US"/>
        </w:rPr>
        <w:fldChar w:fldCharType="separate"/>
      </w:r>
      <w:r w:rsidRPr="00DB4979">
        <w:rPr>
          <w:rFonts w:ascii="Cambria" w:hAnsi="Cambria"/>
          <w:lang w:val="en-US"/>
        </w:rPr>
        <w:t>1.</w:t>
      </w:r>
      <w:r w:rsidRPr="00DB4979">
        <w:rPr>
          <w:rFonts w:ascii="Cambria" w:hAnsi="Cambria"/>
          <w:lang w:val="en-US"/>
        </w:rPr>
        <w:tab/>
        <w:t>Karran EL, Sonoki T, Dyer MJ. Cloning of immunoglobulin chromosomal translocations by long-distance inverse polymerase chain reaction. Methods Mol Med. 2005;115217-30.</w:t>
      </w:r>
    </w:p>
    <w:p w14:paraId="4E1E6543" w14:textId="77777777" w:rsidR="00DB4979" w:rsidRPr="00DB4979" w:rsidRDefault="00DB4979" w:rsidP="00DB4979">
      <w:pPr>
        <w:pStyle w:val="EndNoteBibliography"/>
        <w:spacing w:line="360" w:lineRule="auto"/>
        <w:ind w:left="720" w:hanging="720"/>
        <w:rPr>
          <w:rFonts w:ascii="Cambria" w:hAnsi="Cambria"/>
          <w:lang w:val="en-US"/>
        </w:rPr>
      </w:pPr>
      <w:r w:rsidRPr="00DB4979">
        <w:rPr>
          <w:rFonts w:ascii="Cambria" w:hAnsi="Cambria"/>
          <w:lang w:val="en-US"/>
        </w:rPr>
        <w:t>2.</w:t>
      </w:r>
      <w:r w:rsidRPr="00DB4979">
        <w:rPr>
          <w:rFonts w:ascii="Cambria" w:hAnsi="Cambria"/>
          <w:lang w:val="en-US"/>
        </w:rPr>
        <w:tab/>
        <w:t>Willis TG, Jadayel DM, Coignet LJ, Abdul-Rauf M, Treleaven JG, Catovsky D, et al. Rapid molecular cloning of rearrangements of the IGHJ locus using long-distance inverse polymerase chain reaction. Blood. 1997;90(6):2456-64.</w:t>
      </w:r>
    </w:p>
    <w:p w14:paraId="4F6FB446" w14:textId="77777777" w:rsidR="00DB4979" w:rsidRPr="00DB4979" w:rsidRDefault="00DB4979" w:rsidP="00DB4979">
      <w:pPr>
        <w:pStyle w:val="EndNoteBibliography"/>
        <w:spacing w:line="360" w:lineRule="auto"/>
        <w:ind w:left="720" w:hanging="720"/>
        <w:rPr>
          <w:rFonts w:ascii="Cambria" w:hAnsi="Cambria"/>
          <w:lang w:val="en-US"/>
        </w:rPr>
      </w:pPr>
      <w:r w:rsidRPr="00DB4979">
        <w:rPr>
          <w:rFonts w:ascii="Cambria" w:hAnsi="Cambria"/>
          <w:lang w:val="en-US"/>
        </w:rPr>
        <w:t>3.</w:t>
      </w:r>
      <w:r w:rsidRPr="00DB4979">
        <w:rPr>
          <w:rFonts w:ascii="Cambria" w:hAnsi="Cambria"/>
          <w:lang w:val="en-US"/>
        </w:rPr>
        <w:tab/>
        <w:t>Sonoki T, Willis TG, Oscier DG, Karran EL, Siebert R, Dyer MJ. Rapid amplification of immunoglobulin heavy chain switch (IGHS) translocation breakpoints using long-distance inverse PCR. Leukemia. 2004;18(12):2026-31.</w:t>
      </w:r>
    </w:p>
    <w:p w14:paraId="5E46254C" w14:textId="77777777" w:rsidR="00DB4979" w:rsidRPr="00DB4979" w:rsidRDefault="00DB4979" w:rsidP="00DB4979">
      <w:pPr>
        <w:pStyle w:val="EndNoteBibliography"/>
        <w:spacing w:line="360" w:lineRule="auto"/>
        <w:ind w:left="720" w:hanging="720"/>
        <w:rPr>
          <w:rFonts w:ascii="Cambria" w:hAnsi="Cambria"/>
          <w:lang w:val="en-US"/>
        </w:rPr>
      </w:pPr>
      <w:r w:rsidRPr="00DB4979">
        <w:rPr>
          <w:rFonts w:ascii="Cambria" w:hAnsi="Cambria"/>
          <w:lang w:val="en-US"/>
        </w:rPr>
        <w:t>4.</w:t>
      </w:r>
      <w:r w:rsidRPr="00DB4979">
        <w:rPr>
          <w:rFonts w:ascii="Cambria" w:hAnsi="Cambria"/>
          <w:lang w:val="en-US"/>
        </w:rPr>
        <w:tab/>
        <w:t>Livak KJ, Schmittgen TD. Analysis of relative gene expression data using real-time quantitative PCR and the 2(-Delta Delta C(T)) Method. Methods. 2001;25(4):402-8.</w:t>
      </w:r>
    </w:p>
    <w:p w14:paraId="66A2BB4E" w14:textId="0C4215AC" w:rsidR="00E32057" w:rsidRPr="00DB4979" w:rsidRDefault="00DB4979">
      <w:pPr>
        <w:rPr>
          <w:rFonts w:ascii="Cambria" w:hAnsi="Cambria"/>
        </w:rPr>
      </w:pPr>
      <w:r w:rsidRPr="00DB4979">
        <w:rPr>
          <w:rFonts w:ascii="Cambria" w:hAnsi="Cambria"/>
        </w:rPr>
        <w:fldChar w:fldCharType="end"/>
      </w:r>
    </w:p>
    <w:sectPr w:rsidR="00E32057" w:rsidRPr="00DB4979" w:rsidSect="00F7586D">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ZWAdobeF">
    <w:altName w:val="Arial"/>
    <w:charset w:val="00"/>
    <w:family w:val="auto"/>
    <w:pitch w:val="variable"/>
    <w:sig w:usb0="20002A87" w:usb1="00000000" w:usb2="00000000" w:usb3="00000000" w:csb0="000001F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Molecular Cytogene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r5zfr9kzea0rez0965xf2ossezde05tz55&quot;&gt;My EndNote Library&lt;record-ids&gt;&lt;item&gt;90&lt;/item&gt;&lt;item&gt;91&lt;/item&gt;&lt;item&gt;92&lt;/item&gt;&lt;item&gt;460&lt;/item&gt;&lt;/record-ids&gt;&lt;/item&gt;&lt;/Libraries&gt;"/>
  </w:docVars>
  <w:rsids>
    <w:rsidRoot w:val="0012607A"/>
    <w:rsid w:val="0012607A"/>
    <w:rsid w:val="00490120"/>
    <w:rsid w:val="009C6D2B"/>
    <w:rsid w:val="00B903EC"/>
    <w:rsid w:val="00DB4979"/>
    <w:rsid w:val="00E22BAB"/>
    <w:rsid w:val="00F7586D"/>
    <w:rsid w:val="00FF06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0B334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607A"/>
    <w:pPr>
      <w:spacing w:line="360" w:lineRule="auto"/>
      <w:jc w:val="both"/>
    </w:pPr>
    <w:rPr>
      <w:rFonts w:eastAsia="Times New Roman" w:cs="Times New Roman"/>
      <w:sz w:val="22"/>
      <w:lang w:val="en-US" w:eastAsia="de-DE"/>
    </w:rPr>
  </w:style>
  <w:style w:type="paragraph" w:styleId="berschrift2">
    <w:name w:val="heading 2"/>
    <w:basedOn w:val="Standard"/>
    <w:next w:val="Standard"/>
    <w:link w:val="berschrift2Zeichen"/>
    <w:uiPriority w:val="9"/>
    <w:semiHidden/>
    <w:unhideWhenUsed/>
    <w:qFormat/>
    <w:rsid w:val="0012607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Schwarz">
    <w:name w:val="Ü2 Schwarz"/>
    <w:basedOn w:val="berschrift2"/>
    <w:qFormat/>
    <w:rsid w:val="0012607A"/>
    <w:pPr>
      <w:spacing w:before="200" w:after="120"/>
    </w:pPr>
    <w:rPr>
      <w:rFonts w:ascii="Calibri" w:eastAsia="MS Gothic" w:hAnsi="Calibri" w:cs="Times New Roman"/>
      <w:b/>
      <w:bCs/>
      <w:color w:val="auto"/>
      <w:sz w:val="30"/>
      <w:lang w:eastAsia="ja-JP"/>
    </w:rPr>
  </w:style>
  <w:style w:type="character" w:customStyle="1" w:styleId="berschrift2Zeichen">
    <w:name w:val="Überschrift 2 Zeichen"/>
    <w:basedOn w:val="Absatzstandardschriftart"/>
    <w:link w:val="berschrift2"/>
    <w:uiPriority w:val="9"/>
    <w:semiHidden/>
    <w:rsid w:val="0012607A"/>
    <w:rPr>
      <w:rFonts w:asciiTheme="majorHAnsi" w:eastAsiaTheme="majorEastAsia" w:hAnsiTheme="majorHAnsi" w:cstheme="majorBidi"/>
      <w:color w:val="2F5496" w:themeColor="accent1" w:themeShade="BF"/>
      <w:sz w:val="26"/>
      <w:szCs w:val="26"/>
      <w:lang w:val="en-US" w:eastAsia="de-DE"/>
    </w:rPr>
  </w:style>
  <w:style w:type="paragraph" w:customStyle="1" w:styleId="EndNoteBibliographyTitle">
    <w:name w:val="EndNote Bibliography Title"/>
    <w:basedOn w:val="Standard"/>
    <w:rsid w:val="00DB4979"/>
    <w:pPr>
      <w:jc w:val="center"/>
    </w:pPr>
    <w:rPr>
      <w:rFonts w:ascii="Calibri" w:hAnsi="Calibri"/>
      <w:lang w:val="de-DE"/>
    </w:rPr>
  </w:style>
  <w:style w:type="paragraph" w:customStyle="1" w:styleId="EndNoteBibliography">
    <w:name w:val="EndNote Bibliography"/>
    <w:basedOn w:val="Standard"/>
    <w:rsid w:val="00DB4979"/>
    <w:pPr>
      <w:spacing w:line="240" w:lineRule="auto"/>
    </w:pPr>
    <w:rPr>
      <w:rFonts w:ascii="Calibri" w:hAnsi="Calibri"/>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607A"/>
    <w:pPr>
      <w:spacing w:line="360" w:lineRule="auto"/>
      <w:jc w:val="both"/>
    </w:pPr>
    <w:rPr>
      <w:rFonts w:eastAsia="Times New Roman" w:cs="Times New Roman"/>
      <w:sz w:val="22"/>
      <w:lang w:val="en-US" w:eastAsia="de-DE"/>
    </w:rPr>
  </w:style>
  <w:style w:type="paragraph" w:styleId="berschrift2">
    <w:name w:val="heading 2"/>
    <w:basedOn w:val="Standard"/>
    <w:next w:val="Standard"/>
    <w:link w:val="berschrift2Zeichen"/>
    <w:uiPriority w:val="9"/>
    <w:semiHidden/>
    <w:unhideWhenUsed/>
    <w:qFormat/>
    <w:rsid w:val="0012607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Schwarz">
    <w:name w:val="Ü2 Schwarz"/>
    <w:basedOn w:val="berschrift2"/>
    <w:qFormat/>
    <w:rsid w:val="0012607A"/>
    <w:pPr>
      <w:spacing w:before="200" w:after="120"/>
    </w:pPr>
    <w:rPr>
      <w:rFonts w:ascii="Calibri" w:eastAsia="MS Gothic" w:hAnsi="Calibri" w:cs="Times New Roman"/>
      <w:b/>
      <w:bCs/>
      <w:color w:val="auto"/>
      <w:sz w:val="30"/>
      <w:lang w:eastAsia="ja-JP"/>
    </w:rPr>
  </w:style>
  <w:style w:type="character" w:customStyle="1" w:styleId="berschrift2Zeichen">
    <w:name w:val="Überschrift 2 Zeichen"/>
    <w:basedOn w:val="Absatzstandardschriftart"/>
    <w:link w:val="berschrift2"/>
    <w:uiPriority w:val="9"/>
    <w:semiHidden/>
    <w:rsid w:val="0012607A"/>
    <w:rPr>
      <w:rFonts w:asciiTheme="majorHAnsi" w:eastAsiaTheme="majorEastAsia" w:hAnsiTheme="majorHAnsi" w:cstheme="majorBidi"/>
      <w:color w:val="2F5496" w:themeColor="accent1" w:themeShade="BF"/>
      <w:sz w:val="26"/>
      <w:szCs w:val="26"/>
      <w:lang w:val="en-US" w:eastAsia="de-DE"/>
    </w:rPr>
  </w:style>
  <w:style w:type="paragraph" w:customStyle="1" w:styleId="EndNoteBibliographyTitle">
    <w:name w:val="EndNote Bibliography Title"/>
    <w:basedOn w:val="Standard"/>
    <w:rsid w:val="00DB4979"/>
    <w:pPr>
      <w:jc w:val="center"/>
    </w:pPr>
    <w:rPr>
      <w:rFonts w:ascii="Calibri" w:hAnsi="Calibri"/>
      <w:lang w:val="de-DE"/>
    </w:rPr>
  </w:style>
  <w:style w:type="paragraph" w:customStyle="1" w:styleId="EndNoteBibliography">
    <w:name w:val="EndNote Bibliography"/>
    <w:basedOn w:val="Standard"/>
    <w:rsid w:val="00DB4979"/>
    <w:pPr>
      <w:spacing w:line="240" w:lineRule="auto"/>
    </w:pPr>
    <w:rPr>
      <w:rFonts w:ascii="Calibri" w:hAnsi="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6779</Characters>
  <Application>Microsoft Macintosh Word</Application>
  <DocSecurity>0</DocSecurity>
  <Lines>56</Lines>
  <Paragraphs>15</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Additional File 1: Material and Methods </vt:lpstr>
    </vt:vector>
  </TitlesOfParts>
  <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Theodora Malli</dc:creator>
  <cp:keywords/>
  <dc:description/>
  <cp:lastModifiedBy>Theodora Malli</cp:lastModifiedBy>
  <cp:revision>6</cp:revision>
  <dcterms:created xsi:type="dcterms:W3CDTF">2017-12-04T11:11:00Z</dcterms:created>
  <dcterms:modified xsi:type="dcterms:W3CDTF">2018-01-03T11:57:00Z</dcterms:modified>
</cp:coreProperties>
</file>