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A4" w:rsidRPr="002749A4" w:rsidRDefault="002749A4" w:rsidP="002749A4">
      <w:pPr>
        <w:spacing w:after="0" w:line="360" w:lineRule="auto"/>
        <w:rPr>
          <w:b/>
          <w:szCs w:val="24"/>
          <w:lang w:val="en-SG"/>
        </w:rPr>
      </w:pPr>
      <w:r w:rsidRPr="002749A4">
        <w:rPr>
          <w:b/>
          <w:szCs w:val="24"/>
          <w:lang w:val="en-SG"/>
        </w:rPr>
        <w:t>Risk Factors and Direct Medical Cost of Early versus Late Unplanned Readmissions among Diabetes Patients at a Tertiary Hospital in Singapore</w:t>
      </w:r>
    </w:p>
    <w:p w:rsidR="002749A4" w:rsidRDefault="002749A4">
      <w:pPr>
        <w:rPr>
          <w:b/>
          <w:lang w:val="en-SG"/>
        </w:rPr>
      </w:pPr>
    </w:p>
    <w:p w:rsidR="004270D4" w:rsidRPr="002749A4" w:rsidRDefault="002749A4" w:rsidP="002749A4">
      <w:pPr>
        <w:jc w:val="center"/>
        <w:rPr>
          <w:b/>
          <w:lang w:val="en-SG"/>
        </w:rPr>
      </w:pPr>
      <w:r w:rsidRPr="002749A4">
        <w:rPr>
          <w:b/>
          <w:lang w:val="en-SG"/>
        </w:rPr>
        <w:t>SUPPLEMENTAL MATERIALS</w:t>
      </w:r>
    </w:p>
    <w:p w:rsidR="002749A4" w:rsidRPr="005F4B3E" w:rsidRDefault="005F4B3E">
      <w:pPr>
        <w:rPr>
          <w:b/>
          <w:u w:val="single"/>
          <w:lang w:val="en-SG"/>
        </w:rPr>
      </w:pPr>
      <w:r w:rsidRPr="005F4B3E">
        <w:rPr>
          <w:b/>
          <w:u w:val="single"/>
          <w:lang w:val="en-SG"/>
        </w:rPr>
        <w:t>Appendix 1</w:t>
      </w:r>
    </w:p>
    <w:p w:rsidR="005F4B3E" w:rsidRDefault="005F4B3E">
      <w:pPr>
        <w:rPr>
          <w:b/>
          <w:lang w:val="en-SG"/>
        </w:rPr>
      </w:pPr>
      <w:r>
        <w:rPr>
          <w:b/>
          <w:lang w:val="en-SG"/>
        </w:rPr>
        <w:t>Methods – Identification of independent variables</w:t>
      </w:r>
    </w:p>
    <w:p w:rsidR="00460572" w:rsidRPr="00460572" w:rsidRDefault="00460572">
      <w:pPr>
        <w:rPr>
          <w:lang w:val="en-SG"/>
        </w:rPr>
      </w:pPr>
      <w:bookmarkStart w:id="0" w:name="_GoBack"/>
      <w:r>
        <w:rPr>
          <w:lang w:val="en-SG"/>
        </w:rPr>
        <w:t>Table of significant risk factors/predictors identified from literature review</w:t>
      </w:r>
    </w:p>
    <w:tbl>
      <w:tblPr>
        <w:tblStyle w:val="TableGrid"/>
        <w:tblW w:w="13698" w:type="dxa"/>
        <w:tblLook w:val="04A0" w:firstRow="1" w:lastRow="0" w:firstColumn="1" w:lastColumn="0" w:noHBand="0" w:noVBand="1"/>
      </w:tblPr>
      <w:tblGrid>
        <w:gridCol w:w="1500"/>
        <w:gridCol w:w="1398"/>
        <w:gridCol w:w="2340"/>
        <w:gridCol w:w="4950"/>
        <w:gridCol w:w="3510"/>
      </w:tblGrid>
      <w:tr w:rsidR="00A05349" w:rsidRPr="00A05349" w:rsidTr="00762E4C">
        <w:trPr>
          <w:trHeight w:val="20"/>
        </w:trPr>
        <w:tc>
          <w:tcPr>
            <w:tcW w:w="1500" w:type="dxa"/>
            <w:hideMark/>
          </w:tcPr>
          <w:bookmarkEnd w:id="0"/>
          <w:p w:rsidR="00A05349" w:rsidRPr="00FE2829" w:rsidRDefault="00A05349">
            <w:pPr>
              <w:rPr>
                <w:b/>
                <w:bCs/>
                <w:sz w:val="18"/>
                <w:szCs w:val="18"/>
              </w:rPr>
            </w:pPr>
            <w:r w:rsidRPr="00FE2829">
              <w:rPr>
                <w:b/>
                <w:bCs/>
                <w:sz w:val="18"/>
                <w:szCs w:val="18"/>
              </w:rPr>
              <w:t>Reference</w:t>
            </w:r>
          </w:p>
        </w:tc>
        <w:tc>
          <w:tcPr>
            <w:tcW w:w="1398" w:type="dxa"/>
            <w:hideMark/>
          </w:tcPr>
          <w:p w:rsidR="00A05349" w:rsidRPr="00FE2829" w:rsidRDefault="00A05349">
            <w:pPr>
              <w:rPr>
                <w:b/>
                <w:bCs/>
                <w:sz w:val="18"/>
                <w:szCs w:val="18"/>
              </w:rPr>
            </w:pPr>
            <w:r w:rsidRPr="00FE2829">
              <w:rPr>
                <w:b/>
                <w:bCs/>
                <w:sz w:val="18"/>
                <w:szCs w:val="18"/>
              </w:rPr>
              <w:t>Readmission (Days)</w:t>
            </w:r>
          </w:p>
        </w:tc>
        <w:tc>
          <w:tcPr>
            <w:tcW w:w="2340" w:type="dxa"/>
            <w:hideMark/>
          </w:tcPr>
          <w:p w:rsidR="00A05349" w:rsidRPr="00FE2829" w:rsidRDefault="00A05349">
            <w:pPr>
              <w:rPr>
                <w:b/>
                <w:bCs/>
                <w:sz w:val="18"/>
                <w:szCs w:val="18"/>
              </w:rPr>
            </w:pPr>
            <w:r w:rsidRPr="00FE2829">
              <w:rPr>
                <w:b/>
                <w:bCs/>
                <w:sz w:val="18"/>
                <w:szCs w:val="18"/>
              </w:rPr>
              <w:t>Population</w:t>
            </w:r>
          </w:p>
        </w:tc>
        <w:tc>
          <w:tcPr>
            <w:tcW w:w="4950" w:type="dxa"/>
            <w:tcBorders>
              <w:bottom w:val="single" w:sz="4" w:space="0" w:color="auto"/>
            </w:tcBorders>
            <w:hideMark/>
          </w:tcPr>
          <w:p w:rsidR="00A05349" w:rsidRPr="00FE2829" w:rsidRDefault="00A05349" w:rsidP="00A05349">
            <w:pPr>
              <w:ind w:left="252" w:hanging="252"/>
              <w:rPr>
                <w:b/>
                <w:bCs/>
                <w:sz w:val="18"/>
                <w:szCs w:val="18"/>
              </w:rPr>
            </w:pPr>
            <w:r w:rsidRPr="00FE2829">
              <w:rPr>
                <w:b/>
                <w:bCs/>
                <w:sz w:val="18"/>
                <w:szCs w:val="18"/>
              </w:rPr>
              <w:t>Significant Risk factors/ Predictors</w:t>
            </w:r>
          </w:p>
        </w:tc>
        <w:tc>
          <w:tcPr>
            <w:tcW w:w="3510" w:type="dxa"/>
            <w:tcBorders>
              <w:bottom w:val="single" w:sz="4" w:space="0" w:color="auto"/>
            </w:tcBorders>
            <w:hideMark/>
          </w:tcPr>
          <w:p w:rsidR="00A05349" w:rsidRPr="00FE2829" w:rsidRDefault="00A05349">
            <w:pPr>
              <w:rPr>
                <w:b/>
                <w:bCs/>
                <w:sz w:val="18"/>
                <w:szCs w:val="18"/>
              </w:rPr>
            </w:pPr>
            <w:r w:rsidRPr="00FE2829">
              <w:rPr>
                <w:b/>
                <w:bCs/>
                <w:sz w:val="18"/>
                <w:szCs w:val="18"/>
              </w:rPr>
              <w:t>Effect size (95%CI)</w:t>
            </w:r>
          </w:p>
        </w:tc>
      </w:tr>
      <w:tr w:rsidR="001D6937" w:rsidRPr="00A05349" w:rsidTr="00762E4C">
        <w:trPr>
          <w:trHeight w:val="20"/>
        </w:trPr>
        <w:tc>
          <w:tcPr>
            <w:tcW w:w="1500" w:type="dxa"/>
            <w:vMerge w:val="restart"/>
            <w:hideMark/>
          </w:tcPr>
          <w:p w:rsidR="001D6937" w:rsidRPr="00FE2829" w:rsidRDefault="001D6937">
            <w:pPr>
              <w:rPr>
                <w:sz w:val="18"/>
                <w:szCs w:val="18"/>
              </w:rPr>
            </w:pPr>
            <w:proofErr w:type="spellStart"/>
            <w:r w:rsidRPr="00FE2829">
              <w:rPr>
                <w:sz w:val="18"/>
                <w:szCs w:val="18"/>
              </w:rPr>
              <w:t>Caughey</w:t>
            </w:r>
            <w:proofErr w:type="spellEnd"/>
            <w:r w:rsidRPr="00FE2829">
              <w:rPr>
                <w:sz w:val="18"/>
                <w:szCs w:val="18"/>
              </w:rPr>
              <w:t xml:space="preserve"> et al, 2017</w:t>
            </w:r>
            <w:r w:rsidR="00133E7F">
              <w:rPr>
                <w:sz w:val="18"/>
                <w:szCs w:val="18"/>
              </w:rPr>
              <w:t xml:space="preserve"> [1]</w:t>
            </w:r>
          </w:p>
        </w:tc>
        <w:tc>
          <w:tcPr>
            <w:tcW w:w="1398" w:type="dxa"/>
            <w:vMerge w:val="restart"/>
            <w:hideMark/>
          </w:tcPr>
          <w:p w:rsidR="001D6937" w:rsidRPr="00FE2829" w:rsidRDefault="001D6937">
            <w:pPr>
              <w:rPr>
                <w:sz w:val="18"/>
                <w:szCs w:val="18"/>
              </w:rPr>
            </w:pPr>
            <w:r w:rsidRPr="00FE2829">
              <w:rPr>
                <w:sz w:val="18"/>
                <w:szCs w:val="18"/>
              </w:rPr>
              <w:t>30</w:t>
            </w:r>
          </w:p>
        </w:tc>
        <w:tc>
          <w:tcPr>
            <w:tcW w:w="2340" w:type="dxa"/>
            <w:vMerge w:val="restart"/>
            <w:tcBorders>
              <w:right w:val="single" w:sz="4" w:space="0" w:color="auto"/>
            </w:tcBorders>
            <w:hideMark/>
          </w:tcPr>
          <w:p w:rsidR="001D6937" w:rsidRPr="00FE2829" w:rsidRDefault="001D6937" w:rsidP="00FE2829">
            <w:pPr>
              <w:rPr>
                <w:sz w:val="18"/>
                <w:szCs w:val="18"/>
              </w:rPr>
            </w:pPr>
            <w:r w:rsidRPr="00FE2829">
              <w:rPr>
                <w:sz w:val="18"/>
                <w:szCs w:val="18"/>
              </w:rPr>
              <w:t xml:space="preserve">Older patients with diabetes identified from the health claims database of the </w:t>
            </w:r>
            <w:r w:rsidR="00FE2829">
              <w:rPr>
                <w:sz w:val="18"/>
                <w:szCs w:val="18"/>
              </w:rPr>
              <w:t>Department of Veterans' Affairs</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Comorbid condition: heart failure</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proofErr w:type="spellStart"/>
            <w:r w:rsidRPr="00FE2829">
              <w:rPr>
                <w:sz w:val="18"/>
                <w:szCs w:val="18"/>
              </w:rPr>
              <w:t>aOR</w:t>
            </w:r>
            <w:proofErr w:type="spellEnd"/>
            <w:r w:rsidRPr="00FE2829">
              <w:rPr>
                <w:sz w:val="18"/>
                <w:szCs w:val="18"/>
              </w:rPr>
              <w:t xml:space="preserve"> = 1.49 (1.03-2.17)</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No. of prescribers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roofErr w:type="spellStart"/>
            <w:r w:rsidRPr="00FE2829">
              <w:rPr>
                <w:sz w:val="18"/>
                <w:szCs w:val="18"/>
              </w:rPr>
              <w:t>aOR</w:t>
            </w:r>
            <w:proofErr w:type="spellEnd"/>
            <w:r w:rsidRPr="00FE2829">
              <w:rPr>
                <w:sz w:val="18"/>
                <w:szCs w:val="18"/>
              </w:rPr>
              <w:t xml:space="preserve"> = 1.06 (1.01-1.08)</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A05349">
            <w:pPr>
              <w:ind w:left="252" w:hanging="252"/>
              <w:rPr>
                <w:sz w:val="18"/>
                <w:szCs w:val="18"/>
              </w:rPr>
            </w:pPr>
            <w:r w:rsidRPr="00FE2829">
              <w:rPr>
                <w:sz w:val="18"/>
                <w:szCs w:val="18"/>
              </w:rPr>
              <w:t>≥2 hospitalizations during 6 months before index admission</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proofErr w:type="spellStart"/>
            <w:r w:rsidRPr="00FE2829">
              <w:rPr>
                <w:sz w:val="18"/>
                <w:szCs w:val="18"/>
              </w:rPr>
              <w:t>aOR</w:t>
            </w:r>
            <w:proofErr w:type="spellEnd"/>
            <w:r w:rsidRPr="00FE2829">
              <w:rPr>
                <w:sz w:val="18"/>
                <w:szCs w:val="18"/>
              </w:rPr>
              <w:t xml:space="preserve"> = 1.79 (1.15-2.78)</w:t>
            </w:r>
          </w:p>
        </w:tc>
      </w:tr>
      <w:tr w:rsidR="001D6937" w:rsidRPr="00A05349" w:rsidTr="00762E4C">
        <w:trPr>
          <w:trHeight w:val="20"/>
        </w:trPr>
        <w:tc>
          <w:tcPr>
            <w:tcW w:w="1500" w:type="dxa"/>
            <w:vMerge w:val="restart"/>
            <w:hideMark/>
          </w:tcPr>
          <w:p w:rsidR="001D6937" w:rsidRPr="00FE2829" w:rsidRDefault="001D6937">
            <w:pPr>
              <w:rPr>
                <w:sz w:val="18"/>
                <w:szCs w:val="18"/>
              </w:rPr>
            </w:pPr>
            <w:r w:rsidRPr="00FE2829">
              <w:rPr>
                <w:sz w:val="18"/>
                <w:szCs w:val="18"/>
              </w:rPr>
              <w:t>Collins et al, 2017</w:t>
            </w:r>
            <w:r w:rsidR="00133E7F">
              <w:rPr>
                <w:sz w:val="18"/>
                <w:szCs w:val="18"/>
              </w:rPr>
              <w:t xml:space="preserve"> [2]</w:t>
            </w:r>
          </w:p>
        </w:tc>
        <w:tc>
          <w:tcPr>
            <w:tcW w:w="1398" w:type="dxa"/>
            <w:vMerge w:val="restart"/>
            <w:hideMark/>
          </w:tcPr>
          <w:p w:rsidR="001D6937" w:rsidRPr="00FE2829" w:rsidRDefault="001D6937">
            <w:pPr>
              <w:rPr>
                <w:sz w:val="18"/>
                <w:szCs w:val="18"/>
              </w:rPr>
            </w:pPr>
            <w:r w:rsidRPr="00FE2829">
              <w:rPr>
                <w:sz w:val="18"/>
                <w:szCs w:val="18"/>
              </w:rPr>
              <w:t>30</w:t>
            </w:r>
          </w:p>
        </w:tc>
        <w:tc>
          <w:tcPr>
            <w:tcW w:w="2340" w:type="dxa"/>
            <w:vMerge w:val="restart"/>
            <w:tcBorders>
              <w:right w:val="single" w:sz="4" w:space="0" w:color="auto"/>
            </w:tcBorders>
            <w:hideMark/>
          </w:tcPr>
          <w:p w:rsidR="001D6937" w:rsidRPr="00FE2829" w:rsidRDefault="001D6937">
            <w:pPr>
              <w:rPr>
                <w:sz w:val="18"/>
                <w:szCs w:val="18"/>
              </w:rPr>
            </w:pPr>
            <w:r w:rsidRPr="00FE2829">
              <w:rPr>
                <w:sz w:val="18"/>
                <w:szCs w:val="18"/>
              </w:rPr>
              <w:t>Medicare patients with type 2 diabetes</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sz w:val="18"/>
                <w:szCs w:val="18"/>
              </w:rPr>
              <w:t>Age (&lt;65 years):</w:t>
            </w:r>
          </w:p>
        </w:tc>
        <w:tc>
          <w:tcPr>
            <w:tcW w:w="3510" w:type="dxa"/>
            <w:tcBorders>
              <w:top w:val="single" w:sz="4" w:space="0" w:color="auto"/>
              <w:left w:val="single" w:sz="4" w:space="0" w:color="auto"/>
              <w:bottom w:val="nil"/>
              <w:right w:val="single" w:sz="4" w:space="0" w:color="auto"/>
            </w:tcBorders>
            <w:hideMark/>
          </w:tcPr>
          <w:p w:rsidR="001D6937" w:rsidRPr="00FE2829" w:rsidRDefault="001D6937">
            <w:pPr>
              <w:rPr>
                <w:sz w:val="18"/>
                <w:szCs w:val="18"/>
              </w:rPr>
            </w:pP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75-79</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1.25 (1.12-1.39)</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80-84</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1.31 (1.17-1.46)</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85-89</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1.24 (1.09-1.42)</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Male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1.17 (1.09-1.25)</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No. of emergency room visits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1.20 (1.19-1.22)</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Inpatient length of stay, days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1.02 (1.01-1.02)</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Baseline comorbidities: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Diseases of the urinary system</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1.58 (1.44-1.72)</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Fluid and electrolyte disorders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1.76 (1.64-1.89)</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Diseases of white blood cells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1.43 (1.31-1.56)</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Other nervous system disorders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1.42 (1.32-1.52)</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Diseases of the heart</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1.58 (1.40-1.78)</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Respiratory failure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1.43 (1.32-1.54)</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Other lower respiratory diseases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1.57 (1.45-1.70)</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Gastrointestinal hemorrhage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1.56 (1.42-1.71)</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Liver diseases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1.41 (1.30-1.53)</w:t>
            </w:r>
          </w:p>
        </w:tc>
      </w:tr>
      <w:tr w:rsidR="001D6937" w:rsidRPr="00A05349" w:rsidTr="00762E4C">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34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1D6937">
            <w:pPr>
              <w:ind w:left="252"/>
              <w:rPr>
                <w:sz w:val="18"/>
                <w:szCs w:val="18"/>
              </w:rPr>
            </w:pPr>
            <w:r w:rsidRPr="00FE2829">
              <w:rPr>
                <w:sz w:val="18"/>
                <w:szCs w:val="18"/>
              </w:rPr>
              <w:t>Hemodialysis</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OR = 1.47 (1.28-1.70)</w:t>
            </w:r>
          </w:p>
        </w:tc>
      </w:tr>
    </w:tbl>
    <w:p w:rsidR="00D067B4" w:rsidRDefault="00D067B4">
      <w:r>
        <w:br w:type="page"/>
      </w:r>
    </w:p>
    <w:tbl>
      <w:tblPr>
        <w:tblStyle w:val="TableGrid"/>
        <w:tblW w:w="13878" w:type="dxa"/>
        <w:tblLook w:val="04A0" w:firstRow="1" w:lastRow="0" w:firstColumn="1" w:lastColumn="0" w:noHBand="0" w:noVBand="1"/>
      </w:tblPr>
      <w:tblGrid>
        <w:gridCol w:w="1500"/>
        <w:gridCol w:w="1398"/>
        <w:gridCol w:w="2520"/>
        <w:gridCol w:w="4950"/>
        <w:gridCol w:w="3510"/>
      </w:tblGrid>
      <w:tr w:rsidR="00FE2829" w:rsidRPr="00A05349" w:rsidTr="00D067B4">
        <w:trPr>
          <w:trHeight w:val="20"/>
        </w:trPr>
        <w:tc>
          <w:tcPr>
            <w:tcW w:w="1500" w:type="dxa"/>
            <w:vMerge w:val="restart"/>
            <w:hideMark/>
          </w:tcPr>
          <w:p w:rsidR="00FE2829" w:rsidRPr="00FE2829" w:rsidRDefault="00FE2829">
            <w:pPr>
              <w:rPr>
                <w:sz w:val="18"/>
                <w:szCs w:val="18"/>
              </w:rPr>
            </w:pPr>
            <w:r w:rsidRPr="00FE2829">
              <w:rPr>
                <w:sz w:val="18"/>
                <w:szCs w:val="18"/>
              </w:rPr>
              <w:lastRenderedPageBreak/>
              <w:t>McCoy et al, 2017</w:t>
            </w:r>
            <w:r w:rsidR="00133E7F">
              <w:rPr>
                <w:sz w:val="18"/>
                <w:szCs w:val="18"/>
              </w:rPr>
              <w:t xml:space="preserve"> [3]</w:t>
            </w:r>
          </w:p>
        </w:tc>
        <w:tc>
          <w:tcPr>
            <w:tcW w:w="1398" w:type="dxa"/>
            <w:vMerge w:val="restart"/>
            <w:hideMark/>
          </w:tcPr>
          <w:p w:rsidR="00FE2829" w:rsidRPr="00FE2829" w:rsidRDefault="00FE2829">
            <w:pPr>
              <w:rPr>
                <w:sz w:val="18"/>
                <w:szCs w:val="18"/>
              </w:rPr>
            </w:pPr>
            <w:r w:rsidRPr="00FE2829">
              <w:rPr>
                <w:sz w:val="18"/>
                <w:szCs w:val="18"/>
              </w:rPr>
              <w:t>30</w:t>
            </w:r>
          </w:p>
        </w:tc>
        <w:tc>
          <w:tcPr>
            <w:tcW w:w="2520" w:type="dxa"/>
            <w:vMerge w:val="restart"/>
            <w:tcBorders>
              <w:right w:val="single" w:sz="4" w:space="0" w:color="auto"/>
            </w:tcBorders>
            <w:hideMark/>
          </w:tcPr>
          <w:p w:rsidR="00FE2829" w:rsidRPr="00FE2829" w:rsidRDefault="00FE2829">
            <w:pPr>
              <w:rPr>
                <w:sz w:val="18"/>
                <w:szCs w:val="18"/>
              </w:rPr>
            </w:pPr>
            <w:r w:rsidRPr="00FE2829">
              <w:rPr>
                <w:sz w:val="18"/>
                <w:szCs w:val="18"/>
              </w:rPr>
              <w:t>Adult patients with diabetes admitted to non-federal acute care hospitals</w:t>
            </w:r>
          </w:p>
        </w:tc>
        <w:tc>
          <w:tcPr>
            <w:tcW w:w="4950" w:type="dxa"/>
            <w:tcBorders>
              <w:top w:val="single" w:sz="4" w:space="0" w:color="auto"/>
              <w:left w:val="single" w:sz="4" w:space="0" w:color="auto"/>
              <w:bottom w:val="nil"/>
              <w:right w:val="single" w:sz="4" w:space="0" w:color="auto"/>
            </w:tcBorders>
            <w:hideMark/>
          </w:tcPr>
          <w:p w:rsidR="00FE2829" w:rsidRPr="00FE2829" w:rsidRDefault="00FE2829" w:rsidP="00A05349">
            <w:pPr>
              <w:ind w:left="252" w:hanging="252"/>
              <w:rPr>
                <w:sz w:val="18"/>
                <w:szCs w:val="18"/>
              </w:rPr>
            </w:pPr>
            <w:r w:rsidRPr="00FE2829">
              <w:rPr>
                <w:b/>
                <w:bCs/>
                <w:sz w:val="18"/>
                <w:szCs w:val="18"/>
              </w:rPr>
              <w:t xml:space="preserve">Readmission for severe </w:t>
            </w:r>
            <w:proofErr w:type="spellStart"/>
            <w:r w:rsidRPr="00FE2829">
              <w:rPr>
                <w:b/>
                <w:bCs/>
                <w:sz w:val="18"/>
                <w:szCs w:val="18"/>
              </w:rPr>
              <w:t>dysglycemia</w:t>
            </w:r>
            <w:proofErr w:type="spellEnd"/>
          </w:p>
        </w:tc>
        <w:tc>
          <w:tcPr>
            <w:tcW w:w="3510" w:type="dxa"/>
            <w:tcBorders>
              <w:top w:val="single" w:sz="4" w:space="0" w:color="auto"/>
              <w:left w:val="single" w:sz="4" w:space="0" w:color="auto"/>
              <w:bottom w:val="nil"/>
              <w:right w:val="single" w:sz="4" w:space="0" w:color="auto"/>
            </w:tcBorders>
            <w:hideMark/>
          </w:tcPr>
          <w:p w:rsidR="00FE2829" w:rsidRPr="00FE2829" w:rsidRDefault="00FE2829" w:rsidP="00A05349">
            <w:pPr>
              <w:rPr>
                <w:sz w:val="18"/>
                <w:szCs w:val="18"/>
              </w:rPr>
            </w:pPr>
            <w:r w:rsidRPr="00FE2829">
              <w:rPr>
                <w:b/>
                <w:bCs/>
                <w:sz w:val="18"/>
                <w:szCs w:val="18"/>
              </w:rPr>
              <w:t xml:space="preserve">Readmission for severe </w:t>
            </w:r>
            <w:proofErr w:type="spellStart"/>
            <w:r w:rsidRPr="00FE2829">
              <w:rPr>
                <w:b/>
                <w:bCs/>
                <w:sz w:val="18"/>
                <w:szCs w:val="18"/>
              </w:rPr>
              <w:t>dysglycemia</w:t>
            </w:r>
            <w:proofErr w:type="spellEnd"/>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Age (vs. &lt;45 years):</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45-64</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0.52 (0.43, 0.64)</w:t>
            </w:r>
          </w:p>
        </w:tc>
      </w:tr>
      <w:tr w:rsidR="00FE2829" w:rsidRPr="00A05349" w:rsidTr="00D067B4">
        <w:trPr>
          <w:trHeight w:val="20"/>
        </w:trPr>
        <w:tc>
          <w:tcPr>
            <w:tcW w:w="1500" w:type="dxa"/>
            <w:vMerge/>
            <w:tcBorders>
              <w:bottom w:val="nil"/>
            </w:tcBorders>
          </w:tcPr>
          <w:p w:rsidR="00FE2829" w:rsidRPr="00FE2829" w:rsidRDefault="00FE2829">
            <w:pPr>
              <w:rPr>
                <w:sz w:val="18"/>
                <w:szCs w:val="18"/>
              </w:rPr>
            </w:pPr>
          </w:p>
        </w:tc>
        <w:tc>
          <w:tcPr>
            <w:tcW w:w="1398" w:type="dxa"/>
            <w:vMerge/>
            <w:tcBorders>
              <w:bottom w:val="nil"/>
            </w:tcBorders>
          </w:tcPr>
          <w:p w:rsidR="00FE2829" w:rsidRPr="00FE2829" w:rsidRDefault="00FE2829">
            <w:pPr>
              <w:rPr>
                <w:sz w:val="18"/>
                <w:szCs w:val="18"/>
              </w:rPr>
            </w:pPr>
          </w:p>
        </w:tc>
        <w:tc>
          <w:tcPr>
            <w:tcW w:w="2520" w:type="dxa"/>
            <w:vMerge/>
            <w:tcBorders>
              <w:bottom w:val="nil"/>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sz w:val="18"/>
                <w:szCs w:val="18"/>
              </w:rPr>
            </w:pPr>
            <w:r w:rsidRPr="00FE2829">
              <w:rPr>
                <w:sz w:val="18"/>
                <w:szCs w:val="18"/>
              </w:rPr>
              <w:t>65-74</w:t>
            </w:r>
          </w:p>
        </w:tc>
        <w:tc>
          <w:tcPr>
            <w:tcW w:w="3510" w:type="dxa"/>
            <w:tcBorders>
              <w:top w:val="nil"/>
              <w:left w:val="single" w:sz="4" w:space="0" w:color="auto"/>
              <w:bottom w:val="nil"/>
              <w:right w:val="single" w:sz="4" w:space="0" w:color="auto"/>
            </w:tcBorders>
          </w:tcPr>
          <w:p w:rsidR="00FE2829" w:rsidRPr="00FE2829" w:rsidRDefault="00FE2829" w:rsidP="00A05349">
            <w:pPr>
              <w:rPr>
                <w:sz w:val="18"/>
                <w:szCs w:val="18"/>
              </w:rPr>
            </w:pPr>
            <w:r w:rsidRPr="00FE2829">
              <w:rPr>
                <w:sz w:val="18"/>
                <w:szCs w:val="18"/>
              </w:rPr>
              <w:t>RRR = 0.56 (0.46, 0.69)</w:t>
            </w:r>
          </w:p>
        </w:tc>
      </w:tr>
      <w:tr w:rsidR="00FE2829" w:rsidRPr="00A05349" w:rsidTr="00D067B4">
        <w:trPr>
          <w:trHeight w:val="20"/>
        </w:trPr>
        <w:tc>
          <w:tcPr>
            <w:tcW w:w="1500" w:type="dxa"/>
            <w:vMerge/>
            <w:tcBorders>
              <w:top w:val="nil"/>
              <w:bottom w:val="nil"/>
            </w:tcBorders>
          </w:tcPr>
          <w:p w:rsidR="00FE2829" w:rsidRPr="00FE2829" w:rsidRDefault="00FE2829">
            <w:pPr>
              <w:rPr>
                <w:sz w:val="18"/>
                <w:szCs w:val="18"/>
              </w:rPr>
            </w:pPr>
          </w:p>
        </w:tc>
        <w:tc>
          <w:tcPr>
            <w:tcW w:w="1398" w:type="dxa"/>
            <w:vMerge/>
            <w:tcBorders>
              <w:top w:val="nil"/>
              <w:bottom w:val="nil"/>
            </w:tcBorders>
          </w:tcPr>
          <w:p w:rsidR="00FE2829" w:rsidRPr="00FE2829" w:rsidRDefault="00FE2829">
            <w:pPr>
              <w:rPr>
                <w:sz w:val="18"/>
                <w:szCs w:val="18"/>
              </w:rPr>
            </w:pPr>
          </w:p>
        </w:tc>
        <w:tc>
          <w:tcPr>
            <w:tcW w:w="2520" w:type="dxa"/>
            <w:vMerge/>
            <w:tcBorders>
              <w:top w:val="nil"/>
              <w:bottom w:val="nil"/>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≥75</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0.60 (0.49, 0.74)</w:t>
            </w:r>
          </w:p>
        </w:tc>
      </w:tr>
      <w:tr w:rsidR="00FE2829" w:rsidRPr="00A05349" w:rsidTr="00D067B4">
        <w:trPr>
          <w:trHeight w:val="20"/>
        </w:trPr>
        <w:tc>
          <w:tcPr>
            <w:tcW w:w="1500" w:type="dxa"/>
            <w:vMerge w:val="restart"/>
            <w:tcBorders>
              <w:top w:val="nil"/>
            </w:tcBorders>
          </w:tcPr>
          <w:p w:rsidR="00FE2829" w:rsidRPr="00FE2829" w:rsidRDefault="00FE2829" w:rsidP="00762E4C">
            <w:pPr>
              <w:rPr>
                <w:sz w:val="18"/>
                <w:szCs w:val="18"/>
              </w:rPr>
            </w:pPr>
          </w:p>
        </w:tc>
        <w:tc>
          <w:tcPr>
            <w:tcW w:w="1398" w:type="dxa"/>
            <w:vMerge w:val="restart"/>
            <w:tcBorders>
              <w:top w:val="nil"/>
            </w:tcBorders>
          </w:tcPr>
          <w:p w:rsidR="00FE2829" w:rsidRPr="00FE2829" w:rsidRDefault="00FE2829" w:rsidP="00762E4C">
            <w:pPr>
              <w:rPr>
                <w:sz w:val="18"/>
                <w:szCs w:val="18"/>
              </w:rPr>
            </w:pPr>
          </w:p>
        </w:tc>
        <w:tc>
          <w:tcPr>
            <w:tcW w:w="2520" w:type="dxa"/>
            <w:vMerge w:val="restart"/>
            <w:tcBorders>
              <w:top w:val="nil"/>
              <w:right w:val="single" w:sz="4" w:space="0" w:color="auto"/>
            </w:tcBorders>
          </w:tcPr>
          <w:p w:rsidR="00FE2829" w:rsidRPr="00FE2829" w:rsidRDefault="00FE2829" w:rsidP="00762E4C">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Race (vs. White):</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Black</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1.22 (1.07, 1.38)</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Other/unknown</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0.69 (0.50, 0.97)</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Annual income (vs. &lt;US$40,000):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40-49,000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0.77 (0.64, 0.93)</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75-99,000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0.79 (0.66, 0.95)</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≥100,000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0.77 (0.65, 0.91)</w:t>
            </w:r>
          </w:p>
        </w:tc>
      </w:tr>
      <w:tr w:rsidR="00FE2829" w:rsidRPr="00A05349" w:rsidTr="00D067B4">
        <w:trPr>
          <w:trHeight w:val="188"/>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Reason for index hospitalization (vs. Other causes):</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Hypoglycemia</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4.74 (3.81, 5.89)</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Hyperglycemia</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8.57 (7.08, 10.37)</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Unspecified</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5.81 (2.00, 16.83)</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Planned index hospitalization</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0.57 (0.47, 0.69)</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Length of stay (vs. 2-4 days):</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1</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0.79 (0.67, 0.93)</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5-7</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1.42 (1.25, 1.62)</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8-14</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1.85 (1.60, 2.15)</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≥15</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2.42 (1.91, 3.07)</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Prior hospitalizations (vs. None):</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Other causes</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1.27 (1.13, 1.42)</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 xml:space="preserve">Severe </w:t>
            </w:r>
            <w:proofErr w:type="spellStart"/>
            <w:r w:rsidRPr="00FE2829">
              <w:rPr>
                <w:sz w:val="18"/>
                <w:szCs w:val="18"/>
              </w:rPr>
              <w:t>dysglycemia</w:t>
            </w:r>
            <w:proofErr w:type="spellEnd"/>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5.47 (4.60, 6.51)</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Diabetes Complications Severity Index (vs. 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1-2</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1.52 (1.25, 1.85)</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3-6</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2.33 (1.94, 2.81)</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7-29</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3.20 (2.60, 3.94)</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Diabetes treatment using insulin</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1.79 (1.61, 1.99)</w:t>
            </w:r>
          </w:p>
        </w:tc>
      </w:tr>
      <w:tr w:rsidR="00FE2829" w:rsidRPr="00A05349" w:rsidTr="00D067B4">
        <w:trPr>
          <w:trHeight w:val="20"/>
        </w:trPr>
        <w:tc>
          <w:tcPr>
            <w:tcW w:w="1500" w:type="dxa"/>
            <w:vMerge/>
            <w:hideMark/>
          </w:tcPr>
          <w:p w:rsidR="00FE2829" w:rsidRPr="00FE2829" w:rsidRDefault="00FE2829">
            <w:pPr>
              <w:rPr>
                <w:sz w:val="18"/>
                <w:szCs w:val="18"/>
              </w:rPr>
            </w:pPr>
          </w:p>
        </w:tc>
        <w:tc>
          <w:tcPr>
            <w:tcW w:w="1398" w:type="dxa"/>
            <w:vMerge/>
            <w:hideMark/>
          </w:tcPr>
          <w:p w:rsidR="00FE2829" w:rsidRPr="00FE2829" w:rsidRDefault="00FE2829">
            <w:pPr>
              <w:rPr>
                <w:sz w:val="18"/>
                <w:szCs w:val="18"/>
              </w:rPr>
            </w:pPr>
          </w:p>
        </w:tc>
        <w:tc>
          <w:tcPr>
            <w:tcW w:w="2520" w:type="dxa"/>
            <w:vMerge/>
            <w:tcBorders>
              <w:right w:val="single" w:sz="4" w:space="0" w:color="auto"/>
            </w:tcBorders>
            <w:hideMark/>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hideMark/>
          </w:tcPr>
          <w:p w:rsidR="00FE2829" w:rsidRDefault="00FE2829" w:rsidP="00A05349">
            <w:pPr>
              <w:ind w:left="252" w:hanging="252"/>
              <w:rPr>
                <w:b/>
                <w:bCs/>
                <w:sz w:val="18"/>
                <w:szCs w:val="18"/>
              </w:rPr>
            </w:pPr>
          </w:p>
          <w:p w:rsidR="00FE2829" w:rsidRPr="00FE2829" w:rsidRDefault="00FE2829" w:rsidP="00A05349">
            <w:pPr>
              <w:ind w:left="252" w:hanging="252"/>
              <w:rPr>
                <w:sz w:val="18"/>
                <w:szCs w:val="18"/>
              </w:rPr>
            </w:pPr>
            <w:r w:rsidRPr="00FE2829">
              <w:rPr>
                <w:b/>
                <w:bCs/>
                <w:sz w:val="18"/>
                <w:szCs w:val="18"/>
              </w:rPr>
              <w:t>Readmission for other causes</w:t>
            </w:r>
          </w:p>
        </w:tc>
        <w:tc>
          <w:tcPr>
            <w:tcW w:w="3510" w:type="dxa"/>
            <w:tcBorders>
              <w:top w:val="nil"/>
              <w:left w:val="single" w:sz="4" w:space="0" w:color="auto"/>
              <w:bottom w:val="nil"/>
              <w:right w:val="single" w:sz="4" w:space="0" w:color="auto"/>
            </w:tcBorders>
            <w:hideMark/>
          </w:tcPr>
          <w:p w:rsidR="00FE2829" w:rsidRDefault="00FE2829" w:rsidP="00A05349">
            <w:pPr>
              <w:rPr>
                <w:b/>
                <w:bCs/>
                <w:sz w:val="18"/>
                <w:szCs w:val="18"/>
              </w:rPr>
            </w:pPr>
          </w:p>
          <w:p w:rsidR="00FE2829" w:rsidRPr="00FE2829" w:rsidRDefault="00FE2829" w:rsidP="00A05349">
            <w:pPr>
              <w:rPr>
                <w:sz w:val="18"/>
                <w:szCs w:val="18"/>
              </w:rPr>
            </w:pPr>
            <w:r w:rsidRPr="00FE2829">
              <w:rPr>
                <w:b/>
                <w:bCs/>
                <w:sz w:val="18"/>
                <w:szCs w:val="18"/>
              </w:rPr>
              <w:t>Readmission for other causes</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Race (vs. White):</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Black</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1.09 (1.06, 1.12)</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Hispanic</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1.05 (1.01, 1.09)</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Annual income (vs. &lt;US$40,000):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40-49,000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0.94 (0.91, 0.97)</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60-74,000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0.95 (0.92, 0.98)</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75-99,000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0.94 (0.91, 0.97)</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≥100,000</w:t>
            </w:r>
          </w:p>
        </w:tc>
        <w:tc>
          <w:tcPr>
            <w:tcW w:w="3510" w:type="dxa"/>
            <w:tcBorders>
              <w:top w:val="nil"/>
              <w:left w:val="single" w:sz="4" w:space="0" w:color="auto"/>
              <w:bottom w:val="nil"/>
              <w:right w:val="single" w:sz="4" w:space="0" w:color="auto"/>
            </w:tcBorders>
          </w:tcPr>
          <w:p w:rsidR="00FE2829" w:rsidRPr="00FE2829" w:rsidRDefault="00FE2829" w:rsidP="001D6937">
            <w:pPr>
              <w:rPr>
                <w:b/>
                <w:bCs/>
                <w:sz w:val="18"/>
                <w:szCs w:val="18"/>
              </w:rPr>
            </w:pPr>
            <w:r w:rsidRPr="00FE2829">
              <w:rPr>
                <w:sz w:val="18"/>
                <w:szCs w:val="18"/>
              </w:rPr>
              <w:t>RRR = 0.90 (0.87, 0.93)</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Reason for index hospitalization (vs. Other causes):</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Borders>
              <w:bottom w:val="nil"/>
            </w:tcBorders>
          </w:tcPr>
          <w:p w:rsidR="00FE2829" w:rsidRPr="00FE2829" w:rsidRDefault="00FE2829">
            <w:pPr>
              <w:rPr>
                <w:sz w:val="18"/>
                <w:szCs w:val="18"/>
              </w:rPr>
            </w:pPr>
          </w:p>
        </w:tc>
        <w:tc>
          <w:tcPr>
            <w:tcW w:w="1398" w:type="dxa"/>
            <w:vMerge/>
            <w:tcBorders>
              <w:bottom w:val="nil"/>
            </w:tcBorders>
          </w:tcPr>
          <w:p w:rsidR="00FE2829" w:rsidRPr="00FE2829" w:rsidRDefault="00FE2829">
            <w:pPr>
              <w:rPr>
                <w:sz w:val="18"/>
                <w:szCs w:val="18"/>
              </w:rPr>
            </w:pPr>
          </w:p>
        </w:tc>
        <w:tc>
          <w:tcPr>
            <w:tcW w:w="2520" w:type="dxa"/>
            <w:vMerge/>
            <w:tcBorders>
              <w:bottom w:val="nil"/>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Hypoglycemia</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0.87 (0.81, 0.94)</w:t>
            </w:r>
          </w:p>
        </w:tc>
      </w:tr>
      <w:tr w:rsidR="00FE2829" w:rsidRPr="00A05349" w:rsidTr="00D067B4">
        <w:trPr>
          <w:trHeight w:val="20"/>
        </w:trPr>
        <w:tc>
          <w:tcPr>
            <w:tcW w:w="1500" w:type="dxa"/>
            <w:vMerge/>
            <w:tcBorders>
              <w:top w:val="nil"/>
              <w:bottom w:val="nil"/>
            </w:tcBorders>
          </w:tcPr>
          <w:p w:rsidR="00FE2829" w:rsidRPr="00FE2829" w:rsidRDefault="00FE2829">
            <w:pPr>
              <w:rPr>
                <w:sz w:val="18"/>
                <w:szCs w:val="18"/>
              </w:rPr>
            </w:pPr>
          </w:p>
        </w:tc>
        <w:tc>
          <w:tcPr>
            <w:tcW w:w="1398" w:type="dxa"/>
            <w:vMerge/>
            <w:tcBorders>
              <w:top w:val="nil"/>
              <w:bottom w:val="nil"/>
            </w:tcBorders>
          </w:tcPr>
          <w:p w:rsidR="00FE2829" w:rsidRPr="00FE2829" w:rsidRDefault="00FE2829">
            <w:pPr>
              <w:rPr>
                <w:sz w:val="18"/>
                <w:szCs w:val="18"/>
              </w:rPr>
            </w:pPr>
          </w:p>
        </w:tc>
        <w:tc>
          <w:tcPr>
            <w:tcW w:w="2520" w:type="dxa"/>
            <w:vMerge/>
            <w:tcBorders>
              <w:top w:val="nil"/>
              <w:bottom w:val="nil"/>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Hyperglycemia</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0.60 (0.55, 0.67)</w:t>
            </w:r>
          </w:p>
        </w:tc>
      </w:tr>
      <w:tr w:rsidR="00FE2829" w:rsidRPr="00A05349" w:rsidTr="00D067B4">
        <w:trPr>
          <w:trHeight w:val="20"/>
        </w:trPr>
        <w:tc>
          <w:tcPr>
            <w:tcW w:w="1500" w:type="dxa"/>
            <w:vMerge w:val="restart"/>
            <w:tcBorders>
              <w:top w:val="nil"/>
            </w:tcBorders>
          </w:tcPr>
          <w:p w:rsidR="00FE2829" w:rsidRPr="00FE2829" w:rsidRDefault="00FE2829">
            <w:pPr>
              <w:rPr>
                <w:sz w:val="18"/>
                <w:szCs w:val="18"/>
              </w:rPr>
            </w:pPr>
          </w:p>
        </w:tc>
        <w:tc>
          <w:tcPr>
            <w:tcW w:w="1398" w:type="dxa"/>
            <w:vMerge w:val="restart"/>
            <w:tcBorders>
              <w:top w:val="nil"/>
            </w:tcBorders>
          </w:tcPr>
          <w:p w:rsidR="00FE2829" w:rsidRPr="00FE2829" w:rsidRDefault="00FE2829">
            <w:pPr>
              <w:rPr>
                <w:sz w:val="18"/>
                <w:szCs w:val="18"/>
              </w:rPr>
            </w:pPr>
          </w:p>
        </w:tc>
        <w:tc>
          <w:tcPr>
            <w:tcW w:w="2520" w:type="dxa"/>
            <w:vMerge w:val="restart"/>
            <w:tcBorders>
              <w:top w:val="nil"/>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Planned index hospitalization</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0.79 (0.76, 0.81)</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Length of stay (vs. 2-4 days):</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1</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0.77 (0.75, 0.79)</w:t>
            </w:r>
          </w:p>
        </w:tc>
      </w:tr>
      <w:tr w:rsidR="00FE2829" w:rsidRPr="00A05349" w:rsidTr="00D067B4">
        <w:trPr>
          <w:trHeight w:val="20"/>
        </w:trPr>
        <w:tc>
          <w:tcPr>
            <w:tcW w:w="1500" w:type="dxa"/>
            <w:vMerge/>
            <w:tcBorders>
              <w:top w:val="nil"/>
              <w:bottom w:val="nil"/>
            </w:tcBorders>
          </w:tcPr>
          <w:p w:rsidR="00FE2829" w:rsidRPr="00FE2829" w:rsidRDefault="00FE2829">
            <w:pPr>
              <w:rPr>
                <w:sz w:val="18"/>
                <w:szCs w:val="18"/>
              </w:rPr>
            </w:pPr>
          </w:p>
        </w:tc>
        <w:tc>
          <w:tcPr>
            <w:tcW w:w="1398" w:type="dxa"/>
            <w:vMerge/>
            <w:tcBorders>
              <w:top w:val="nil"/>
              <w:bottom w:val="nil"/>
            </w:tcBorders>
          </w:tcPr>
          <w:p w:rsidR="00FE2829" w:rsidRPr="00FE2829" w:rsidRDefault="00FE2829">
            <w:pPr>
              <w:rPr>
                <w:sz w:val="18"/>
                <w:szCs w:val="18"/>
              </w:rPr>
            </w:pPr>
          </w:p>
        </w:tc>
        <w:tc>
          <w:tcPr>
            <w:tcW w:w="2520" w:type="dxa"/>
            <w:vMerge/>
            <w:tcBorders>
              <w:top w:val="nil"/>
              <w:bottom w:val="nil"/>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5-7</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1.35 (1.32, 1.38)</w:t>
            </w:r>
          </w:p>
        </w:tc>
      </w:tr>
      <w:tr w:rsidR="00FE2829" w:rsidRPr="00A05349" w:rsidTr="00D067B4">
        <w:trPr>
          <w:trHeight w:val="20"/>
        </w:trPr>
        <w:tc>
          <w:tcPr>
            <w:tcW w:w="1500" w:type="dxa"/>
            <w:vMerge w:val="restart"/>
            <w:tcBorders>
              <w:top w:val="nil"/>
            </w:tcBorders>
          </w:tcPr>
          <w:p w:rsidR="00FE2829" w:rsidRPr="00FE2829" w:rsidRDefault="00FE2829">
            <w:pPr>
              <w:rPr>
                <w:sz w:val="18"/>
                <w:szCs w:val="18"/>
              </w:rPr>
            </w:pPr>
          </w:p>
        </w:tc>
        <w:tc>
          <w:tcPr>
            <w:tcW w:w="1398" w:type="dxa"/>
            <w:vMerge w:val="restart"/>
            <w:tcBorders>
              <w:top w:val="nil"/>
            </w:tcBorders>
          </w:tcPr>
          <w:p w:rsidR="00FE2829" w:rsidRPr="00FE2829" w:rsidRDefault="00FE2829">
            <w:pPr>
              <w:rPr>
                <w:sz w:val="18"/>
                <w:szCs w:val="18"/>
              </w:rPr>
            </w:pPr>
          </w:p>
        </w:tc>
        <w:tc>
          <w:tcPr>
            <w:tcW w:w="2520" w:type="dxa"/>
            <w:vMerge w:val="restart"/>
            <w:tcBorders>
              <w:top w:val="nil"/>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8-14</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1.79 (1.74, 1.83)</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≥15</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2.45 (2.35, 2.55)</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Prior hospitalizations (vs. None):</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Other causes</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1.58 (1.55, 1.61)</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 xml:space="preserve">Severe </w:t>
            </w:r>
            <w:proofErr w:type="spellStart"/>
            <w:r w:rsidRPr="00FE2829">
              <w:rPr>
                <w:sz w:val="18"/>
                <w:szCs w:val="18"/>
              </w:rPr>
              <w:t>dysglycemia</w:t>
            </w:r>
            <w:proofErr w:type="spellEnd"/>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1.43 (1.33, 1.55)</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b/>
                <w:bCs/>
                <w:sz w:val="18"/>
                <w:szCs w:val="18"/>
              </w:rPr>
            </w:pPr>
            <w:r w:rsidRPr="00FE2829">
              <w:rPr>
                <w:sz w:val="18"/>
                <w:szCs w:val="18"/>
              </w:rPr>
              <w:t>Diabetes Complications Severity Index (vs. 0):</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1-2</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1.19 (1.15, 1.22)</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3-6</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1.41 (1.37, 1.45)</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1D6937">
            <w:pPr>
              <w:ind w:left="252"/>
              <w:rPr>
                <w:b/>
                <w:bCs/>
                <w:sz w:val="18"/>
                <w:szCs w:val="18"/>
              </w:rPr>
            </w:pPr>
            <w:r w:rsidRPr="00FE2829">
              <w:rPr>
                <w:sz w:val="18"/>
                <w:szCs w:val="18"/>
              </w:rPr>
              <w:t>7-29</w:t>
            </w:r>
          </w:p>
        </w:tc>
        <w:tc>
          <w:tcPr>
            <w:tcW w:w="3510" w:type="dxa"/>
            <w:tcBorders>
              <w:top w:val="nil"/>
              <w:left w:val="single" w:sz="4" w:space="0" w:color="auto"/>
              <w:bottom w:val="nil"/>
              <w:right w:val="single" w:sz="4" w:space="0" w:color="auto"/>
            </w:tcBorders>
          </w:tcPr>
          <w:p w:rsidR="00FE2829" w:rsidRPr="00FE2829" w:rsidRDefault="00FE2829" w:rsidP="00A05349">
            <w:pPr>
              <w:rPr>
                <w:b/>
                <w:bCs/>
                <w:sz w:val="18"/>
                <w:szCs w:val="18"/>
              </w:rPr>
            </w:pPr>
            <w:r w:rsidRPr="00FE2829">
              <w:rPr>
                <w:sz w:val="18"/>
                <w:szCs w:val="18"/>
              </w:rPr>
              <w:t>RRR = 1.77 (1.72, 1.83)</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single" w:sz="4" w:space="0" w:color="auto"/>
              <w:right w:val="single" w:sz="4" w:space="0" w:color="auto"/>
            </w:tcBorders>
          </w:tcPr>
          <w:p w:rsidR="00FE2829" w:rsidRPr="00FE2829" w:rsidRDefault="00FE2829" w:rsidP="00A05349">
            <w:pPr>
              <w:ind w:left="252" w:hanging="252"/>
              <w:rPr>
                <w:b/>
                <w:bCs/>
                <w:sz w:val="18"/>
                <w:szCs w:val="18"/>
              </w:rPr>
            </w:pPr>
            <w:r w:rsidRPr="00FE2829">
              <w:rPr>
                <w:sz w:val="18"/>
                <w:szCs w:val="18"/>
              </w:rPr>
              <w:t>Diabetes treatment using insulin</w:t>
            </w:r>
          </w:p>
        </w:tc>
        <w:tc>
          <w:tcPr>
            <w:tcW w:w="3510" w:type="dxa"/>
            <w:tcBorders>
              <w:top w:val="nil"/>
              <w:left w:val="single" w:sz="4" w:space="0" w:color="auto"/>
              <w:bottom w:val="single" w:sz="4" w:space="0" w:color="auto"/>
              <w:right w:val="single" w:sz="4" w:space="0" w:color="auto"/>
            </w:tcBorders>
          </w:tcPr>
          <w:p w:rsidR="00FE2829" w:rsidRPr="00FE2829" w:rsidRDefault="00FE2829" w:rsidP="00A05349">
            <w:pPr>
              <w:rPr>
                <w:b/>
                <w:bCs/>
                <w:sz w:val="18"/>
                <w:szCs w:val="18"/>
              </w:rPr>
            </w:pPr>
            <w:r w:rsidRPr="00FE2829">
              <w:rPr>
                <w:sz w:val="18"/>
                <w:szCs w:val="18"/>
              </w:rPr>
              <w:t>RRR = 1.06 (1.04, 1.08)</w:t>
            </w:r>
          </w:p>
        </w:tc>
      </w:tr>
      <w:tr w:rsidR="001D6937" w:rsidRPr="00A05349" w:rsidTr="00D067B4">
        <w:trPr>
          <w:trHeight w:val="20"/>
        </w:trPr>
        <w:tc>
          <w:tcPr>
            <w:tcW w:w="1500" w:type="dxa"/>
            <w:vMerge w:val="restart"/>
            <w:hideMark/>
          </w:tcPr>
          <w:p w:rsidR="001D6937" w:rsidRPr="00FE2829" w:rsidRDefault="001D6937">
            <w:pPr>
              <w:rPr>
                <w:sz w:val="18"/>
                <w:szCs w:val="18"/>
              </w:rPr>
            </w:pPr>
            <w:r w:rsidRPr="00FE2829">
              <w:rPr>
                <w:sz w:val="18"/>
                <w:szCs w:val="18"/>
              </w:rPr>
              <w:t>Rubin et al, 2017</w:t>
            </w:r>
            <w:r w:rsidR="00133E7F">
              <w:rPr>
                <w:sz w:val="18"/>
                <w:szCs w:val="18"/>
              </w:rPr>
              <w:t xml:space="preserve"> [4]</w:t>
            </w:r>
          </w:p>
        </w:tc>
        <w:tc>
          <w:tcPr>
            <w:tcW w:w="1398" w:type="dxa"/>
            <w:vMerge w:val="restart"/>
            <w:hideMark/>
          </w:tcPr>
          <w:p w:rsidR="001D6937" w:rsidRPr="00FE2829" w:rsidRDefault="001D6937">
            <w:pPr>
              <w:rPr>
                <w:sz w:val="18"/>
                <w:szCs w:val="18"/>
              </w:rPr>
            </w:pPr>
            <w:r w:rsidRPr="00FE2829">
              <w:rPr>
                <w:sz w:val="18"/>
                <w:szCs w:val="18"/>
              </w:rPr>
              <w:t>30</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Adult patients with diabetes hospitalized for CVD</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Home zip code &lt;5 miles from hospital</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sz w:val="18"/>
                <w:szCs w:val="18"/>
              </w:rPr>
              <w:t>OR = 1.52 (1.25–1.85)</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Employment status (vs. Employed):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Retired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1.45 (1.08–1.94)</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Disabled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1.61 (1.16–2.24)</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Education level (vs. College graduate):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Any high school</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1.43 (1.14–1.81)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Some college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1.38 (1.01–1.88)</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Pre-admission metformin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0.79 (0.64–0.97)</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Pre-admission sulfonylurea</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1.28 (1.04–1.59)</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No. of macrovascular complications (vs. 0):</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2</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1.27 (1.07–1.51)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3</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1.42 (1.11–1.81)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hanging="252"/>
              <w:rPr>
                <w:sz w:val="18"/>
                <w:szCs w:val="18"/>
              </w:rPr>
            </w:pPr>
            <w:r w:rsidRPr="00FE2829">
              <w:rPr>
                <w:sz w:val="18"/>
                <w:szCs w:val="18"/>
              </w:rPr>
              <w:t>Log (admission serum creatinine)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1.23 (1.07–1.41)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Serum albumin (vs. ≥4 g/</w:t>
            </w:r>
            <w:proofErr w:type="spellStart"/>
            <w:r w:rsidRPr="00FE2829">
              <w:rPr>
                <w:sz w:val="18"/>
                <w:szCs w:val="18"/>
              </w:rPr>
              <w:t>dL</w:t>
            </w:r>
            <w:proofErr w:type="spellEnd"/>
            <w:r w:rsidRPr="00FE2829">
              <w:rPr>
                <w:sz w:val="18"/>
                <w:szCs w:val="18"/>
              </w:rPr>
              <w:t>):</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Low, &lt;4 g/</w:t>
            </w:r>
            <w:proofErr w:type="spellStart"/>
            <w:r w:rsidRPr="00FE2829">
              <w:rPr>
                <w:sz w:val="18"/>
                <w:szCs w:val="18"/>
              </w:rPr>
              <w:t>dL</w:t>
            </w:r>
            <w:proofErr w:type="spellEnd"/>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1.23 (1.03–1.46)</w:t>
            </w:r>
          </w:p>
        </w:tc>
      </w:tr>
      <w:tr w:rsidR="001D6937" w:rsidRPr="00A05349" w:rsidTr="00D067B4">
        <w:trPr>
          <w:trHeight w:val="62"/>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rPr>
                <w:sz w:val="18"/>
                <w:szCs w:val="18"/>
              </w:rPr>
            </w:pPr>
            <w:r w:rsidRPr="00FE2829">
              <w:rPr>
                <w:sz w:val="18"/>
                <w:szCs w:val="18"/>
              </w:rPr>
              <w:t>Schizophrenia or mood disorder, current or prior</w:t>
            </w:r>
          </w:p>
        </w:tc>
        <w:tc>
          <w:tcPr>
            <w:tcW w:w="3510" w:type="dxa"/>
            <w:tcBorders>
              <w:top w:val="nil"/>
              <w:left w:val="single" w:sz="4" w:space="0" w:color="auto"/>
              <w:bottom w:val="nil"/>
              <w:right w:val="single" w:sz="4" w:space="0" w:color="auto"/>
            </w:tcBorders>
          </w:tcPr>
          <w:p w:rsidR="001D6937" w:rsidRPr="00FE2829" w:rsidRDefault="00FE2829" w:rsidP="001D6937">
            <w:pPr>
              <w:rPr>
                <w:sz w:val="18"/>
                <w:szCs w:val="18"/>
              </w:rPr>
            </w:pPr>
            <w:r>
              <w:rPr>
                <w:sz w:val="18"/>
                <w:szCs w:val="18"/>
              </w:rPr>
              <w:t>OR = 1.31 (1.07–1.60)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A05349">
            <w:pPr>
              <w:ind w:left="252" w:hanging="252"/>
              <w:rPr>
                <w:sz w:val="18"/>
                <w:szCs w:val="18"/>
              </w:rPr>
            </w:pPr>
            <w:r w:rsidRPr="00FE2829">
              <w:rPr>
                <w:sz w:val="18"/>
                <w:szCs w:val="18"/>
              </w:rPr>
              <w:t>Discharged within 90 days before admission</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OR = 2.00 (1.69–2.36)</w:t>
            </w:r>
          </w:p>
        </w:tc>
      </w:tr>
      <w:tr w:rsidR="001D6937" w:rsidRPr="00A05349" w:rsidTr="00D067B4">
        <w:trPr>
          <w:trHeight w:val="20"/>
        </w:trPr>
        <w:tc>
          <w:tcPr>
            <w:tcW w:w="1500" w:type="dxa"/>
            <w:vMerge w:val="restart"/>
            <w:hideMark/>
          </w:tcPr>
          <w:p w:rsidR="001D6937" w:rsidRPr="00FE2829" w:rsidRDefault="001D6937">
            <w:pPr>
              <w:rPr>
                <w:sz w:val="18"/>
                <w:szCs w:val="18"/>
              </w:rPr>
            </w:pPr>
            <w:r w:rsidRPr="00FE2829">
              <w:rPr>
                <w:sz w:val="18"/>
                <w:szCs w:val="18"/>
              </w:rPr>
              <w:t>Rubin et al, 2016</w:t>
            </w:r>
            <w:r w:rsidR="00133E7F">
              <w:rPr>
                <w:sz w:val="18"/>
                <w:szCs w:val="18"/>
              </w:rPr>
              <w:t xml:space="preserve"> [5]</w:t>
            </w:r>
          </w:p>
        </w:tc>
        <w:tc>
          <w:tcPr>
            <w:tcW w:w="1398" w:type="dxa"/>
            <w:vMerge w:val="restart"/>
            <w:hideMark/>
          </w:tcPr>
          <w:p w:rsidR="001D6937" w:rsidRPr="00FE2829" w:rsidRDefault="001D6937">
            <w:pPr>
              <w:rPr>
                <w:sz w:val="18"/>
                <w:szCs w:val="18"/>
              </w:rPr>
            </w:pPr>
            <w:r w:rsidRPr="00FE2829">
              <w:rPr>
                <w:sz w:val="18"/>
                <w:szCs w:val="18"/>
              </w:rPr>
              <w:t>30</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Adult patients with diabetes hospitalized at an urban academic medical center</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Home zip code &lt;5 miles from hospital</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sz w:val="18"/>
                <w:szCs w:val="18"/>
              </w:rPr>
              <w:t>OR = 1.22 (1.11-1.33)</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Employment status (vs. employed):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Disabled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1.94 (1.63-2.32)</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Retired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1.44 (1.22-1.69)</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Unemployed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1.52 (1.28-1.80)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Preadmission insulin use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1.25 (1.14-1.36)</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No. of macrovascular complications (vs. 0):</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2</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1.15 (1.02-1.29)</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3</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1.37 (1.17-1.61)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ind w:left="252"/>
              <w:rPr>
                <w:sz w:val="18"/>
                <w:szCs w:val="18"/>
              </w:rPr>
            </w:pPr>
            <w:r w:rsidRPr="00FE2829">
              <w:rPr>
                <w:sz w:val="18"/>
                <w:szCs w:val="18"/>
              </w:rPr>
              <w:t>4</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1.43 (1.04-1.96)</w:t>
            </w:r>
          </w:p>
        </w:tc>
      </w:tr>
      <w:tr w:rsidR="001D6937" w:rsidRPr="00A05349" w:rsidTr="00D067B4">
        <w:trPr>
          <w:trHeight w:val="20"/>
        </w:trPr>
        <w:tc>
          <w:tcPr>
            <w:tcW w:w="1500" w:type="dxa"/>
            <w:vMerge/>
            <w:tcBorders>
              <w:bottom w:val="nil"/>
            </w:tcBorders>
          </w:tcPr>
          <w:p w:rsidR="001D6937" w:rsidRPr="00FE2829" w:rsidRDefault="001D6937">
            <w:pPr>
              <w:rPr>
                <w:sz w:val="18"/>
                <w:szCs w:val="18"/>
              </w:rPr>
            </w:pPr>
          </w:p>
        </w:tc>
        <w:tc>
          <w:tcPr>
            <w:tcW w:w="1398" w:type="dxa"/>
            <w:vMerge/>
            <w:tcBorders>
              <w:bottom w:val="nil"/>
            </w:tcBorders>
          </w:tcPr>
          <w:p w:rsidR="001D6937" w:rsidRPr="00FE2829" w:rsidRDefault="001D6937">
            <w:pPr>
              <w:rPr>
                <w:sz w:val="18"/>
                <w:szCs w:val="18"/>
              </w:rPr>
            </w:pPr>
          </w:p>
        </w:tc>
        <w:tc>
          <w:tcPr>
            <w:tcW w:w="2520" w:type="dxa"/>
            <w:vMerge/>
            <w:tcBorders>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Admission serum hematocrit, per 5%</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0.85 (0.82-0.88)</w:t>
            </w:r>
          </w:p>
        </w:tc>
      </w:tr>
      <w:tr w:rsidR="001D6937" w:rsidRPr="00A05349" w:rsidTr="00D067B4">
        <w:trPr>
          <w:trHeight w:val="20"/>
        </w:trPr>
        <w:tc>
          <w:tcPr>
            <w:tcW w:w="1500" w:type="dxa"/>
            <w:vMerge/>
            <w:tcBorders>
              <w:top w:val="nil"/>
              <w:bottom w:val="nil"/>
            </w:tcBorders>
          </w:tcPr>
          <w:p w:rsidR="001D6937" w:rsidRPr="00FE2829" w:rsidRDefault="001D6937">
            <w:pPr>
              <w:rPr>
                <w:sz w:val="18"/>
                <w:szCs w:val="18"/>
              </w:rPr>
            </w:pPr>
          </w:p>
        </w:tc>
        <w:tc>
          <w:tcPr>
            <w:tcW w:w="1398" w:type="dxa"/>
            <w:vMerge/>
            <w:tcBorders>
              <w:top w:val="nil"/>
              <w:bottom w:val="nil"/>
            </w:tcBorders>
          </w:tcPr>
          <w:p w:rsidR="001D6937" w:rsidRPr="00FE2829" w:rsidRDefault="001D6937">
            <w:pPr>
              <w:rPr>
                <w:sz w:val="18"/>
                <w:szCs w:val="18"/>
              </w:rPr>
            </w:pPr>
          </w:p>
        </w:tc>
        <w:tc>
          <w:tcPr>
            <w:tcW w:w="2520" w:type="dxa"/>
            <w:vMerge/>
            <w:tcBorders>
              <w:top w:val="nil"/>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Log (admission serum creatinine)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1.14 (1.07-1.22)</w:t>
            </w:r>
          </w:p>
        </w:tc>
      </w:tr>
      <w:tr w:rsidR="001D6937" w:rsidRPr="00A05349" w:rsidTr="00D067B4">
        <w:trPr>
          <w:trHeight w:val="20"/>
        </w:trPr>
        <w:tc>
          <w:tcPr>
            <w:tcW w:w="1500" w:type="dxa"/>
            <w:vMerge w:val="restart"/>
            <w:tcBorders>
              <w:top w:val="nil"/>
            </w:tcBorders>
          </w:tcPr>
          <w:p w:rsidR="001D6937" w:rsidRPr="00FE2829" w:rsidRDefault="001D6937" w:rsidP="00D067B4">
            <w:pPr>
              <w:rPr>
                <w:sz w:val="18"/>
                <w:szCs w:val="18"/>
              </w:rPr>
            </w:pPr>
          </w:p>
        </w:tc>
        <w:tc>
          <w:tcPr>
            <w:tcW w:w="1398" w:type="dxa"/>
            <w:vMerge w:val="restart"/>
            <w:tcBorders>
              <w:top w:val="nil"/>
            </w:tcBorders>
          </w:tcPr>
          <w:p w:rsidR="001D6937" w:rsidRPr="00FE2829" w:rsidRDefault="001D6937" w:rsidP="00D067B4">
            <w:pPr>
              <w:rPr>
                <w:sz w:val="18"/>
                <w:szCs w:val="18"/>
              </w:rPr>
            </w:pPr>
          </w:p>
        </w:tc>
        <w:tc>
          <w:tcPr>
            <w:tcW w:w="2520" w:type="dxa"/>
            <w:vMerge w:val="restart"/>
            <w:tcBorders>
              <w:top w:val="nil"/>
              <w:right w:val="single" w:sz="4" w:space="0" w:color="auto"/>
            </w:tcBorders>
          </w:tcPr>
          <w:p w:rsidR="001D6937" w:rsidRPr="00FE2829" w:rsidRDefault="001D6937" w:rsidP="00D067B4">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Admission serum sodium (vs. normal):</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 xml:space="preserve">Low, &lt;135 </w:t>
            </w:r>
            <w:proofErr w:type="spellStart"/>
            <w:r w:rsidRPr="00FE2829">
              <w:rPr>
                <w:sz w:val="18"/>
                <w:szCs w:val="18"/>
              </w:rPr>
              <w:t>mmol</w:t>
            </w:r>
            <w:proofErr w:type="spellEnd"/>
            <w:r w:rsidRPr="00FE2829">
              <w:rPr>
                <w:sz w:val="18"/>
                <w:szCs w:val="18"/>
              </w:rPr>
              <w:t>/L</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1.32 (1.18-1.47)</w:t>
            </w:r>
          </w:p>
        </w:tc>
      </w:tr>
      <w:tr w:rsidR="001D6937" w:rsidRPr="00A05349" w:rsidTr="00D067B4">
        <w:trPr>
          <w:trHeight w:val="20"/>
        </w:trPr>
        <w:tc>
          <w:tcPr>
            <w:tcW w:w="1500" w:type="dxa"/>
            <w:vMerge/>
            <w:tcBorders>
              <w:bottom w:val="nil"/>
            </w:tcBorders>
          </w:tcPr>
          <w:p w:rsidR="001D6937" w:rsidRPr="00FE2829" w:rsidRDefault="001D6937">
            <w:pPr>
              <w:rPr>
                <w:sz w:val="18"/>
                <w:szCs w:val="18"/>
              </w:rPr>
            </w:pPr>
          </w:p>
        </w:tc>
        <w:tc>
          <w:tcPr>
            <w:tcW w:w="1398" w:type="dxa"/>
            <w:vMerge/>
            <w:tcBorders>
              <w:bottom w:val="nil"/>
            </w:tcBorders>
          </w:tcPr>
          <w:p w:rsidR="001D6937" w:rsidRPr="00FE2829" w:rsidRDefault="001D6937">
            <w:pPr>
              <w:rPr>
                <w:sz w:val="18"/>
                <w:szCs w:val="18"/>
              </w:rPr>
            </w:pPr>
          </w:p>
        </w:tc>
        <w:tc>
          <w:tcPr>
            <w:tcW w:w="2520" w:type="dxa"/>
            <w:vMerge/>
            <w:tcBorders>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Discharged within 90 days before admission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1.93 (1.76-2.11)</w:t>
            </w:r>
          </w:p>
        </w:tc>
      </w:tr>
      <w:tr w:rsidR="001D6937" w:rsidRPr="00A05349" w:rsidTr="00D067B4">
        <w:trPr>
          <w:trHeight w:val="250"/>
        </w:trPr>
        <w:tc>
          <w:tcPr>
            <w:tcW w:w="1500" w:type="dxa"/>
            <w:vMerge/>
            <w:tcBorders>
              <w:top w:val="nil"/>
              <w:bottom w:val="nil"/>
            </w:tcBorders>
          </w:tcPr>
          <w:p w:rsidR="001D6937" w:rsidRPr="00FE2829" w:rsidRDefault="001D6937">
            <w:pPr>
              <w:rPr>
                <w:sz w:val="18"/>
                <w:szCs w:val="18"/>
              </w:rPr>
            </w:pPr>
          </w:p>
        </w:tc>
        <w:tc>
          <w:tcPr>
            <w:tcW w:w="1398" w:type="dxa"/>
            <w:vMerge/>
            <w:tcBorders>
              <w:top w:val="nil"/>
              <w:bottom w:val="nil"/>
            </w:tcBorders>
          </w:tcPr>
          <w:p w:rsidR="001D6937" w:rsidRPr="00FE2829" w:rsidRDefault="001D6937">
            <w:pPr>
              <w:rPr>
                <w:sz w:val="18"/>
                <w:szCs w:val="18"/>
              </w:rPr>
            </w:pPr>
          </w:p>
        </w:tc>
        <w:tc>
          <w:tcPr>
            <w:tcW w:w="2520" w:type="dxa"/>
            <w:vMerge/>
            <w:tcBorders>
              <w:top w:val="nil"/>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Most recent discharge status up to 1 year before admission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762E4C" w:rsidRPr="00A05349" w:rsidTr="00D067B4">
        <w:trPr>
          <w:trHeight w:val="204"/>
        </w:trPr>
        <w:tc>
          <w:tcPr>
            <w:tcW w:w="1500" w:type="dxa"/>
            <w:vMerge w:val="restart"/>
            <w:tcBorders>
              <w:top w:val="nil"/>
            </w:tcBorders>
          </w:tcPr>
          <w:p w:rsidR="00762E4C" w:rsidRPr="00FE2829" w:rsidRDefault="00762E4C" w:rsidP="00762E4C">
            <w:pPr>
              <w:rPr>
                <w:sz w:val="18"/>
                <w:szCs w:val="18"/>
              </w:rPr>
            </w:pPr>
          </w:p>
        </w:tc>
        <w:tc>
          <w:tcPr>
            <w:tcW w:w="1398" w:type="dxa"/>
            <w:vMerge w:val="restart"/>
            <w:tcBorders>
              <w:top w:val="nil"/>
            </w:tcBorders>
          </w:tcPr>
          <w:p w:rsidR="00762E4C" w:rsidRPr="00FE2829" w:rsidRDefault="00762E4C" w:rsidP="00762E4C">
            <w:pPr>
              <w:rPr>
                <w:sz w:val="18"/>
                <w:szCs w:val="18"/>
              </w:rPr>
            </w:pPr>
          </w:p>
        </w:tc>
        <w:tc>
          <w:tcPr>
            <w:tcW w:w="2520" w:type="dxa"/>
            <w:vMerge w:val="restart"/>
            <w:tcBorders>
              <w:top w:val="nil"/>
              <w:right w:val="single" w:sz="4" w:space="0" w:color="auto"/>
            </w:tcBorders>
          </w:tcPr>
          <w:p w:rsidR="00762E4C" w:rsidRPr="00FE2829" w:rsidRDefault="00762E4C" w:rsidP="00762E4C">
            <w:pPr>
              <w:rPr>
                <w:sz w:val="18"/>
                <w:szCs w:val="18"/>
              </w:rPr>
            </w:pPr>
          </w:p>
        </w:tc>
        <w:tc>
          <w:tcPr>
            <w:tcW w:w="4950" w:type="dxa"/>
            <w:tcBorders>
              <w:top w:val="nil"/>
              <w:left w:val="single" w:sz="4" w:space="0" w:color="auto"/>
              <w:bottom w:val="nil"/>
              <w:right w:val="single" w:sz="4" w:space="0" w:color="auto"/>
            </w:tcBorders>
          </w:tcPr>
          <w:p w:rsidR="00762E4C" w:rsidRPr="00FE2829" w:rsidRDefault="00762E4C" w:rsidP="00A05349">
            <w:pPr>
              <w:ind w:left="252" w:hanging="252"/>
              <w:rPr>
                <w:sz w:val="18"/>
                <w:szCs w:val="18"/>
              </w:rPr>
            </w:pPr>
            <w:r w:rsidRPr="00FE2829">
              <w:rPr>
                <w:sz w:val="18"/>
                <w:szCs w:val="18"/>
              </w:rPr>
              <w:t xml:space="preserve"> (vs. home):</w:t>
            </w:r>
          </w:p>
        </w:tc>
        <w:tc>
          <w:tcPr>
            <w:tcW w:w="3510" w:type="dxa"/>
            <w:tcBorders>
              <w:top w:val="nil"/>
              <w:left w:val="single" w:sz="4" w:space="0" w:color="auto"/>
              <w:bottom w:val="nil"/>
              <w:right w:val="single" w:sz="4" w:space="0" w:color="auto"/>
            </w:tcBorders>
          </w:tcPr>
          <w:p w:rsidR="00762E4C" w:rsidRPr="00FE2829" w:rsidRDefault="00762E4C"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Against medical advice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1.49 (1.05-2.10)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No discharge recorded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0.77 (0.70-0.85)</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A05349">
            <w:pPr>
              <w:ind w:left="252" w:hanging="252"/>
              <w:rPr>
                <w:sz w:val="18"/>
                <w:szCs w:val="18"/>
              </w:rPr>
            </w:pPr>
            <w:r w:rsidRPr="00FE2829">
              <w:rPr>
                <w:sz w:val="18"/>
                <w:szCs w:val="18"/>
              </w:rPr>
              <w:t>Anemia, current or prior diagnosis</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OR = 1.26 (1.15-1.39)</w:t>
            </w:r>
          </w:p>
        </w:tc>
      </w:tr>
      <w:tr w:rsidR="001D6937" w:rsidRPr="00A05349" w:rsidTr="00D067B4">
        <w:trPr>
          <w:trHeight w:val="20"/>
        </w:trPr>
        <w:tc>
          <w:tcPr>
            <w:tcW w:w="1500" w:type="dxa"/>
            <w:vMerge w:val="restart"/>
            <w:hideMark/>
          </w:tcPr>
          <w:p w:rsidR="001D6937" w:rsidRPr="00FE2829" w:rsidRDefault="001D6937">
            <w:pPr>
              <w:rPr>
                <w:sz w:val="18"/>
                <w:szCs w:val="18"/>
              </w:rPr>
            </w:pPr>
            <w:r w:rsidRPr="00FE2829">
              <w:rPr>
                <w:sz w:val="18"/>
                <w:szCs w:val="18"/>
              </w:rPr>
              <w:t>Chen et al, 2015</w:t>
            </w:r>
            <w:r w:rsidR="00133E7F">
              <w:rPr>
                <w:sz w:val="18"/>
                <w:szCs w:val="18"/>
              </w:rPr>
              <w:t xml:space="preserve"> [6]</w:t>
            </w:r>
          </w:p>
        </w:tc>
        <w:tc>
          <w:tcPr>
            <w:tcW w:w="1398" w:type="dxa"/>
            <w:vMerge w:val="restart"/>
            <w:hideMark/>
          </w:tcPr>
          <w:p w:rsidR="001D6937" w:rsidRPr="00FE2829" w:rsidRDefault="001D6937">
            <w:pPr>
              <w:rPr>
                <w:sz w:val="18"/>
                <w:szCs w:val="18"/>
              </w:rPr>
            </w:pPr>
            <w:r w:rsidRPr="00FE2829">
              <w:rPr>
                <w:sz w:val="18"/>
                <w:szCs w:val="18"/>
              </w:rPr>
              <w:t>30</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Diabetic Medicare beneficiaries who received home healthcare within 14 days of hospital discharges</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Aged 75 to 84 years</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sz w:val="18"/>
                <w:szCs w:val="18"/>
              </w:rPr>
              <w:t>HR = 1.10 (1.04-1.16)</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FE2829" w:rsidP="00FE2829">
            <w:pPr>
              <w:ind w:left="252" w:hanging="252"/>
              <w:rPr>
                <w:sz w:val="18"/>
                <w:szCs w:val="18"/>
              </w:rPr>
            </w:pPr>
            <w:r w:rsidRPr="00FE2829">
              <w:rPr>
                <w:sz w:val="18"/>
                <w:szCs w:val="18"/>
              </w:rPr>
              <w:t>African American</w:t>
            </w:r>
          </w:p>
        </w:tc>
        <w:tc>
          <w:tcPr>
            <w:tcW w:w="3510" w:type="dxa"/>
            <w:tcBorders>
              <w:top w:val="nil"/>
              <w:left w:val="single" w:sz="4" w:space="0" w:color="auto"/>
              <w:bottom w:val="nil"/>
              <w:right w:val="single" w:sz="4" w:space="0" w:color="auto"/>
            </w:tcBorders>
          </w:tcPr>
          <w:p w:rsidR="001D6937" w:rsidRPr="00FE2829" w:rsidRDefault="001D6937" w:rsidP="00FE2829">
            <w:pPr>
              <w:rPr>
                <w:sz w:val="18"/>
                <w:szCs w:val="18"/>
              </w:rPr>
            </w:pPr>
            <w:r w:rsidRPr="00FE2829">
              <w:rPr>
                <w:sz w:val="18"/>
                <w:szCs w:val="18"/>
              </w:rPr>
              <w:t>HR = 1.11 (1.04-1.18)</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FE2829" w:rsidP="00A05349">
            <w:pPr>
              <w:ind w:left="252" w:hanging="252"/>
              <w:rPr>
                <w:sz w:val="18"/>
                <w:szCs w:val="18"/>
              </w:rPr>
            </w:pPr>
            <w:r w:rsidRPr="00FE2829">
              <w:rPr>
                <w:sz w:val="18"/>
                <w:szCs w:val="18"/>
              </w:rPr>
              <w:t>Need factors (health conditions and functional</w:t>
            </w:r>
            <w:r w:rsidRPr="00FE2829">
              <w:rPr>
                <w:sz w:val="18"/>
                <w:szCs w:val="18"/>
              </w:rPr>
              <w:t xml:space="preserve"> status):</w:t>
            </w:r>
          </w:p>
        </w:tc>
        <w:tc>
          <w:tcPr>
            <w:tcW w:w="3510" w:type="dxa"/>
            <w:tcBorders>
              <w:top w:val="nil"/>
              <w:left w:val="single" w:sz="4" w:space="0" w:color="auto"/>
              <w:bottom w:val="nil"/>
              <w:right w:val="single" w:sz="4" w:space="0" w:color="auto"/>
            </w:tcBorders>
          </w:tcPr>
          <w:p w:rsidR="001D6937" w:rsidRPr="00FE2829" w:rsidRDefault="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Congestive heart failure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1.09 (1.01-1.18)</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proofErr w:type="spellStart"/>
            <w:r w:rsidRPr="00FE2829">
              <w:rPr>
                <w:sz w:val="18"/>
                <w:szCs w:val="18"/>
              </w:rPr>
              <w:t>Valvular</w:t>
            </w:r>
            <w:proofErr w:type="spellEnd"/>
            <w:r w:rsidRPr="00FE2829">
              <w:rPr>
                <w:sz w:val="18"/>
                <w:szCs w:val="18"/>
              </w:rPr>
              <w:t xml:space="preserve"> disease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0.74 (0.59-0.92)</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Hypertension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0.82 (0.78-0.86)</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proofErr w:type="spellStart"/>
            <w:r w:rsidRPr="00FE2829">
              <w:rPr>
                <w:sz w:val="18"/>
                <w:szCs w:val="18"/>
              </w:rPr>
              <w:t>Periperal</w:t>
            </w:r>
            <w:proofErr w:type="spellEnd"/>
            <w:r w:rsidRPr="00FE2829">
              <w:rPr>
                <w:sz w:val="18"/>
                <w:szCs w:val="18"/>
              </w:rPr>
              <w:t xml:space="preserve"> vascular disease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1.12 (1.03-1.22)</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Chronic obstructive pulmonary disease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1.60 (1.51-1.70)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Renal failure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1.44 (1.36-1.53)</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Deficiency anemia</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1.11 (1.04-1.19)</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Obesity</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0.75 (0.66-0.84)</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Fluid and electrolyte diseases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1.10 (1.04-1.17)</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Psychoses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0.74 (0.59-0.93)</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Depression or anxiety</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1.09 (1.04-1.14)</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Pressure or stasis ulcer</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HR = 1.25 (1.16-1.35)</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Required assistance in medication management</w:t>
            </w:r>
          </w:p>
        </w:tc>
        <w:tc>
          <w:tcPr>
            <w:tcW w:w="3510" w:type="dxa"/>
            <w:tcBorders>
              <w:top w:val="nil"/>
              <w:left w:val="single" w:sz="4" w:space="0" w:color="auto"/>
              <w:bottom w:val="nil"/>
              <w:right w:val="single" w:sz="4" w:space="0" w:color="auto"/>
            </w:tcBorders>
          </w:tcPr>
          <w:p w:rsidR="001D6937" w:rsidRPr="00FE2829" w:rsidRDefault="00FE2829" w:rsidP="001D6937">
            <w:pPr>
              <w:rPr>
                <w:sz w:val="18"/>
                <w:szCs w:val="18"/>
              </w:rPr>
            </w:pPr>
            <w:r>
              <w:rPr>
                <w:sz w:val="18"/>
                <w:szCs w:val="18"/>
              </w:rPr>
              <w:t>HR = 1.16 (1.09-1.23)</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Intensity of home healthcare visits (log-transformed)</w:t>
            </w:r>
          </w:p>
        </w:tc>
        <w:tc>
          <w:tcPr>
            <w:tcW w:w="3510" w:type="dxa"/>
            <w:tcBorders>
              <w:top w:val="nil"/>
              <w:left w:val="single" w:sz="4" w:space="0" w:color="auto"/>
              <w:bottom w:val="nil"/>
              <w:right w:val="single" w:sz="4" w:space="0" w:color="auto"/>
            </w:tcBorders>
          </w:tcPr>
          <w:p w:rsidR="001D6937" w:rsidRPr="00FE2829" w:rsidRDefault="001D6937" w:rsidP="00FE2829">
            <w:pPr>
              <w:rPr>
                <w:sz w:val="18"/>
                <w:szCs w:val="18"/>
              </w:rPr>
            </w:pPr>
            <w:r w:rsidRPr="00FE2829">
              <w:rPr>
                <w:sz w:val="18"/>
                <w:szCs w:val="18"/>
              </w:rPr>
              <w:t>HR = 1.84 (1.77-1.91)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A05349">
            <w:pPr>
              <w:ind w:left="252" w:hanging="252"/>
              <w:rPr>
                <w:sz w:val="18"/>
                <w:szCs w:val="18"/>
              </w:rPr>
            </w:pPr>
            <w:r w:rsidRPr="00FE2829">
              <w:rPr>
                <w:sz w:val="18"/>
                <w:szCs w:val="18"/>
              </w:rPr>
              <w:t>Hospitals received penalty due to excess 30-day readmissions</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HR = 1.21 (1.14-1.28)</w:t>
            </w:r>
          </w:p>
        </w:tc>
      </w:tr>
      <w:tr w:rsidR="001D6937" w:rsidRPr="00A05349" w:rsidTr="00D067B4">
        <w:trPr>
          <w:trHeight w:val="20"/>
        </w:trPr>
        <w:tc>
          <w:tcPr>
            <w:tcW w:w="1500" w:type="dxa"/>
            <w:vMerge w:val="restart"/>
            <w:hideMark/>
          </w:tcPr>
          <w:p w:rsidR="001D6937" w:rsidRPr="00FE2829" w:rsidRDefault="001D6937">
            <w:pPr>
              <w:rPr>
                <w:sz w:val="18"/>
                <w:szCs w:val="18"/>
              </w:rPr>
            </w:pPr>
            <w:proofErr w:type="spellStart"/>
            <w:r w:rsidRPr="00FE2829">
              <w:rPr>
                <w:sz w:val="18"/>
                <w:szCs w:val="18"/>
              </w:rPr>
              <w:t>Eby</w:t>
            </w:r>
            <w:proofErr w:type="spellEnd"/>
            <w:r w:rsidRPr="00FE2829">
              <w:rPr>
                <w:sz w:val="18"/>
                <w:szCs w:val="18"/>
              </w:rPr>
              <w:t xml:space="preserve"> et al, 2015</w:t>
            </w:r>
            <w:r w:rsidR="00133E7F">
              <w:rPr>
                <w:sz w:val="18"/>
                <w:szCs w:val="18"/>
              </w:rPr>
              <w:t xml:space="preserve"> [7]</w:t>
            </w:r>
          </w:p>
        </w:tc>
        <w:tc>
          <w:tcPr>
            <w:tcW w:w="1398" w:type="dxa"/>
            <w:vMerge w:val="restart"/>
            <w:hideMark/>
          </w:tcPr>
          <w:p w:rsidR="001D6937" w:rsidRPr="00FE2829" w:rsidRDefault="001D6937">
            <w:pPr>
              <w:rPr>
                <w:sz w:val="18"/>
                <w:szCs w:val="18"/>
              </w:rPr>
            </w:pPr>
            <w:r w:rsidRPr="00FE2829">
              <w:rPr>
                <w:sz w:val="18"/>
                <w:szCs w:val="18"/>
              </w:rPr>
              <w:t>30</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 xml:space="preserve">Patients with type 2 diabetes identified from </w:t>
            </w:r>
            <w:proofErr w:type="spellStart"/>
            <w:r w:rsidRPr="00FE2829">
              <w:rPr>
                <w:sz w:val="18"/>
                <w:szCs w:val="18"/>
              </w:rPr>
              <w:t>Humedica’s</w:t>
            </w:r>
            <w:proofErr w:type="spellEnd"/>
            <w:r w:rsidRPr="00FE2829">
              <w:rPr>
                <w:sz w:val="18"/>
                <w:szCs w:val="18"/>
              </w:rPr>
              <w:t xml:space="preserve"> de-identified electronic health records database</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Surgery during index hospitalization</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sz w:val="18"/>
                <w:szCs w:val="18"/>
              </w:rPr>
              <w:t>OR = 0.88 (0.76-0.94)</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HbA1c tested during hospitalization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0.85 (0.76-0.93)</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End-stage renal disease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1.38 (1.16-1.70)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Heart failure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1.33 (1.15-1.60)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Discharge disposition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0.84 (0.75-0.92)</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Any encounter within 30 days post-discharge (excluding readmission)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0.31 (0.29-0.35)</w:t>
            </w:r>
            <w:r w:rsidRPr="00FE2829">
              <w:rPr>
                <w:sz w:val="18"/>
                <w:szCs w:val="18"/>
              </w:rPr>
              <w:br/>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Charlson Comorbidity Index</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1.14 (1.10-1.20)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Diabetes diagnosis prior to index stay</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0.68 (0.61-0.76)</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Hypertension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0.80 (0.70-0.88)</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Payer type (vs. Uninsured):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Dual eligible (Medicare/Medicaid)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1.97 (1.31-2.89)</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Medicaid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1.69 (1.14-2.37)</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Medicare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1.72 (1.17-2.43)</w:t>
            </w:r>
          </w:p>
        </w:tc>
      </w:tr>
      <w:tr w:rsidR="001D6937" w:rsidRPr="00A05349" w:rsidTr="00D067B4">
        <w:trPr>
          <w:trHeight w:val="20"/>
        </w:trPr>
        <w:tc>
          <w:tcPr>
            <w:tcW w:w="1500" w:type="dxa"/>
            <w:vMerge/>
            <w:tcBorders>
              <w:bottom w:val="nil"/>
            </w:tcBorders>
          </w:tcPr>
          <w:p w:rsidR="001D6937" w:rsidRPr="00FE2829" w:rsidRDefault="001D6937">
            <w:pPr>
              <w:rPr>
                <w:sz w:val="18"/>
                <w:szCs w:val="18"/>
              </w:rPr>
            </w:pPr>
          </w:p>
        </w:tc>
        <w:tc>
          <w:tcPr>
            <w:tcW w:w="1398" w:type="dxa"/>
            <w:vMerge/>
            <w:tcBorders>
              <w:bottom w:val="nil"/>
            </w:tcBorders>
          </w:tcPr>
          <w:p w:rsidR="001D6937" w:rsidRPr="00FE2829" w:rsidRDefault="001D6937">
            <w:pPr>
              <w:rPr>
                <w:sz w:val="18"/>
                <w:szCs w:val="18"/>
              </w:rPr>
            </w:pPr>
          </w:p>
        </w:tc>
        <w:tc>
          <w:tcPr>
            <w:tcW w:w="2520" w:type="dxa"/>
            <w:vMerge/>
            <w:tcBorders>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Length of index stay</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1.11 (1.09-1.13)</w:t>
            </w:r>
          </w:p>
        </w:tc>
      </w:tr>
      <w:tr w:rsidR="001D6937" w:rsidRPr="00A05349" w:rsidTr="00D067B4">
        <w:trPr>
          <w:trHeight w:val="20"/>
        </w:trPr>
        <w:tc>
          <w:tcPr>
            <w:tcW w:w="1500" w:type="dxa"/>
            <w:vMerge/>
            <w:tcBorders>
              <w:top w:val="nil"/>
              <w:bottom w:val="nil"/>
            </w:tcBorders>
          </w:tcPr>
          <w:p w:rsidR="001D6937" w:rsidRPr="00FE2829" w:rsidRDefault="001D6937">
            <w:pPr>
              <w:rPr>
                <w:sz w:val="18"/>
                <w:szCs w:val="18"/>
              </w:rPr>
            </w:pPr>
          </w:p>
        </w:tc>
        <w:tc>
          <w:tcPr>
            <w:tcW w:w="1398" w:type="dxa"/>
            <w:vMerge/>
            <w:tcBorders>
              <w:top w:val="nil"/>
              <w:bottom w:val="nil"/>
            </w:tcBorders>
          </w:tcPr>
          <w:p w:rsidR="001D6937" w:rsidRPr="00FE2829" w:rsidRDefault="001D6937">
            <w:pPr>
              <w:rPr>
                <w:sz w:val="18"/>
                <w:szCs w:val="18"/>
              </w:rPr>
            </w:pPr>
          </w:p>
        </w:tc>
        <w:tc>
          <w:tcPr>
            <w:tcW w:w="2520" w:type="dxa"/>
            <w:vMerge/>
            <w:tcBorders>
              <w:top w:val="nil"/>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No. of emergency room visits in the pre-period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1.10 (1.06-1.14)</w:t>
            </w:r>
          </w:p>
        </w:tc>
      </w:tr>
      <w:tr w:rsidR="001D6937" w:rsidRPr="00A05349" w:rsidTr="00D067B4">
        <w:trPr>
          <w:trHeight w:val="20"/>
        </w:trPr>
        <w:tc>
          <w:tcPr>
            <w:tcW w:w="1500" w:type="dxa"/>
            <w:vMerge w:val="restart"/>
            <w:tcBorders>
              <w:top w:val="nil"/>
            </w:tcBorders>
          </w:tcPr>
          <w:p w:rsidR="001D6937" w:rsidRPr="00FE2829" w:rsidRDefault="001D6937" w:rsidP="00D067B4">
            <w:pPr>
              <w:rPr>
                <w:sz w:val="18"/>
                <w:szCs w:val="18"/>
              </w:rPr>
            </w:pPr>
          </w:p>
        </w:tc>
        <w:tc>
          <w:tcPr>
            <w:tcW w:w="1398" w:type="dxa"/>
            <w:vMerge w:val="restart"/>
            <w:tcBorders>
              <w:top w:val="nil"/>
            </w:tcBorders>
          </w:tcPr>
          <w:p w:rsidR="001D6937" w:rsidRPr="00FE2829" w:rsidRDefault="001D6937" w:rsidP="00D067B4">
            <w:pPr>
              <w:rPr>
                <w:sz w:val="18"/>
                <w:szCs w:val="18"/>
              </w:rPr>
            </w:pPr>
          </w:p>
        </w:tc>
        <w:tc>
          <w:tcPr>
            <w:tcW w:w="2520" w:type="dxa"/>
            <w:vMerge w:val="restart"/>
            <w:tcBorders>
              <w:top w:val="nil"/>
              <w:right w:val="single" w:sz="4" w:space="0" w:color="auto"/>
            </w:tcBorders>
          </w:tcPr>
          <w:p w:rsidR="001D6937" w:rsidRPr="00FE2829" w:rsidRDefault="001D6937" w:rsidP="00D067B4">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No. of inpatient visits in the pre-period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1.22 (1.10-1.38)</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Diabetic treatment escalation (vs. none–to-none):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Borders>
              <w:bottom w:val="nil"/>
            </w:tcBorders>
          </w:tcPr>
          <w:p w:rsidR="001D6937" w:rsidRPr="00FE2829" w:rsidRDefault="001D6937">
            <w:pPr>
              <w:rPr>
                <w:sz w:val="18"/>
                <w:szCs w:val="18"/>
              </w:rPr>
            </w:pPr>
          </w:p>
        </w:tc>
        <w:tc>
          <w:tcPr>
            <w:tcW w:w="1398" w:type="dxa"/>
            <w:vMerge/>
            <w:tcBorders>
              <w:bottom w:val="nil"/>
            </w:tcBorders>
          </w:tcPr>
          <w:p w:rsidR="001D6937" w:rsidRPr="00FE2829" w:rsidRDefault="001D6937">
            <w:pPr>
              <w:rPr>
                <w:sz w:val="18"/>
                <w:szCs w:val="18"/>
              </w:rPr>
            </w:pPr>
          </w:p>
        </w:tc>
        <w:tc>
          <w:tcPr>
            <w:tcW w:w="2520" w:type="dxa"/>
            <w:vMerge/>
            <w:tcBorders>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Insulin-to-insulin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1.59 (1.32-1.94)</w:t>
            </w:r>
          </w:p>
        </w:tc>
      </w:tr>
      <w:tr w:rsidR="001D6937" w:rsidRPr="00A05349" w:rsidTr="00D067B4">
        <w:trPr>
          <w:trHeight w:val="20"/>
        </w:trPr>
        <w:tc>
          <w:tcPr>
            <w:tcW w:w="1500" w:type="dxa"/>
            <w:vMerge/>
            <w:tcBorders>
              <w:top w:val="nil"/>
              <w:bottom w:val="nil"/>
            </w:tcBorders>
          </w:tcPr>
          <w:p w:rsidR="001D6937" w:rsidRPr="00FE2829" w:rsidRDefault="001D6937">
            <w:pPr>
              <w:rPr>
                <w:sz w:val="18"/>
                <w:szCs w:val="18"/>
              </w:rPr>
            </w:pPr>
          </w:p>
        </w:tc>
        <w:tc>
          <w:tcPr>
            <w:tcW w:w="1398" w:type="dxa"/>
            <w:vMerge/>
            <w:tcBorders>
              <w:top w:val="nil"/>
              <w:bottom w:val="nil"/>
            </w:tcBorders>
          </w:tcPr>
          <w:p w:rsidR="001D6937" w:rsidRPr="00FE2829" w:rsidRDefault="001D6937">
            <w:pPr>
              <w:rPr>
                <w:sz w:val="18"/>
                <w:szCs w:val="18"/>
              </w:rPr>
            </w:pPr>
          </w:p>
        </w:tc>
        <w:tc>
          <w:tcPr>
            <w:tcW w:w="2520" w:type="dxa"/>
            <w:vMerge/>
            <w:tcBorders>
              <w:top w:val="nil"/>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None-to-insulin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6.56 (5.15-8.17)</w:t>
            </w:r>
          </w:p>
        </w:tc>
      </w:tr>
      <w:tr w:rsidR="001D6937" w:rsidRPr="00A05349" w:rsidTr="00D067B4">
        <w:trPr>
          <w:trHeight w:val="20"/>
        </w:trPr>
        <w:tc>
          <w:tcPr>
            <w:tcW w:w="1500" w:type="dxa"/>
            <w:vMerge w:val="restart"/>
            <w:tcBorders>
              <w:top w:val="nil"/>
            </w:tcBorders>
          </w:tcPr>
          <w:p w:rsidR="001D6937" w:rsidRPr="00FE2829" w:rsidRDefault="001D6937" w:rsidP="00BD731A">
            <w:pPr>
              <w:rPr>
                <w:sz w:val="18"/>
                <w:szCs w:val="18"/>
              </w:rPr>
            </w:pPr>
          </w:p>
        </w:tc>
        <w:tc>
          <w:tcPr>
            <w:tcW w:w="1398" w:type="dxa"/>
            <w:vMerge w:val="restart"/>
            <w:tcBorders>
              <w:top w:val="nil"/>
            </w:tcBorders>
          </w:tcPr>
          <w:p w:rsidR="001D6937" w:rsidRPr="00FE2829" w:rsidRDefault="001D6937" w:rsidP="00BD731A">
            <w:pPr>
              <w:rPr>
                <w:sz w:val="18"/>
                <w:szCs w:val="18"/>
              </w:rPr>
            </w:pPr>
          </w:p>
        </w:tc>
        <w:tc>
          <w:tcPr>
            <w:tcW w:w="2520" w:type="dxa"/>
            <w:vMerge w:val="restart"/>
            <w:tcBorders>
              <w:top w:val="nil"/>
              <w:right w:val="single" w:sz="4" w:space="0" w:color="auto"/>
            </w:tcBorders>
          </w:tcPr>
          <w:p w:rsidR="001D6937" w:rsidRPr="00FE2829" w:rsidRDefault="001D6937" w:rsidP="00BD731A">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None-to-oral</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3.33 (2.54-4.32)</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Oral-to-insulin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3.56 (2.47-4.96)</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FE2829">
            <w:pPr>
              <w:ind w:left="252"/>
              <w:rPr>
                <w:sz w:val="18"/>
                <w:szCs w:val="18"/>
              </w:rPr>
            </w:pPr>
            <w:r w:rsidRPr="00FE2829">
              <w:rPr>
                <w:sz w:val="18"/>
                <w:szCs w:val="18"/>
              </w:rPr>
              <w:t>Oral-to-oral</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OR = 1.20 (1.03-1.37)</w:t>
            </w:r>
          </w:p>
        </w:tc>
      </w:tr>
      <w:tr w:rsidR="001D6937" w:rsidRPr="00A05349" w:rsidTr="00D067B4">
        <w:trPr>
          <w:trHeight w:val="20"/>
        </w:trPr>
        <w:tc>
          <w:tcPr>
            <w:tcW w:w="1500" w:type="dxa"/>
            <w:vMerge w:val="restart"/>
            <w:hideMark/>
          </w:tcPr>
          <w:p w:rsidR="001D6937" w:rsidRPr="00FE2829" w:rsidRDefault="001D6937">
            <w:pPr>
              <w:rPr>
                <w:sz w:val="18"/>
                <w:szCs w:val="18"/>
              </w:rPr>
            </w:pPr>
            <w:proofErr w:type="spellStart"/>
            <w:r w:rsidRPr="00FE2829">
              <w:rPr>
                <w:sz w:val="18"/>
                <w:szCs w:val="18"/>
              </w:rPr>
              <w:t>Raval</w:t>
            </w:r>
            <w:proofErr w:type="spellEnd"/>
            <w:r w:rsidRPr="00FE2829">
              <w:rPr>
                <w:sz w:val="18"/>
                <w:szCs w:val="18"/>
              </w:rPr>
              <w:t xml:space="preserve"> et al, 2015</w:t>
            </w:r>
            <w:r w:rsidR="00133E7F">
              <w:rPr>
                <w:sz w:val="18"/>
                <w:szCs w:val="18"/>
              </w:rPr>
              <w:t xml:space="preserve"> [8]</w:t>
            </w:r>
          </w:p>
        </w:tc>
        <w:tc>
          <w:tcPr>
            <w:tcW w:w="1398" w:type="dxa"/>
            <w:vMerge w:val="restart"/>
            <w:hideMark/>
          </w:tcPr>
          <w:p w:rsidR="001D6937" w:rsidRPr="00FE2829" w:rsidRDefault="001D6937">
            <w:pPr>
              <w:rPr>
                <w:sz w:val="18"/>
                <w:szCs w:val="18"/>
              </w:rPr>
            </w:pPr>
            <w:r w:rsidRPr="00FE2829">
              <w:rPr>
                <w:sz w:val="18"/>
                <w:szCs w:val="18"/>
              </w:rPr>
              <w:t>30</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Elderly Medicare beneficiaries with type 2 diabetes mellitus (T2DM) aged ≥ 65 years</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Cognitive impairment</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proofErr w:type="spellStart"/>
            <w:r w:rsidRPr="00FE2829">
              <w:rPr>
                <w:sz w:val="18"/>
                <w:szCs w:val="18"/>
              </w:rPr>
              <w:t>aOR</w:t>
            </w:r>
            <w:proofErr w:type="spellEnd"/>
            <w:r w:rsidRPr="00FE2829">
              <w:rPr>
                <w:sz w:val="18"/>
                <w:szCs w:val="18"/>
              </w:rPr>
              <w:t xml:space="preserve"> = 1.06 (1.01–1.12)</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Falls and falls risk</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roofErr w:type="spellStart"/>
            <w:r w:rsidRPr="00FE2829">
              <w:rPr>
                <w:sz w:val="18"/>
                <w:szCs w:val="18"/>
              </w:rPr>
              <w:t>aOR</w:t>
            </w:r>
            <w:proofErr w:type="spellEnd"/>
            <w:r w:rsidRPr="00FE2829">
              <w:rPr>
                <w:sz w:val="18"/>
                <w:szCs w:val="18"/>
              </w:rPr>
              <w:t xml:space="preserve"> = 1.15 (1.08–1.22)</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Polypharmacy (&gt;13 drugs)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roofErr w:type="spellStart"/>
            <w:r w:rsidRPr="00FE2829">
              <w:rPr>
                <w:sz w:val="18"/>
                <w:szCs w:val="18"/>
              </w:rPr>
              <w:t>aOR</w:t>
            </w:r>
            <w:proofErr w:type="spellEnd"/>
            <w:r w:rsidRPr="00FE2829">
              <w:rPr>
                <w:sz w:val="18"/>
                <w:szCs w:val="18"/>
              </w:rPr>
              <w:t xml:space="preserve"> = 1.20 (1.14–1.27)</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FE2829" w:rsidP="00FE2829">
            <w:pPr>
              <w:ind w:left="252" w:hanging="252"/>
              <w:rPr>
                <w:sz w:val="18"/>
                <w:szCs w:val="18"/>
              </w:rPr>
            </w:pPr>
            <w:r w:rsidRPr="00FE2829">
              <w:rPr>
                <w:sz w:val="18"/>
                <w:szCs w:val="18"/>
              </w:rPr>
              <w:t>Urinary incontinence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roofErr w:type="spellStart"/>
            <w:r w:rsidRPr="00FE2829">
              <w:rPr>
                <w:sz w:val="18"/>
                <w:szCs w:val="18"/>
              </w:rPr>
              <w:t>aOR</w:t>
            </w:r>
            <w:proofErr w:type="spellEnd"/>
            <w:r w:rsidRPr="00FE2829">
              <w:rPr>
                <w:sz w:val="18"/>
                <w:szCs w:val="18"/>
              </w:rPr>
              <w:t xml:space="preserve"> = 1.08 (1.01–1.15)</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FE2829" w:rsidRPr="00FE2829" w:rsidRDefault="00FE2829" w:rsidP="00EC69C3">
            <w:pPr>
              <w:rPr>
                <w:sz w:val="18"/>
                <w:szCs w:val="18"/>
              </w:rPr>
            </w:pPr>
          </w:p>
          <w:p w:rsidR="001D6937" w:rsidRPr="00FE2829" w:rsidRDefault="001D6937" w:rsidP="00EC69C3">
            <w:pPr>
              <w:rPr>
                <w:sz w:val="18"/>
                <w:szCs w:val="18"/>
              </w:rPr>
            </w:pPr>
            <w:r w:rsidRPr="00FE2829">
              <w:rPr>
                <w:sz w:val="18"/>
                <w:szCs w:val="18"/>
              </w:rPr>
              <w:t>(Adjusted for demographic, insurance, index hospitalization, clinical and healthcare utilization characteristics)</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val="restart"/>
            <w:hideMark/>
          </w:tcPr>
          <w:p w:rsidR="001D6937" w:rsidRPr="00FE2829" w:rsidRDefault="001D6937">
            <w:pPr>
              <w:rPr>
                <w:sz w:val="18"/>
                <w:szCs w:val="18"/>
              </w:rPr>
            </w:pPr>
            <w:r w:rsidRPr="00FE2829">
              <w:rPr>
                <w:sz w:val="18"/>
                <w:szCs w:val="18"/>
              </w:rPr>
              <w:t>Zapatero et al, 2014</w:t>
            </w:r>
            <w:r w:rsidR="003064CA">
              <w:rPr>
                <w:sz w:val="18"/>
                <w:szCs w:val="18"/>
              </w:rPr>
              <w:t xml:space="preserve"> [9</w:t>
            </w:r>
            <w:r w:rsidR="00133E7F">
              <w:rPr>
                <w:sz w:val="18"/>
                <w:szCs w:val="18"/>
              </w:rPr>
              <w:t>]</w:t>
            </w:r>
          </w:p>
        </w:tc>
        <w:tc>
          <w:tcPr>
            <w:tcW w:w="1398" w:type="dxa"/>
            <w:vMerge w:val="restart"/>
            <w:hideMark/>
          </w:tcPr>
          <w:p w:rsidR="001D6937" w:rsidRPr="00FE2829" w:rsidRDefault="001D6937">
            <w:pPr>
              <w:rPr>
                <w:sz w:val="18"/>
                <w:szCs w:val="18"/>
              </w:rPr>
            </w:pPr>
            <w:r w:rsidRPr="00FE2829">
              <w:rPr>
                <w:sz w:val="18"/>
                <w:szCs w:val="18"/>
              </w:rPr>
              <w:t>30</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Diabetes patients identified from Basic Minimum Data Set registry of the Spanish National Health System</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Hypoglycemia</w:t>
            </w:r>
          </w:p>
        </w:tc>
        <w:tc>
          <w:tcPr>
            <w:tcW w:w="3510" w:type="dxa"/>
            <w:tcBorders>
              <w:top w:val="single" w:sz="4" w:space="0" w:color="auto"/>
              <w:left w:val="single" w:sz="4" w:space="0" w:color="auto"/>
              <w:bottom w:val="nil"/>
              <w:right w:val="single" w:sz="4" w:space="0" w:color="auto"/>
            </w:tcBorders>
            <w:hideMark/>
          </w:tcPr>
          <w:p w:rsidR="001D6937" w:rsidRPr="00FE2829" w:rsidRDefault="001D6937">
            <w:pPr>
              <w:rPr>
                <w:sz w:val="18"/>
                <w:szCs w:val="18"/>
              </w:rPr>
            </w:pPr>
            <w:proofErr w:type="spellStart"/>
            <w:r w:rsidRPr="00FE2829">
              <w:rPr>
                <w:sz w:val="18"/>
                <w:szCs w:val="18"/>
              </w:rPr>
              <w:t>aOR</w:t>
            </w:r>
            <w:proofErr w:type="spellEnd"/>
            <w:r w:rsidRPr="00FE2829">
              <w:rPr>
                <w:sz w:val="18"/>
                <w:szCs w:val="18"/>
              </w:rPr>
              <w:t xml:space="preserve"> = 1.20 (1.17-1.23)</w:t>
            </w:r>
          </w:p>
        </w:tc>
      </w:tr>
      <w:tr w:rsidR="001D6937" w:rsidRPr="00A05349" w:rsidTr="00D067B4">
        <w:trPr>
          <w:trHeight w:val="20"/>
        </w:trPr>
        <w:tc>
          <w:tcPr>
            <w:tcW w:w="1500" w:type="dxa"/>
            <w:vMerge/>
            <w:tcBorders>
              <w:bottom w:val="single" w:sz="4" w:space="0" w:color="auto"/>
            </w:tcBorders>
          </w:tcPr>
          <w:p w:rsidR="001D6937" w:rsidRPr="00FE2829" w:rsidRDefault="001D6937">
            <w:pPr>
              <w:rPr>
                <w:sz w:val="18"/>
                <w:szCs w:val="18"/>
              </w:rPr>
            </w:pPr>
          </w:p>
        </w:tc>
        <w:tc>
          <w:tcPr>
            <w:tcW w:w="1398" w:type="dxa"/>
            <w:vMerge/>
            <w:tcBorders>
              <w:bottom w:val="single" w:sz="4" w:space="0" w:color="auto"/>
            </w:tcBorders>
          </w:tcPr>
          <w:p w:rsidR="001D6937" w:rsidRPr="00FE2829" w:rsidRDefault="001D6937">
            <w:pPr>
              <w:rPr>
                <w:sz w:val="18"/>
                <w:szCs w:val="18"/>
              </w:rPr>
            </w:pPr>
          </w:p>
        </w:tc>
        <w:tc>
          <w:tcPr>
            <w:tcW w:w="2520" w:type="dxa"/>
            <w:vMerge/>
            <w:tcBorders>
              <w:bottom w:val="single" w:sz="4" w:space="0" w:color="auto"/>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A05349">
            <w:pPr>
              <w:ind w:left="252" w:hanging="252"/>
              <w:rPr>
                <w:sz w:val="18"/>
                <w:szCs w:val="18"/>
              </w:rPr>
            </w:pPr>
          </w:p>
          <w:p w:rsidR="001D6937" w:rsidRPr="00FE2829" w:rsidRDefault="001D6937" w:rsidP="00EC69C3">
            <w:pPr>
              <w:rPr>
                <w:sz w:val="18"/>
                <w:szCs w:val="18"/>
              </w:rPr>
            </w:pPr>
            <w:r w:rsidRPr="00FE2829">
              <w:rPr>
                <w:sz w:val="18"/>
                <w:szCs w:val="18"/>
              </w:rPr>
              <w:t>(Adjusted for age (10 year increment), gender, Charlson comorbidity index)</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val="restart"/>
            <w:tcBorders>
              <w:top w:val="single" w:sz="4" w:space="0" w:color="auto"/>
              <w:left w:val="single" w:sz="4" w:space="0" w:color="auto"/>
            </w:tcBorders>
            <w:hideMark/>
          </w:tcPr>
          <w:p w:rsidR="001D6937" w:rsidRPr="00FE2829" w:rsidRDefault="001D6937" w:rsidP="003064CA">
            <w:pPr>
              <w:rPr>
                <w:sz w:val="18"/>
                <w:szCs w:val="18"/>
              </w:rPr>
            </w:pPr>
            <w:r w:rsidRPr="00FE2829">
              <w:rPr>
                <w:sz w:val="18"/>
                <w:szCs w:val="18"/>
              </w:rPr>
              <w:t>Healy et al, 2013</w:t>
            </w:r>
            <w:r w:rsidR="00133E7F">
              <w:rPr>
                <w:sz w:val="18"/>
                <w:szCs w:val="18"/>
              </w:rPr>
              <w:t xml:space="preserve"> [1</w:t>
            </w:r>
            <w:r w:rsidR="003064CA">
              <w:rPr>
                <w:sz w:val="18"/>
                <w:szCs w:val="18"/>
              </w:rPr>
              <w:t>0</w:t>
            </w:r>
            <w:r w:rsidR="00133E7F">
              <w:rPr>
                <w:sz w:val="18"/>
                <w:szCs w:val="18"/>
              </w:rPr>
              <w:t>]</w:t>
            </w:r>
          </w:p>
        </w:tc>
        <w:tc>
          <w:tcPr>
            <w:tcW w:w="1398" w:type="dxa"/>
            <w:vMerge w:val="restart"/>
            <w:tcBorders>
              <w:top w:val="single" w:sz="4" w:space="0" w:color="auto"/>
            </w:tcBorders>
            <w:hideMark/>
          </w:tcPr>
          <w:p w:rsidR="001D6937" w:rsidRPr="00FE2829" w:rsidRDefault="001D6937">
            <w:pPr>
              <w:rPr>
                <w:sz w:val="18"/>
                <w:szCs w:val="18"/>
              </w:rPr>
            </w:pPr>
            <w:r w:rsidRPr="00FE2829">
              <w:rPr>
                <w:sz w:val="18"/>
                <w:szCs w:val="18"/>
              </w:rPr>
              <w:t>30 and 180</w:t>
            </w:r>
          </w:p>
        </w:tc>
        <w:tc>
          <w:tcPr>
            <w:tcW w:w="2520" w:type="dxa"/>
            <w:vMerge w:val="restart"/>
            <w:tcBorders>
              <w:top w:val="single" w:sz="4" w:space="0" w:color="auto"/>
              <w:right w:val="single" w:sz="4" w:space="0" w:color="auto"/>
            </w:tcBorders>
            <w:hideMark/>
          </w:tcPr>
          <w:p w:rsidR="001D6937" w:rsidRPr="00FE2829" w:rsidRDefault="001D6937">
            <w:pPr>
              <w:rPr>
                <w:sz w:val="18"/>
                <w:szCs w:val="18"/>
              </w:rPr>
            </w:pPr>
            <w:r w:rsidRPr="00FE2829">
              <w:rPr>
                <w:sz w:val="18"/>
                <w:szCs w:val="18"/>
              </w:rPr>
              <w:t>Patients who were hospitalized with a discharge diagnosis of diabetes and HbA1c &gt;9%</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b/>
                <w:bCs/>
                <w:sz w:val="18"/>
                <w:szCs w:val="18"/>
              </w:rPr>
              <w:t>30 days</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r w:rsidRPr="00FE2829">
              <w:rPr>
                <w:sz w:val="18"/>
                <w:szCs w:val="18"/>
              </w:rPr>
              <w:t>Diabetes education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0.66 (0.51–0.85)</w:t>
            </w: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r w:rsidRPr="00FE2829">
              <w:rPr>
                <w:sz w:val="18"/>
                <w:szCs w:val="18"/>
              </w:rPr>
              <w:t>Insurance (vs. self-pay):</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b/>
                <w:bCs/>
                <w:sz w:val="18"/>
                <w:szCs w:val="18"/>
              </w:rPr>
            </w:pPr>
            <w:r w:rsidRPr="00FE2829">
              <w:rPr>
                <w:sz w:val="18"/>
                <w:szCs w:val="18"/>
              </w:rPr>
              <w:t xml:space="preserve">Medicaid </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1.53 (1.01–2.35)</w:t>
            </w: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r w:rsidRPr="00FE2829">
              <w:rPr>
                <w:sz w:val="18"/>
                <w:szCs w:val="18"/>
              </w:rPr>
              <w:t>Log(LOS)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1.41 (1.21–1.64)</w:t>
            </w: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r w:rsidRPr="00FE2829">
              <w:rPr>
                <w:b/>
                <w:bCs/>
                <w:sz w:val="18"/>
                <w:szCs w:val="18"/>
              </w:rPr>
              <w:t>180 days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r w:rsidRPr="00FE2829">
              <w:rPr>
                <w:sz w:val="18"/>
                <w:szCs w:val="18"/>
              </w:rPr>
              <w:t>Diabetes education</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0.80 (0.66–0.99)</w:t>
            </w: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r w:rsidRPr="00FE2829">
              <w:rPr>
                <w:sz w:val="18"/>
                <w:szCs w:val="18"/>
              </w:rPr>
              <w:t>Insurance (vs. self-pay):</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b/>
                <w:bCs/>
                <w:sz w:val="18"/>
                <w:szCs w:val="18"/>
              </w:rPr>
            </w:pPr>
            <w:r w:rsidRPr="00FE2829">
              <w:rPr>
                <w:sz w:val="18"/>
                <w:szCs w:val="18"/>
              </w:rPr>
              <w:t>Medicaid</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1.60 (1.17–2.21)</w:t>
            </w:r>
          </w:p>
        </w:tc>
      </w:tr>
      <w:tr w:rsidR="001D6937" w:rsidRPr="00A05349" w:rsidTr="00D067B4">
        <w:trPr>
          <w:trHeight w:val="20"/>
        </w:trPr>
        <w:tc>
          <w:tcPr>
            <w:tcW w:w="1500" w:type="dxa"/>
            <w:vMerge/>
            <w:tcBorders>
              <w:left w:val="single" w:sz="4" w:space="0" w:color="auto"/>
            </w:tcBorders>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b/>
                <w:bCs/>
                <w:sz w:val="18"/>
                <w:szCs w:val="18"/>
              </w:rPr>
            </w:pPr>
            <w:r w:rsidRPr="00FE2829">
              <w:rPr>
                <w:sz w:val="18"/>
                <w:szCs w:val="18"/>
              </w:rPr>
              <w:t>Medicare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1.42 (1.02–2.00)</w:t>
            </w:r>
          </w:p>
        </w:tc>
      </w:tr>
      <w:tr w:rsidR="001D6937" w:rsidRPr="00A05349" w:rsidTr="00D067B4">
        <w:trPr>
          <w:trHeight w:val="20"/>
        </w:trPr>
        <w:tc>
          <w:tcPr>
            <w:tcW w:w="1500" w:type="dxa"/>
            <w:vMerge/>
            <w:tcBorders>
              <w:left w:val="single" w:sz="4" w:space="0" w:color="auto"/>
              <w:bottom w:val="nil"/>
            </w:tcBorders>
          </w:tcPr>
          <w:p w:rsidR="001D6937" w:rsidRPr="00FE2829" w:rsidRDefault="001D6937">
            <w:pPr>
              <w:rPr>
                <w:sz w:val="18"/>
                <w:szCs w:val="18"/>
              </w:rPr>
            </w:pPr>
          </w:p>
        </w:tc>
        <w:tc>
          <w:tcPr>
            <w:tcW w:w="1398" w:type="dxa"/>
            <w:vMerge/>
            <w:tcBorders>
              <w:bottom w:val="nil"/>
            </w:tcBorders>
          </w:tcPr>
          <w:p w:rsidR="001D6937" w:rsidRPr="00FE2829" w:rsidRDefault="001D6937">
            <w:pPr>
              <w:rPr>
                <w:sz w:val="18"/>
                <w:szCs w:val="18"/>
              </w:rPr>
            </w:pPr>
          </w:p>
        </w:tc>
        <w:tc>
          <w:tcPr>
            <w:tcW w:w="2520" w:type="dxa"/>
            <w:vMerge/>
            <w:tcBorders>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r w:rsidRPr="00FE2829">
              <w:rPr>
                <w:sz w:val="18"/>
                <w:szCs w:val="18"/>
              </w:rPr>
              <w:t>Log(LOS)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1.38 (1.22–1.57)</w:t>
            </w:r>
          </w:p>
        </w:tc>
      </w:tr>
      <w:tr w:rsidR="001D6937" w:rsidRPr="00A05349" w:rsidTr="00D067B4">
        <w:trPr>
          <w:trHeight w:val="20"/>
        </w:trPr>
        <w:tc>
          <w:tcPr>
            <w:tcW w:w="1500" w:type="dxa"/>
            <w:vMerge/>
            <w:tcBorders>
              <w:top w:val="nil"/>
              <w:left w:val="single" w:sz="4" w:space="0" w:color="auto"/>
              <w:bottom w:val="nil"/>
            </w:tcBorders>
          </w:tcPr>
          <w:p w:rsidR="001D6937" w:rsidRPr="00FE2829" w:rsidRDefault="001D6937">
            <w:pPr>
              <w:rPr>
                <w:sz w:val="18"/>
                <w:szCs w:val="18"/>
              </w:rPr>
            </w:pPr>
          </w:p>
        </w:tc>
        <w:tc>
          <w:tcPr>
            <w:tcW w:w="1398" w:type="dxa"/>
            <w:vMerge/>
            <w:tcBorders>
              <w:top w:val="nil"/>
              <w:bottom w:val="nil"/>
            </w:tcBorders>
          </w:tcPr>
          <w:p w:rsidR="001D6937" w:rsidRPr="00FE2829" w:rsidRDefault="001D6937">
            <w:pPr>
              <w:rPr>
                <w:sz w:val="18"/>
                <w:szCs w:val="18"/>
              </w:rPr>
            </w:pPr>
          </w:p>
        </w:tc>
        <w:tc>
          <w:tcPr>
            <w:tcW w:w="2520" w:type="dxa"/>
            <w:vMerge/>
            <w:tcBorders>
              <w:top w:val="nil"/>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b/>
                <w:bCs/>
                <w:sz w:val="18"/>
                <w:szCs w:val="18"/>
              </w:rPr>
            </w:pPr>
            <w:r w:rsidRPr="00FE2829">
              <w:rPr>
                <w:sz w:val="18"/>
                <w:szCs w:val="18"/>
              </w:rPr>
              <w:t>Log(HbA1c)</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0.46 (0.24–0.87)</w:t>
            </w:r>
          </w:p>
        </w:tc>
      </w:tr>
      <w:tr w:rsidR="001D6937" w:rsidRPr="00A05349" w:rsidTr="00D067B4">
        <w:trPr>
          <w:trHeight w:val="230"/>
        </w:trPr>
        <w:tc>
          <w:tcPr>
            <w:tcW w:w="1500" w:type="dxa"/>
            <w:tcBorders>
              <w:top w:val="nil"/>
              <w:left w:val="single" w:sz="4" w:space="0" w:color="auto"/>
              <w:bottom w:val="single" w:sz="4" w:space="0" w:color="auto"/>
            </w:tcBorders>
          </w:tcPr>
          <w:p w:rsidR="001D6937" w:rsidRPr="00FE2829" w:rsidRDefault="001D6937" w:rsidP="00D067B4">
            <w:pPr>
              <w:rPr>
                <w:sz w:val="18"/>
                <w:szCs w:val="18"/>
              </w:rPr>
            </w:pPr>
          </w:p>
        </w:tc>
        <w:tc>
          <w:tcPr>
            <w:tcW w:w="1398" w:type="dxa"/>
            <w:tcBorders>
              <w:top w:val="nil"/>
              <w:bottom w:val="single" w:sz="4" w:space="0" w:color="auto"/>
            </w:tcBorders>
          </w:tcPr>
          <w:p w:rsidR="001D6937" w:rsidRPr="00FE2829" w:rsidRDefault="001D6937" w:rsidP="00D067B4">
            <w:pPr>
              <w:rPr>
                <w:sz w:val="18"/>
                <w:szCs w:val="18"/>
              </w:rPr>
            </w:pPr>
          </w:p>
        </w:tc>
        <w:tc>
          <w:tcPr>
            <w:tcW w:w="2520" w:type="dxa"/>
            <w:tcBorders>
              <w:top w:val="nil"/>
              <w:bottom w:val="single" w:sz="4" w:space="0" w:color="auto"/>
              <w:right w:val="single" w:sz="4" w:space="0" w:color="auto"/>
            </w:tcBorders>
          </w:tcPr>
          <w:p w:rsidR="001D6937" w:rsidRPr="00FE2829" w:rsidRDefault="001D6937" w:rsidP="00D067B4">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A05349">
            <w:pPr>
              <w:ind w:left="252" w:hanging="252"/>
              <w:rPr>
                <w:b/>
                <w:bCs/>
                <w:sz w:val="18"/>
                <w:szCs w:val="18"/>
              </w:rPr>
            </w:pPr>
            <w:r w:rsidRPr="00FE2829">
              <w:rPr>
                <w:sz w:val="18"/>
                <w:szCs w:val="18"/>
              </w:rPr>
              <w:t>African American</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OR = 1.45 (1.19–1.77)</w:t>
            </w:r>
          </w:p>
        </w:tc>
      </w:tr>
      <w:tr w:rsidR="001D6937" w:rsidRPr="00A05349" w:rsidTr="00D067B4">
        <w:trPr>
          <w:trHeight w:val="20"/>
        </w:trPr>
        <w:tc>
          <w:tcPr>
            <w:tcW w:w="1500" w:type="dxa"/>
            <w:vMerge w:val="restart"/>
            <w:tcBorders>
              <w:top w:val="single" w:sz="4" w:space="0" w:color="auto"/>
              <w:bottom w:val="nil"/>
            </w:tcBorders>
            <w:hideMark/>
          </w:tcPr>
          <w:p w:rsidR="001D6937" w:rsidRPr="00FE2829" w:rsidRDefault="001D6937">
            <w:pPr>
              <w:rPr>
                <w:sz w:val="18"/>
                <w:szCs w:val="18"/>
              </w:rPr>
            </w:pPr>
            <w:r w:rsidRPr="00FE2829">
              <w:rPr>
                <w:sz w:val="18"/>
                <w:szCs w:val="18"/>
              </w:rPr>
              <w:t>Wei et al, 2013</w:t>
            </w:r>
            <w:r w:rsidR="00133E7F">
              <w:rPr>
                <w:sz w:val="18"/>
                <w:szCs w:val="18"/>
              </w:rPr>
              <w:t xml:space="preserve"> [</w:t>
            </w:r>
            <w:r w:rsidR="003064CA">
              <w:rPr>
                <w:sz w:val="18"/>
                <w:szCs w:val="18"/>
              </w:rPr>
              <w:t>11</w:t>
            </w:r>
            <w:r w:rsidR="00133E7F">
              <w:rPr>
                <w:sz w:val="18"/>
                <w:szCs w:val="18"/>
              </w:rPr>
              <w:t>]</w:t>
            </w:r>
          </w:p>
        </w:tc>
        <w:tc>
          <w:tcPr>
            <w:tcW w:w="1398" w:type="dxa"/>
            <w:vMerge w:val="restart"/>
            <w:tcBorders>
              <w:top w:val="single" w:sz="4" w:space="0" w:color="auto"/>
              <w:bottom w:val="nil"/>
            </w:tcBorders>
            <w:hideMark/>
          </w:tcPr>
          <w:p w:rsidR="001D6937" w:rsidRPr="00FE2829" w:rsidRDefault="001D6937">
            <w:pPr>
              <w:rPr>
                <w:sz w:val="18"/>
                <w:szCs w:val="18"/>
              </w:rPr>
            </w:pPr>
            <w:r w:rsidRPr="00FE2829">
              <w:rPr>
                <w:sz w:val="18"/>
                <w:szCs w:val="18"/>
              </w:rPr>
              <w:t>30</w:t>
            </w:r>
          </w:p>
        </w:tc>
        <w:tc>
          <w:tcPr>
            <w:tcW w:w="2520" w:type="dxa"/>
            <w:vMerge w:val="restart"/>
            <w:tcBorders>
              <w:top w:val="single" w:sz="4" w:space="0" w:color="auto"/>
              <w:bottom w:val="nil"/>
              <w:right w:val="single" w:sz="4" w:space="0" w:color="auto"/>
            </w:tcBorders>
            <w:hideMark/>
          </w:tcPr>
          <w:p w:rsidR="001D6937" w:rsidRPr="00FE2829" w:rsidRDefault="001D6937">
            <w:pPr>
              <w:rPr>
                <w:sz w:val="18"/>
                <w:szCs w:val="18"/>
              </w:rPr>
            </w:pPr>
            <w:r w:rsidRPr="00FE2829">
              <w:rPr>
                <w:sz w:val="18"/>
                <w:szCs w:val="18"/>
              </w:rPr>
              <w:t>Type 2 diabetes admitted to Massachusetts General Hospital</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Diabetes regimen intensification during hospitalization</w:t>
            </w:r>
          </w:p>
        </w:tc>
        <w:tc>
          <w:tcPr>
            <w:tcW w:w="3510" w:type="dxa"/>
            <w:tcBorders>
              <w:top w:val="single" w:sz="4" w:space="0" w:color="auto"/>
              <w:left w:val="single" w:sz="4" w:space="0" w:color="auto"/>
              <w:bottom w:val="nil"/>
              <w:right w:val="single" w:sz="4" w:space="0" w:color="auto"/>
            </w:tcBorders>
            <w:hideMark/>
          </w:tcPr>
          <w:p w:rsidR="001D6937" w:rsidRPr="00FE2829" w:rsidRDefault="001D6937">
            <w:pPr>
              <w:rPr>
                <w:sz w:val="18"/>
                <w:szCs w:val="18"/>
              </w:rPr>
            </w:pPr>
            <w:proofErr w:type="spellStart"/>
            <w:r w:rsidRPr="00FE2829">
              <w:rPr>
                <w:sz w:val="18"/>
                <w:szCs w:val="18"/>
              </w:rPr>
              <w:t>aOR</w:t>
            </w:r>
            <w:proofErr w:type="spellEnd"/>
            <w:r w:rsidRPr="00FE2829">
              <w:rPr>
                <w:sz w:val="18"/>
                <w:szCs w:val="18"/>
              </w:rPr>
              <w:t xml:space="preserve"> = 0.33 (0.12-0.88)</w:t>
            </w:r>
          </w:p>
        </w:tc>
      </w:tr>
      <w:tr w:rsidR="001D6937" w:rsidRPr="00A05349" w:rsidTr="00D067B4">
        <w:trPr>
          <w:trHeight w:val="450"/>
        </w:trPr>
        <w:tc>
          <w:tcPr>
            <w:tcW w:w="1500" w:type="dxa"/>
            <w:vMerge/>
            <w:tcBorders>
              <w:top w:val="nil"/>
              <w:bottom w:val="nil"/>
            </w:tcBorders>
          </w:tcPr>
          <w:p w:rsidR="001D6937" w:rsidRPr="00FE2829" w:rsidRDefault="001D6937">
            <w:pPr>
              <w:rPr>
                <w:sz w:val="18"/>
                <w:szCs w:val="18"/>
              </w:rPr>
            </w:pPr>
          </w:p>
        </w:tc>
        <w:tc>
          <w:tcPr>
            <w:tcW w:w="1398" w:type="dxa"/>
            <w:vMerge/>
            <w:tcBorders>
              <w:top w:val="nil"/>
              <w:bottom w:val="nil"/>
            </w:tcBorders>
          </w:tcPr>
          <w:p w:rsidR="001D6937" w:rsidRPr="00FE2829" w:rsidRDefault="001D6937">
            <w:pPr>
              <w:rPr>
                <w:sz w:val="18"/>
                <w:szCs w:val="18"/>
              </w:rPr>
            </w:pPr>
          </w:p>
        </w:tc>
        <w:tc>
          <w:tcPr>
            <w:tcW w:w="2520" w:type="dxa"/>
            <w:vMerge/>
            <w:tcBorders>
              <w:top w:val="nil"/>
              <w:bottom w:val="nil"/>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p>
          <w:p w:rsidR="001D6937" w:rsidRPr="00FE2829" w:rsidRDefault="001D6937" w:rsidP="00EC69C3">
            <w:pPr>
              <w:rPr>
                <w:sz w:val="18"/>
                <w:szCs w:val="18"/>
              </w:rPr>
            </w:pPr>
            <w:r w:rsidRPr="00FE2829">
              <w:rPr>
                <w:sz w:val="18"/>
                <w:szCs w:val="18"/>
              </w:rPr>
              <w:t xml:space="preserve">(Adjusted for age, index length of stay, discharge home </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BD731A" w:rsidRPr="00A05349" w:rsidTr="00D067B4">
        <w:trPr>
          <w:trHeight w:val="625"/>
        </w:trPr>
        <w:tc>
          <w:tcPr>
            <w:tcW w:w="1500" w:type="dxa"/>
            <w:tcBorders>
              <w:top w:val="nil"/>
            </w:tcBorders>
          </w:tcPr>
          <w:p w:rsidR="00BD731A" w:rsidRPr="00FE2829" w:rsidRDefault="00BD731A" w:rsidP="00BD731A">
            <w:pPr>
              <w:rPr>
                <w:sz w:val="18"/>
                <w:szCs w:val="18"/>
              </w:rPr>
            </w:pPr>
          </w:p>
        </w:tc>
        <w:tc>
          <w:tcPr>
            <w:tcW w:w="1398" w:type="dxa"/>
            <w:tcBorders>
              <w:top w:val="nil"/>
            </w:tcBorders>
          </w:tcPr>
          <w:p w:rsidR="00BD731A" w:rsidRPr="00FE2829" w:rsidRDefault="00BD731A" w:rsidP="00BD731A">
            <w:pPr>
              <w:rPr>
                <w:sz w:val="18"/>
                <w:szCs w:val="18"/>
              </w:rPr>
            </w:pPr>
          </w:p>
        </w:tc>
        <w:tc>
          <w:tcPr>
            <w:tcW w:w="2520" w:type="dxa"/>
            <w:tcBorders>
              <w:top w:val="nil"/>
              <w:right w:val="single" w:sz="4" w:space="0" w:color="auto"/>
            </w:tcBorders>
          </w:tcPr>
          <w:p w:rsidR="00BD731A" w:rsidRPr="00FE2829" w:rsidRDefault="00BD731A" w:rsidP="00BD731A">
            <w:pPr>
              <w:rPr>
                <w:sz w:val="18"/>
                <w:szCs w:val="18"/>
              </w:rPr>
            </w:pPr>
          </w:p>
        </w:tc>
        <w:tc>
          <w:tcPr>
            <w:tcW w:w="4950" w:type="dxa"/>
            <w:tcBorders>
              <w:top w:val="nil"/>
              <w:left w:val="single" w:sz="4" w:space="0" w:color="auto"/>
              <w:bottom w:val="single" w:sz="4" w:space="0" w:color="auto"/>
              <w:right w:val="single" w:sz="4" w:space="0" w:color="auto"/>
            </w:tcBorders>
          </w:tcPr>
          <w:p w:rsidR="00BD731A" w:rsidRPr="00FE2829" w:rsidRDefault="00BD731A" w:rsidP="00EC69C3">
            <w:pPr>
              <w:rPr>
                <w:sz w:val="18"/>
                <w:szCs w:val="18"/>
              </w:rPr>
            </w:pPr>
            <w:r w:rsidRPr="00FE2829">
              <w:rPr>
                <w:sz w:val="18"/>
                <w:szCs w:val="18"/>
              </w:rPr>
              <w:t>with visiting nurse services, ‘primary care physician connectedness’, baseline HbA1c and Charlson comorbidity score)</w:t>
            </w:r>
          </w:p>
        </w:tc>
        <w:tc>
          <w:tcPr>
            <w:tcW w:w="3510" w:type="dxa"/>
            <w:tcBorders>
              <w:top w:val="nil"/>
              <w:left w:val="single" w:sz="4" w:space="0" w:color="auto"/>
              <w:bottom w:val="single" w:sz="4" w:space="0" w:color="auto"/>
              <w:right w:val="single" w:sz="4" w:space="0" w:color="auto"/>
            </w:tcBorders>
          </w:tcPr>
          <w:p w:rsidR="00BD731A" w:rsidRPr="00FE2829" w:rsidRDefault="00BD731A" w:rsidP="001D6937">
            <w:pPr>
              <w:rPr>
                <w:sz w:val="18"/>
                <w:szCs w:val="18"/>
              </w:rPr>
            </w:pPr>
          </w:p>
        </w:tc>
      </w:tr>
      <w:tr w:rsidR="001D6937" w:rsidRPr="00A05349" w:rsidTr="00D067B4">
        <w:trPr>
          <w:trHeight w:val="20"/>
        </w:trPr>
        <w:tc>
          <w:tcPr>
            <w:tcW w:w="1500" w:type="dxa"/>
            <w:vMerge w:val="restart"/>
            <w:hideMark/>
          </w:tcPr>
          <w:p w:rsidR="001D6937" w:rsidRPr="00FE2829" w:rsidRDefault="001D6937" w:rsidP="003064CA">
            <w:pPr>
              <w:rPr>
                <w:sz w:val="18"/>
                <w:szCs w:val="18"/>
              </w:rPr>
            </w:pPr>
            <w:r w:rsidRPr="00FE2829">
              <w:rPr>
                <w:sz w:val="18"/>
                <w:szCs w:val="18"/>
              </w:rPr>
              <w:t>Albrecht et al, 2012</w:t>
            </w:r>
            <w:r w:rsidR="00133E7F">
              <w:rPr>
                <w:sz w:val="18"/>
                <w:szCs w:val="18"/>
              </w:rPr>
              <w:t xml:space="preserve"> [1</w:t>
            </w:r>
            <w:r w:rsidR="003064CA">
              <w:rPr>
                <w:sz w:val="18"/>
                <w:szCs w:val="18"/>
              </w:rPr>
              <w:t>2</w:t>
            </w:r>
            <w:r w:rsidR="00133E7F">
              <w:rPr>
                <w:sz w:val="18"/>
                <w:szCs w:val="18"/>
              </w:rPr>
              <w:t>]</w:t>
            </w:r>
          </w:p>
        </w:tc>
        <w:tc>
          <w:tcPr>
            <w:tcW w:w="1398" w:type="dxa"/>
            <w:vMerge w:val="restart"/>
            <w:hideMark/>
          </w:tcPr>
          <w:p w:rsidR="001D6937" w:rsidRPr="00FE2829" w:rsidRDefault="001D6937">
            <w:pPr>
              <w:rPr>
                <w:sz w:val="18"/>
                <w:szCs w:val="18"/>
              </w:rPr>
            </w:pPr>
            <w:r w:rsidRPr="00FE2829">
              <w:rPr>
                <w:sz w:val="18"/>
                <w:szCs w:val="18"/>
              </w:rPr>
              <w:t>30</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Adult patients with diabetes admitted to University of Maryland Medical Center</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Serious mental illness, age &lt;35 years</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sz w:val="18"/>
                <w:szCs w:val="18"/>
              </w:rPr>
              <w:t>OR = 0.39 (0.17-0.91)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Male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1.21 (1.11-1.31)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Charlson comorbidity index &gt;3</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1.38 (1.20-1.57)</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A05349">
            <w:pPr>
              <w:ind w:left="252" w:hanging="252"/>
              <w:rPr>
                <w:sz w:val="18"/>
                <w:szCs w:val="18"/>
              </w:rPr>
            </w:pPr>
            <w:r w:rsidRPr="00FE2829">
              <w:rPr>
                <w:sz w:val="18"/>
                <w:szCs w:val="18"/>
              </w:rPr>
              <w:t>Length of stay &gt;4 days</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OR = 1.38 (1.22-1.56)</w:t>
            </w:r>
          </w:p>
        </w:tc>
      </w:tr>
      <w:tr w:rsidR="001D6937" w:rsidRPr="00A05349" w:rsidTr="00D067B4">
        <w:trPr>
          <w:trHeight w:val="20"/>
        </w:trPr>
        <w:tc>
          <w:tcPr>
            <w:tcW w:w="1500" w:type="dxa"/>
            <w:vMerge w:val="restart"/>
            <w:hideMark/>
          </w:tcPr>
          <w:p w:rsidR="001D6937" w:rsidRPr="00FE2829" w:rsidRDefault="001D6937" w:rsidP="003064CA">
            <w:pPr>
              <w:rPr>
                <w:sz w:val="18"/>
                <w:szCs w:val="18"/>
              </w:rPr>
            </w:pPr>
            <w:r w:rsidRPr="00FE2829">
              <w:rPr>
                <w:sz w:val="18"/>
                <w:szCs w:val="18"/>
              </w:rPr>
              <w:lastRenderedPageBreak/>
              <w:t>Mokhtar et al, 2012</w:t>
            </w:r>
            <w:r w:rsidR="00133E7F">
              <w:rPr>
                <w:sz w:val="18"/>
                <w:szCs w:val="18"/>
              </w:rPr>
              <w:t xml:space="preserve"> [1</w:t>
            </w:r>
            <w:r w:rsidR="003064CA">
              <w:rPr>
                <w:sz w:val="18"/>
                <w:szCs w:val="18"/>
              </w:rPr>
              <w:t>3</w:t>
            </w:r>
            <w:r w:rsidR="00133E7F">
              <w:rPr>
                <w:sz w:val="18"/>
                <w:szCs w:val="18"/>
              </w:rPr>
              <w:t>]</w:t>
            </w:r>
          </w:p>
        </w:tc>
        <w:tc>
          <w:tcPr>
            <w:tcW w:w="1398" w:type="dxa"/>
            <w:vMerge w:val="restart"/>
            <w:hideMark/>
          </w:tcPr>
          <w:p w:rsidR="001D6937" w:rsidRPr="00FE2829" w:rsidRDefault="001D6937">
            <w:pPr>
              <w:rPr>
                <w:sz w:val="18"/>
                <w:szCs w:val="18"/>
              </w:rPr>
            </w:pPr>
            <w:r w:rsidRPr="00FE2829">
              <w:rPr>
                <w:sz w:val="18"/>
                <w:szCs w:val="18"/>
              </w:rPr>
              <w:t>28</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Patients with diabetes admitted to the internal medicine department</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A05349">
            <w:pPr>
              <w:ind w:left="252" w:hanging="252"/>
              <w:rPr>
                <w:sz w:val="18"/>
                <w:szCs w:val="18"/>
              </w:rPr>
            </w:pPr>
            <w:r w:rsidRPr="00FE2829">
              <w:rPr>
                <w:sz w:val="18"/>
                <w:szCs w:val="18"/>
              </w:rPr>
              <w:t>Marital status (not married)</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sz w:val="18"/>
                <w:szCs w:val="18"/>
              </w:rPr>
              <w:t>OR = 7.14 (1.13–14.1)</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Adherence of health care providers to:</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Admission workup guidelines</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0.91 (0.85–0.99)</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FE2829">
            <w:pPr>
              <w:ind w:left="252"/>
              <w:rPr>
                <w:sz w:val="18"/>
                <w:szCs w:val="18"/>
              </w:rPr>
            </w:pPr>
            <w:r w:rsidRPr="00FE2829">
              <w:rPr>
                <w:sz w:val="18"/>
                <w:szCs w:val="18"/>
              </w:rPr>
              <w:t>Discharge criteria guidelines</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OR = 0.89 (0.84–0.95)</w:t>
            </w:r>
          </w:p>
        </w:tc>
      </w:tr>
      <w:tr w:rsidR="001D6937" w:rsidRPr="00A05349" w:rsidTr="00D067B4">
        <w:trPr>
          <w:trHeight w:val="20"/>
        </w:trPr>
        <w:tc>
          <w:tcPr>
            <w:tcW w:w="1500" w:type="dxa"/>
            <w:vMerge w:val="restart"/>
            <w:hideMark/>
          </w:tcPr>
          <w:p w:rsidR="001D6937" w:rsidRPr="00FE2829" w:rsidRDefault="001D6937" w:rsidP="003064CA">
            <w:pPr>
              <w:rPr>
                <w:sz w:val="18"/>
                <w:szCs w:val="18"/>
              </w:rPr>
            </w:pPr>
            <w:r w:rsidRPr="00FE2829">
              <w:rPr>
                <w:sz w:val="18"/>
                <w:szCs w:val="18"/>
              </w:rPr>
              <w:t>Bennett et al, 2011</w:t>
            </w:r>
            <w:r w:rsidR="00133E7F">
              <w:rPr>
                <w:sz w:val="18"/>
                <w:szCs w:val="18"/>
              </w:rPr>
              <w:t xml:space="preserve"> [1</w:t>
            </w:r>
            <w:r w:rsidR="003064CA">
              <w:rPr>
                <w:sz w:val="18"/>
                <w:szCs w:val="18"/>
              </w:rPr>
              <w:t>4</w:t>
            </w:r>
            <w:r w:rsidR="00133E7F">
              <w:rPr>
                <w:sz w:val="18"/>
                <w:szCs w:val="18"/>
              </w:rPr>
              <w:t>]</w:t>
            </w:r>
          </w:p>
        </w:tc>
        <w:tc>
          <w:tcPr>
            <w:tcW w:w="1398" w:type="dxa"/>
            <w:vMerge w:val="restart"/>
            <w:hideMark/>
          </w:tcPr>
          <w:p w:rsidR="001D6937" w:rsidRPr="00FE2829" w:rsidRDefault="001D6937">
            <w:pPr>
              <w:rPr>
                <w:sz w:val="18"/>
                <w:szCs w:val="18"/>
              </w:rPr>
            </w:pPr>
            <w:r w:rsidRPr="00FE2829">
              <w:rPr>
                <w:sz w:val="18"/>
                <w:szCs w:val="18"/>
              </w:rPr>
              <w:t>30</w:t>
            </w:r>
          </w:p>
        </w:tc>
        <w:tc>
          <w:tcPr>
            <w:tcW w:w="2520" w:type="dxa"/>
            <w:vMerge w:val="restart"/>
            <w:tcBorders>
              <w:right w:val="single" w:sz="4" w:space="0" w:color="auto"/>
            </w:tcBorders>
            <w:hideMark/>
          </w:tcPr>
          <w:p w:rsidR="001D6937" w:rsidRPr="00FE2829" w:rsidRDefault="001D6937">
            <w:pPr>
              <w:rPr>
                <w:sz w:val="18"/>
                <w:szCs w:val="18"/>
              </w:rPr>
            </w:pPr>
            <w:r w:rsidRPr="00FE2829">
              <w:rPr>
                <w:sz w:val="18"/>
                <w:szCs w:val="18"/>
              </w:rPr>
              <w:t>Medicare beneficiaries with diabetes</w:t>
            </w:r>
          </w:p>
        </w:tc>
        <w:tc>
          <w:tcPr>
            <w:tcW w:w="495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r w:rsidRPr="00FE2829">
              <w:rPr>
                <w:sz w:val="18"/>
                <w:szCs w:val="18"/>
              </w:rPr>
              <w:t>Rurality (vs. Urban):</w:t>
            </w:r>
          </w:p>
        </w:tc>
        <w:tc>
          <w:tcPr>
            <w:tcW w:w="3510" w:type="dxa"/>
            <w:tcBorders>
              <w:top w:val="single" w:sz="4" w:space="0" w:color="auto"/>
              <w:left w:val="single" w:sz="4" w:space="0" w:color="auto"/>
              <w:bottom w:val="nil"/>
              <w:right w:val="single" w:sz="4" w:space="0" w:color="auto"/>
            </w:tcBorders>
            <w:hideMark/>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Remote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0.74 (0.57-0.95)</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Male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0.85 (0.78-0.92)</w:t>
            </w:r>
          </w:p>
        </w:tc>
      </w:tr>
      <w:tr w:rsidR="00FE2829" w:rsidRPr="00A05349" w:rsidTr="00D067B4">
        <w:trPr>
          <w:trHeight w:val="20"/>
        </w:trPr>
        <w:tc>
          <w:tcPr>
            <w:tcW w:w="1500" w:type="dxa"/>
            <w:vMerge/>
          </w:tcPr>
          <w:p w:rsidR="00FE2829" w:rsidRPr="00FE2829" w:rsidRDefault="00FE2829">
            <w:pPr>
              <w:rPr>
                <w:sz w:val="18"/>
                <w:szCs w:val="18"/>
              </w:rPr>
            </w:pPr>
          </w:p>
        </w:tc>
        <w:tc>
          <w:tcPr>
            <w:tcW w:w="1398" w:type="dxa"/>
            <w:vMerge/>
          </w:tcPr>
          <w:p w:rsidR="00FE2829" w:rsidRPr="00FE2829" w:rsidRDefault="00FE2829">
            <w:pPr>
              <w:rPr>
                <w:sz w:val="18"/>
                <w:szCs w:val="18"/>
              </w:rPr>
            </w:pPr>
          </w:p>
        </w:tc>
        <w:tc>
          <w:tcPr>
            <w:tcW w:w="2520" w:type="dxa"/>
            <w:vMerge/>
            <w:tcBorders>
              <w:right w:val="single" w:sz="4" w:space="0" w:color="auto"/>
            </w:tcBorders>
          </w:tcPr>
          <w:p w:rsidR="00FE2829" w:rsidRPr="00FE2829" w:rsidRDefault="00FE2829">
            <w:pPr>
              <w:rPr>
                <w:sz w:val="18"/>
                <w:szCs w:val="18"/>
              </w:rPr>
            </w:pPr>
          </w:p>
        </w:tc>
        <w:tc>
          <w:tcPr>
            <w:tcW w:w="4950" w:type="dxa"/>
            <w:tcBorders>
              <w:top w:val="nil"/>
              <w:left w:val="single" w:sz="4" w:space="0" w:color="auto"/>
              <w:bottom w:val="nil"/>
              <w:right w:val="single" w:sz="4" w:space="0" w:color="auto"/>
            </w:tcBorders>
          </w:tcPr>
          <w:p w:rsidR="00FE2829" w:rsidRPr="00FE2829" w:rsidRDefault="00FE2829" w:rsidP="00A05349">
            <w:pPr>
              <w:ind w:left="252" w:hanging="252"/>
              <w:rPr>
                <w:sz w:val="18"/>
                <w:szCs w:val="18"/>
              </w:rPr>
            </w:pPr>
            <w:r w:rsidRPr="00FE2829">
              <w:rPr>
                <w:sz w:val="18"/>
                <w:szCs w:val="18"/>
              </w:rPr>
              <w:t>Age group (vs. 65-74 years):</w:t>
            </w:r>
          </w:p>
        </w:tc>
        <w:tc>
          <w:tcPr>
            <w:tcW w:w="3510" w:type="dxa"/>
            <w:tcBorders>
              <w:top w:val="nil"/>
              <w:left w:val="single" w:sz="4" w:space="0" w:color="auto"/>
              <w:bottom w:val="nil"/>
              <w:right w:val="single" w:sz="4" w:space="0" w:color="auto"/>
            </w:tcBorders>
          </w:tcPr>
          <w:p w:rsidR="00FE2829" w:rsidRPr="00FE2829" w:rsidRDefault="00FE2829"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75-84</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1.11 (1.02-1.20)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≥85</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1.17 (1.02-1.35)</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Race (vs. White):</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Other</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0.81 (0.68-0.96)</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Each additional comorbidity</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1.11 (1.02-1.20)</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Length of stay</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1.11 (1.10-1.13)</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A05349">
            <w:pPr>
              <w:ind w:left="252" w:hanging="252"/>
              <w:rPr>
                <w:sz w:val="18"/>
                <w:szCs w:val="18"/>
              </w:rPr>
            </w:pPr>
            <w:r w:rsidRPr="00FE2829">
              <w:rPr>
                <w:sz w:val="18"/>
                <w:szCs w:val="18"/>
              </w:rPr>
              <w:t>Region (vs. Northeast):</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nil"/>
              <w:right w:val="single" w:sz="4" w:space="0" w:color="auto"/>
            </w:tcBorders>
          </w:tcPr>
          <w:p w:rsidR="001D6937" w:rsidRPr="00FE2829" w:rsidRDefault="001D6937" w:rsidP="00FE2829">
            <w:pPr>
              <w:ind w:left="252"/>
              <w:rPr>
                <w:sz w:val="18"/>
                <w:szCs w:val="18"/>
              </w:rPr>
            </w:pPr>
            <w:r w:rsidRPr="00FE2829">
              <w:rPr>
                <w:sz w:val="18"/>
                <w:szCs w:val="18"/>
              </w:rPr>
              <w:t>Midwest</w:t>
            </w:r>
          </w:p>
        </w:tc>
        <w:tc>
          <w:tcPr>
            <w:tcW w:w="3510" w:type="dxa"/>
            <w:tcBorders>
              <w:top w:val="nil"/>
              <w:left w:val="single" w:sz="4" w:space="0" w:color="auto"/>
              <w:bottom w:val="nil"/>
              <w:right w:val="single" w:sz="4" w:space="0" w:color="auto"/>
            </w:tcBorders>
          </w:tcPr>
          <w:p w:rsidR="001D6937" w:rsidRPr="00FE2829" w:rsidRDefault="001D6937" w:rsidP="001D6937">
            <w:pPr>
              <w:rPr>
                <w:sz w:val="18"/>
                <w:szCs w:val="18"/>
              </w:rPr>
            </w:pPr>
            <w:r w:rsidRPr="00FE2829">
              <w:rPr>
                <w:sz w:val="18"/>
                <w:szCs w:val="18"/>
              </w:rPr>
              <w:t>OR = 0.72 (0.62-0.84)</w:t>
            </w:r>
          </w:p>
        </w:tc>
      </w:tr>
      <w:tr w:rsidR="001D6937" w:rsidRPr="00A05349" w:rsidTr="00D067B4">
        <w:trPr>
          <w:trHeight w:val="20"/>
        </w:trPr>
        <w:tc>
          <w:tcPr>
            <w:tcW w:w="1500" w:type="dxa"/>
            <w:vMerge/>
          </w:tcPr>
          <w:p w:rsidR="001D6937" w:rsidRPr="00FE2829" w:rsidRDefault="001D6937">
            <w:pPr>
              <w:rPr>
                <w:sz w:val="18"/>
                <w:szCs w:val="18"/>
              </w:rPr>
            </w:pPr>
          </w:p>
        </w:tc>
        <w:tc>
          <w:tcPr>
            <w:tcW w:w="1398" w:type="dxa"/>
            <w:vMerge/>
          </w:tcPr>
          <w:p w:rsidR="001D6937" w:rsidRPr="00FE2829" w:rsidRDefault="001D6937">
            <w:pPr>
              <w:rPr>
                <w:sz w:val="18"/>
                <w:szCs w:val="18"/>
              </w:rPr>
            </w:pPr>
          </w:p>
        </w:tc>
        <w:tc>
          <w:tcPr>
            <w:tcW w:w="2520" w:type="dxa"/>
            <w:vMerge/>
            <w:tcBorders>
              <w:right w:val="single" w:sz="4" w:space="0" w:color="auto"/>
            </w:tcBorders>
          </w:tcPr>
          <w:p w:rsidR="001D6937" w:rsidRPr="00FE2829" w:rsidRDefault="001D6937">
            <w:pPr>
              <w:rPr>
                <w:sz w:val="18"/>
                <w:szCs w:val="18"/>
              </w:rPr>
            </w:pPr>
          </w:p>
        </w:tc>
        <w:tc>
          <w:tcPr>
            <w:tcW w:w="4950" w:type="dxa"/>
            <w:tcBorders>
              <w:top w:val="nil"/>
              <w:left w:val="single" w:sz="4" w:space="0" w:color="auto"/>
              <w:bottom w:val="single" w:sz="4" w:space="0" w:color="auto"/>
              <w:right w:val="single" w:sz="4" w:space="0" w:color="auto"/>
            </w:tcBorders>
          </w:tcPr>
          <w:p w:rsidR="001D6937" w:rsidRPr="00FE2829" w:rsidRDefault="001D6937" w:rsidP="00A05349">
            <w:pPr>
              <w:ind w:left="252" w:hanging="252"/>
              <w:rPr>
                <w:sz w:val="18"/>
                <w:szCs w:val="18"/>
              </w:rPr>
            </w:pPr>
            <w:r w:rsidRPr="00FE2829">
              <w:rPr>
                <w:sz w:val="18"/>
                <w:szCs w:val="18"/>
              </w:rPr>
              <w:t>Had a 30-day follow-up</w:t>
            </w:r>
          </w:p>
        </w:tc>
        <w:tc>
          <w:tcPr>
            <w:tcW w:w="3510" w:type="dxa"/>
            <w:tcBorders>
              <w:top w:val="nil"/>
              <w:left w:val="single" w:sz="4" w:space="0" w:color="auto"/>
              <w:bottom w:val="single" w:sz="4" w:space="0" w:color="auto"/>
              <w:right w:val="single" w:sz="4" w:space="0" w:color="auto"/>
            </w:tcBorders>
          </w:tcPr>
          <w:p w:rsidR="001D6937" w:rsidRPr="00FE2829" w:rsidRDefault="001D6937" w:rsidP="001D6937">
            <w:pPr>
              <w:rPr>
                <w:sz w:val="18"/>
                <w:szCs w:val="18"/>
              </w:rPr>
            </w:pPr>
            <w:r w:rsidRPr="00FE2829">
              <w:rPr>
                <w:sz w:val="18"/>
                <w:szCs w:val="18"/>
              </w:rPr>
              <w:t>OR = 2.24 (1.95-2.57)</w:t>
            </w:r>
          </w:p>
        </w:tc>
      </w:tr>
      <w:tr w:rsidR="00981BC5" w:rsidRPr="00A05349" w:rsidTr="00D067B4">
        <w:trPr>
          <w:trHeight w:val="20"/>
        </w:trPr>
        <w:tc>
          <w:tcPr>
            <w:tcW w:w="1500" w:type="dxa"/>
            <w:vMerge w:val="restart"/>
            <w:hideMark/>
          </w:tcPr>
          <w:p w:rsidR="00981BC5" w:rsidRPr="00FE2829" w:rsidRDefault="00981BC5" w:rsidP="003064CA">
            <w:pPr>
              <w:rPr>
                <w:sz w:val="18"/>
                <w:szCs w:val="18"/>
              </w:rPr>
            </w:pPr>
            <w:r w:rsidRPr="00FE2829">
              <w:rPr>
                <w:sz w:val="18"/>
                <w:szCs w:val="18"/>
              </w:rPr>
              <w:t>Kim et al, 2010</w:t>
            </w:r>
            <w:r w:rsidR="00133E7F">
              <w:rPr>
                <w:sz w:val="18"/>
                <w:szCs w:val="18"/>
              </w:rPr>
              <w:t xml:space="preserve"> [1</w:t>
            </w:r>
            <w:r w:rsidR="003064CA">
              <w:rPr>
                <w:sz w:val="18"/>
                <w:szCs w:val="18"/>
              </w:rPr>
              <w:t>5</w:t>
            </w:r>
            <w:r w:rsidR="00133E7F">
              <w:rPr>
                <w:sz w:val="18"/>
                <w:szCs w:val="18"/>
              </w:rPr>
              <w:t>]</w:t>
            </w:r>
          </w:p>
        </w:tc>
        <w:tc>
          <w:tcPr>
            <w:tcW w:w="1398" w:type="dxa"/>
            <w:vMerge w:val="restart"/>
            <w:hideMark/>
          </w:tcPr>
          <w:p w:rsidR="00981BC5" w:rsidRPr="00FE2829" w:rsidRDefault="00981BC5">
            <w:pPr>
              <w:rPr>
                <w:sz w:val="18"/>
                <w:szCs w:val="18"/>
              </w:rPr>
            </w:pPr>
            <w:r w:rsidRPr="00FE2829">
              <w:rPr>
                <w:sz w:val="18"/>
                <w:szCs w:val="18"/>
              </w:rPr>
              <w:t>90</w:t>
            </w:r>
          </w:p>
        </w:tc>
        <w:tc>
          <w:tcPr>
            <w:tcW w:w="2520" w:type="dxa"/>
            <w:vMerge w:val="restart"/>
            <w:tcBorders>
              <w:right w:val="single" w:sz="4" w:space="0" w:color="auto"/>
            </w:tcBorders>
            <w:hideMark/>
          </w:tcPr>
          <w:p w:rsidR="00981BC5" w:rsidRPr="00FE2829" w:rsidRDefault="00981BC5">
            <w:pPr>
              <w:rPr>
                <w:sz w:val="18"/>
                <w:szCs w:val="18"/>
              </w:rPr>
            </w:pPr>
            <w:r w:rsidRPr="00FE2829">
              <w:rPr>
                <w:sz w:val="18"/>
                <w:szCs w:val="18"/>
              </w:rPr>
              <w:t>50 years or older with diabetes</w:t>
            </w:r>
          </w:p>
        </w:tc>
        <w:tc>
          <w:tcPr>
            <w:tcW w:w="4950" w:type="dxa"/>
            <w:tcBorders>
              <w:top w:val="single" w:sz="4" w:space="0" w:color="auto"/>
              <w:left w:val="single" w:sz="4" w:space="0" w:color="auto"/>
              <w:bottom w:val="nil"/>
              <w:right w:val="single" w:sz="4" w:space="0" w:color="auto"/>
            </w:tcBorders>
            <w:hideMark/>
          </w:tcPr>
          <w:p w:rsidR="00981BC5" w:rsidRPr="00FE2829" w:rsidRDefault="00981BC5" w:rsidP="00981BC5">
            <w:pPr>
              <w:rPr>
                <w:sz w:val="18"/>
                <w:szCs w:val="18"/>
              </w:rPr>
            </w:pPr>
            <w:r w:rsidRPr="00FE2829">
              <w:rPr>
                <w:sz w:val="18"/>
                <w:szCs w:val="18"/>
              </w:rPr>
              <w:t>Age (vs. 50 years):</w:t>
            </w:r>
          </w:p>
        </w:tc>
        <w:tc>
          <w:tcPr>
            <w:tcW w:w="3510" w:type="dxa"/>
            <w:tcBorders>
              <w:top w:val="single" w:sz="4" w:space="0" w:color="auto"/>
              <w:left w:val="single" w:sz="4" w:space="0" w:color="auto"/>
              <w:bottom w:val="nil"/>
              <w:right w:val="single" w:sz="4" w:space="0" w:color="auto"/>
            </w:tcBorders>
            <w:hideMark/>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≥80</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1.07 (1.02-1.12)</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Female</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0.96 (0.94-0.99)</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Race/ethnicity (vs. White):</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Black</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1.17 (1.11-1.23)</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Hispanic</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1.10 (1.07-1.14)</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Primary payer (vs. Private):</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Medicare</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1.39 (1.33-1.46)</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Medicaid</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1.53 (1.45-1.62)</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Resident location:</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Urban</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1.16 (1.09-1.22)</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Median income of neighborhood (vs. High):</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Low</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1.11 (1.07-1.16)</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Number of chronic conditions (vs. 1):</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2</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1.36 (1.17-1.57)</w:t>
            </w:r>
          </w:p>
        </w:tc>
      </w:tr>
      <w:tr w:rsidR="00981BC5" w:rsidRPr="00A05349" w:rsidTr="00D067B4">
        <w:trPr>
          <w:trHeight w:val="20"/>
        </w:trPr>
        <w:tc>
          <w:tcPr>
            <w:tcW w:w="1500" w:type="dxa"/>
            <w:vMerge/>
            <w:tcBorders>
              <w:bottom w:val="nil"/>
            </w:tcBorders>
          </w:tcPr>
          <w:p w:rsidR="00981BC5" w:rsidRPr="00FE2829" w:rsidRDefault="00981BC5">
            <w:pPr>
              <w:rPr>
                <w:sz w:val="18"/>
                <w:szCs w:val="18"/>
              </w:rPr>
            </w:pPr>
          </w:p>
        </w:tc>
        <w:tc>
          <w:tcPr>
            <w:tcW w:w="1398" w:type="dxa"/>
            <w:vMerge/>
            <w:tcBorders>
              <w:bottom w:val="nil"/>
            </w:tcBorders>
          </w:tcPr>
          <w:p w:rsidR="00981BC5" w:rsidRPr="00FE2829" w:rsidRDefault="00981BC5">
            <w:pPr>
              <w:rPr>
                <w:sz w:val="18"/>
                <w:szCs w:val="18"/>
              </w:rPr>
            </w:pPr>
          </w:p>
        </w:tc>
        <w:tc>
          <w:tcPr>
            <w:tcW w:w="2520" w:type="dxa"/>
            <w:vMerge/>
            <w:tcBorders>
              <w:bottom w:val="nil"/>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3</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1.68 (1.45-1.94)</w:t>
            </w:r>
          </w:p>
        </w:tc>
      </w:tr>
      <w:tr w:rsidR="00981BC5" w:rsidRPr="00A05349" w:rsidTr="00D067B4">
        <w:trPr>
          <w:trHeight w:val="20"/>
        </w:trPr>
        <w:tc>
          <w:tcPr>
            <w:tcW w:w="1500" w:type="dxa"/>
            <w:vMerge w:val="restart"/>
            <w:tcBorders>
              <w:top w:val="nil"/>
            </w:tcBorders>
          </w:tcPr>
          <w:p w:rsidR="00981BC5" w:rsidRPr="00FE2829" w:rsidRDefault="00981BC5" w:rsidP="00D067B4">
            <w:pPr>
              <w:rPr>
                <w:sz w:val="18"/>
                <w:szCs w:val="18"/>
              </w:rPr>
            </w:pPr>
          </w:p>
        </w:tc>
        <w:tc>
          <w:tcPr>
            <w:tcW w:w="1398" w:type="dxa"/>
            <w:vMerge w:val="restart"/>
            <w:tcBorders>
              <w:top w:val="nil"/>
            </w:tcBorders>
          </w:tcPr>
          <w:p w:rsidR="00981BC5" w:rsidRPr="00FE2829" w:rsidRDefault="00981BC5" w:rsidP="00D067B4">
            <w:pPr>
              <w:rPr>
                <w:sz w:val="18"/>
                <w:szCs w:val="18"/>
              </w:rPr>
            </w:pPr>
          </w:p>
        </w:tc>
        <w:tc>
          <w:tcPr>
            <w:tcW w:w="2520" w:type="dxa"/>
            <w:vMerge w:val="restart"/>
            <w:tcBorders>
              <w:top w:val="nil"/>
              <w:right w:val="single" w:sz="4" w:space="0" w:color="auto"/>
            </w:tcBorders>
          </w:tcPr>
          <w:p w:rsidR="00981BC5" w:rsidRPr="00FE2829" w:rsidRDefault="00981BC5" w:rsidP="00D067B4">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4</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2.07 (1.79-2.39)</w:t>
            </w:r>
          </w:p>
        </w:tc>
      </w:tr>
      <w:tr w:rsidR="00981BC5" w:rsidRPr="00A05349" w:rsidTr="00D067B4">
        <w:trPr>
          <w:trHeight w:val="20"/>
        </w:trPr>
        <w:tc>
          <w:tcPr>
            <w:tcW w:w="1500" w:type="dxa"/>
            <w:vMerge/>
            <w:tcBorders>
              <w:bottom w:val="nil"/>
            </w:tcBorders>
          </w:tcPr>
          <w:p w:rsidR="00981BC5" w:rsidRPr="00FE2829" w:rsidRDefault="00981BC5">
            <w:pPr>
              <w:rPr>
                <w:sz w:val="18"/>
                <w:szCs w:val="18"/>
              </w:rPr>
            </w:pPr>
          </w:p>
        </w:tc>
        <w:tc>
          <w:tcPr>
            <w:tcW w:w="1398" w:type="dxa"/>
            <w:vMerge/>
            <w:tcBorders>
              <w:bottom w:val="nil"/>
            </w:tcBorders>
          </w:tcPr>
          <w:p w:rsidR="00981BC5" w:rsidRPr="00FE2829" w:rsidRDefault="00981BC5">
            <w:pPr>
              <w:rPr>
                <w:sz w:val="18"/>
                <w:szCs w:val="18"/>
              </w:rPr>
            </w:pPr>
          </w:p>
        </w:tc>
        <w:tc>
          <w:tcPr>
            <w:tcW w:w="2520" w:type="dxa"/>
            <w:vMerge/>
            <w:tcBorders>
              <w:bottom w:val="nil"/>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5</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2.36 (2.04-2.74)</w:t>
            </w:r>
          </w:p>
        </w:tc>
      </w:tr>
      <w:tr w:rsidR="00981BC5" w:rsidRPr="00A05349" w:rsidTr="00D067B4">
        <w:trPr>
          <w:trHeight w:val="20"/>
        </w:trPr>
        <w:tc>
          <w:tcPr>
            <w:tcW w:w="1500" w:type="dxa"/>
            <w:vMerge/>
            <w:tcBorders>
              <w:top w:val="nil"/>
              <w:bottom w:val="nil"/>
            </w:tcBorders>
          </w:tcPr>
          <w:p w:rsidR="00981BC5" w:rsidRPr="00FE2829" w:rsidRDefault="00981BC5">
            <w:pPr>
              <w:rPr>
                <w:sz w:val="18"/>
                <w:szCs w:val="18"/>
              </w:rPr>
            </w:pPr>
          </w:p>
        </w:tc>
        <w:tc>
          <w:tcPr>
            <w:tcW w:w="1398" w:type="dxa"/>
            <w:vMerge/>
            <w:tcBorders>
              <w:top w:val="nil"/>
              <w:bottom w:val="nil"/>
            </w:tcBorders>
          </w:tcPr>
          <w:p w:rsidR="00981BC5" w:rsidRPr="00FE2829" w:rsidRDefault="00981BC5">
            <w:pPr>
              <w:rPr>
                <w:sz w:val="18"/>
                <w:szCs w:val="18"/>
              </w:rPr>
            </w:pPr>
          </w:p>
        </w:tc>
        <w:tc>
          <w:tcPr>
            <w:tcW w:w="2520" w:type="dxa"/>
            <w:vMerge/>
            <w:tcBorders>
              <w:top w:val="nil"/>
              <w:bottom w:val="nil"/>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6</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2.72 (2.34-3.16)</w:t>
            </w:r>
          </w:p>
        </w:tc>
      </w:tr>
      <w:tr w:rsidR="00981BC5" w:rsidRPr="00A05349" w:rsidTr="00D067B4">
        <w:trPr>
          <w:trHeight w:val="20"/>
        </w:trPr>
        <w:tc>
          <w:tcPr>
            <w:tcW w:w="1500" w:type="dxa"/>
            <w:vMerge w:val="restart"/>
            <w:tcBorders>
              <w:top w:val="nil"/>
            </w:tcBorders>
          </w:tcPr>
          <w:p w:rsidR="00981BC5" w:rsidRPr="00FE2829" w:rsidRDefault="00981BC5" w:rsidP="00BD731A">
            <w:pPr>
              <w:rPr>
                <w:sz w:val="18"/>
                <w:szCs w:val="18"/>
              </w:rPr>
            </w:pPr>
          </w:p>
        </w:tc>
        <w:tc>
          <w:tcPr>
            <w:tcW w:w="1398" w:type="dxa"/>
            <w:vMerge w:val="restart"/>
            <w:tcBorders>
              <w:top w:val="nil"/>
            </w:tcBorders>
          </w:tcPr>
          <w:p w:rsidR="00981BC5" w:rsidRPr="00FE2829" w:rsidRDefault="00981BC5" w:rsidP="00BD731A">
            <w:pPr>
              <w:rPr>
                <w:sz w:val="18"/>
                <w:szCs w:val="18"/>
              </w:rPr>
            </w:pPr>
          </w:p>
        </w:tc>
        <w:tc>
          <w:tcPr>
            <w:tcW w:w="2520" w:type="dxa"/>
            <w:vMerge w:val="restart"/>
            <w:tcBorders>
              <w:top w:val="nil"/>
              <w:right w:val="single" w:sz="4" w:space="0" w:color="auto"/>
            </w:tcBorders>
          </w:tcPr>
          <w:p w:rsidR="00981BC5" w:rsidRPr="00FE2829" w:rsidRDefault="00981BC5" w:rsidP="00BD731A">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≥7</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2.93 (2.52-3.41)</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Admission history in 3 months before index hospitalization</w:t>
            </w:r>
          </w:p>
        </w:tc>
        <w:tc>
          <w:tcPr>
            <w:tcW w:w="3510" w:type="dxa"/>
            <w:tcBorders>
              <w:top w:val="nil"/>
              <w:left w:val="single" w:sz="4" w:space="0" w:color="auto"/>
              <w:bottom w:val="nil"/>
              <w:right w:val="single" w:sz="4" w:space="0" w:color="auto"/>
            </w:tcBorders>
          </w:tcPr>
          <w:p w:rsidR="00981BC5" w:rsidRPr="00FE2829" w:rsidRDefault="00762E4C" w:rsidP="00981BC5">
            <w:pPr>
              <w:rPr>
                <w:sz w:val="18"/>
                <w:szCs w:val="18"/>
              </w:rPr>
            </w:pPr>
            <w:r>
              <w:rPr>
                <w:sz w:val="18"/>
                <w:szCs w:val="18"/>
              </w:rPr>
              <w:t>OR = 2.17 (2.10-2.25)</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Planned admission ≥24 h in advance</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1.72 (1.64-1.80)</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EC69C3">
            <w:pPr>
              <w:ind w:left="252" w:hanging="252"/>
              <w:rPr>
                <w:sz w:val="18"/>
                <w:szCs w:val="18"/>
              </w:rPr>
            </w:pPr>
            <w:r w:rsidRPr="00FE2829">
              <w:rPr>
                <w:sz w:val="18"/>
                <w:szCs w:val="18"/>
              </w:rPr>
              <w:t>Disposition destination (vs. Home):</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Other</w:t>
            </w:r>
          </w:p>
        </w:tc>
        <w:tc>
          <w:tcPr>
            <w:tcW w:w="3510" w:type="dxa"/>
            <w:tcBorders>
              <w:top w:val="nil"/>
              <w:left w:val="single" w:sz="4" w:space="0" w:color="auto"/>
              <w:bottom w:val="nil"/>
              <w:right w:val="single" w:sz="4" w:space="0" w:color="auto"/>
            </w:tcBorders>
          </w:tcPr>
          <w:p w:rsidR="00981BC5" w:rsidRPr="00FE2829" w:rsidRDefault="00981BC5" w:rsidP="00981BC5">
            <w:pPr>
              <w:rPr>
                <w:sz w:val="18"/>
                <w:szCs w:val="18"/>
              </w:rPr>
            </w:pPr>
            <w:r w:rsidRPr="00FE2829">
              <w:rPr>
                <w:sz w:val="18"/>
                <w:szCs w:val="18"/>
              </w:rPr>
              <w:t>OR = 1.28 (1.24-1.32)</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single" w:sz="4" w:space="0" w:color="auto"/>
              <w:right w:val="single" w:sz="4" w:space="0" w:color="auto"/>
            </w:tcBorders>
          </w:tcPr>
          <w:p w:rsidR="00981BC5" w:rsidRPr="00FE2829" w:rsidRDefault="00981BC5" w:rsidP="00EC69C3">
            <w:pPr>
              <w:ind w:left="252" w:hanging="252"/>
              <w:rPr>
                <w:sz w:val="18"/>
                <w:szCs w:val="18"/>
              </w:rPr>
            </w:pPr>
            <w:r w:rsidRPr="00FE2829">
              <w:rPr>
                <w:sz w:val="18"/>
                <w:szCs w:val="18"/>
              </w:rPr>
              <w:t>Length of stay (days)</w:t>
            </w:r>
          </w:p>
        </w:tc>
        <w:tc>
          <w:tcPr>
            <w:tcW w:w="3510" w:type="dxa"/>
            <w:tcBorders>
              <w:top w:val="nil"/>
              <w:left w:val="single" w:sz="4" w:space="0" w:color="auto"/>
              <w:bottom w:val="single" w:sz="4" w:space="0" w:color="auto"/>
              <w:right w:val="single" w:sz="4" w:space="0" w:color="auto"/>
            </w:tcBorders>
          </w:tcPr>
          <w:p w:rsidR="00981BC5" w:rsidRPr="00FE2829" w:rsidRDefault="00981BC5" w:rsidP="00981BC5">
            <w:pPr>
              <w:rPr>
                <w:sz w:val="18"/>
                <w:szCs w:val="18"/>
              </w:rPr>
            </w:pPr>
            <w:r w:rsidRPr="00FE2829">
              <w:rPr>
                <w:sz w:val="18"/>
                <w:szCs w:val="18"/>
              </w:rPr>
              <w:t>OR = 1.02 (1.02-1.02)</w:t>
            </w:r>
          </w:p>
        </w:tc>
      </w:tr>
    </w:tbl>
    <w:p w:rsidR="002204AE" w:rsidRDefault="002204AE">
      <w:r>
        <w:br w:type="page"/>
      </w:r>
    </w:p>
    <w:tbl>
      <w:tblPr>
        <w:tblStyle w:val="TableGrid"/>
        <w:tblW w:w="13878" w:type="dxa"/>
        <w:tblLook w:val="04A0" w:firstRow="1" w:lastRow="0" w:firstColumn="1" w:lastColumn="0" w:noHBand="0" w:noVBand="1"/>
      </w:tblPr>
      <w:tblGrid>
        <w:gridCol w:w="1500"/>
        <w:gridCol w:w="1398"/>
        <w:gridCol w:w="2520"/>
        <w:gridCol w:w="4950"/>
        <w:gridCol w:w="3510"/>
      </w:tblGrid>
      <w:tr w:rsidR="00981BC5" w:rsidRPr="00A05349" w:rsidTr="00D067B4">
        <w:trPr>
          <w:trHeight w:val="20"/>
        </w:trPr>
        <w:tc>
          <w:tcPr>
            <w:tcW w:w="1500" w:type="dxa"/>
            <w:vMerge w:val="restart"/>
            <w:hideMark/>
          </w:tcPr>
          <w:p w:rsidR="00981BC5" w:rsidRPr="00FE2829" w:rsidRDefault="00981BC5" w:rsidP="003064CA">
            <w:pPr>
              <w:rPr>
                <w:sz w:val="18"/>
                <w:szCs w:val="18"/>
              </w:rPr>
            </w:pPr>
            <w:r w:rsidRPr="00FE2829">
              <w:rPr>
                <w:sz w:val="18"/>
                <w:szCs w:val="18"/>
              </w:rPr>
              <w:lastRenderedPageBreak/>
              <w:t>Robbins et al, 2006</w:t>
            </w:r>
            <w:r w:rsidR="00133E7F">
              <w:rPr>
                <w:sz w:val="18"/>
                <w:szCs w:val="18"/>
              </w:rPr>
              <w:t xml:space="preserve"> [1</w:t>
            </w:r>
            <w:r w:rsidR="003064CA">
              <w:rPr>
                <w:sz w:val="18"/>
                <w:szCs w:val="18"/>
              </w:rPr>
              <w:t>6</w:t>
            </w:r>
            <w:r w:rsidR="00133E7F">
              <w:rPr>
                <w:sz w:val="18"/>
                <w:szCs w:val="18"/>
              </w:rPr>
              <w:t>]</w:t>
            </w:r>
          </w:p>
        </w:tc>
        <w:tc>
          <w:tcPr>
            <w:tcW w:w="1398" w:type="dxa"/>
            <w:vMerge w:val="restart"/>
            <w:hideMark/>
          </w:tcPr>
          <w:p w:rsidR="00981BC5" w:rsidRPr="00FE2829" w:rsidRDefault="00981BC5">
            <w:pPr>
              <w:rPr>
                <w:sz w:val="18"/>
                <w:szCs w:val="18"/>
              </w:rPr>
            </w:pPr>
            <w:r w:rsidRPr="00FE2829">
              <w:rPr>
                <w:sz w:val="18"/>
                <w:szCs w:val="18"/>
              </w:rPr>
              <w:t>30</w:t>
            </w:r>
          </w:p>
        </w:tc>
        <w:tc>
          <w:tcPr>
            <w:tcW w:w="2520" w:type="dxa"/>
            <w:vMerge w:val="restart"/>
            <w:tcBorders>
              <w:right w:val="single" w:sz="4" w:space="0" w:color="auto"/>
            </w:tcBorders>
            <w:hideMark/>
          </w:tcPr>
          <w:p w:rsidR="00981BC5" w:rsidRPr="00FE2829" w:rsidRDefault="00981BC5">
            <w:pPr>
              <w:rPr>
                <w:sz w:val="18"/>
                <w:szCs w:val="18"/>
              </w:rPr>
            </w:pPr>
            <w:r w:rsidRPr="00FE2829">
              <w:rPr>
                <w:sz w:val="18"/>
                <w:szCs w:val="18"/>
              </w:rPr>
              <w:t>Residents with diabetes</w:t>
            </w:r>
          </w:p>
        </w:tc>
        <w:tc>
          <w:tcPr>
            <w:tcW w:w="4950" w:type="dxa"/>
            <w:tcBorders>
              <w:top w:val="single" w:sz="4" w:space="0" w:color="auto"/>
              <w:left w:val="single" w:sz="4" w:space="0" w:color="auto"/>
              <w:bottom w:val="nil"/>
              <w:right w:val="single" w:sz="4" w:space="0" w:color="auto"/>
            </w:tcBorders>
            <w:hideMark/>
          </w:tcPr>
          <w:p w:rsidR="00981BC5" w:rsidRPr="00FE2829" w:rsidRDefault="00981BC5" w:rsidP="00A05349">
            <w:pPr>
              <w:ind w:left="252" w:hanging="252"/>
              <w:rPr>
                <w:sz w:val="18"/>
                <w:szCs w:val="18"/>
              </w:rPr>
            </w:pPr>
            <w:r w:rsidRPr="00FE2829">
              <w:rPr>
                <w:sz w:val="18"/>
                <w:szCs w:val="18"/>
              </w:rPr>
              <w:t>Diabetes diagnosis (vs. Coded, had previous diagnosis):</w:t>
            </w:r>
          </w:p>
        </w:tc>
        <w:tc>
          <w:tcPr>
            <w:tcW w:w="3510" w:type="dxa"/>
            <w:tcBorders>
              <w:top w:val="single" w:sz="4" w:space="0" w:color="auto"/>
              <w:left w:val="single" w:sz="4" w:space="0" w:color="auto"/>
              <w:bottom w:val="nil"/>
              <w:right w:val="single" w:sz="4" w:space="0" w:color="auto"/>
            </w:tcBorders>
            <w:hideMark/>
          </w:tcPr>
          <w:p w:rsidR="00981BC5" w:rsidRPr="00FE2829" w:rsidRDefault="00981BC5" w:rsidP="00EC69C3">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Coded, no previous diagnosis</w:t>
            </w:r>
          </w:p>
        </w:tc>
        <w:tc>
          <w:tcPr>
            <w:tcW w:w="3510" w:type="dxa"/>
            <w:tcBorders>
              <w:top w:val="nil"/>
              <w:left w:val="single" w:sz="4" w:space="0" w:color="auto"/>
              <w:bottom w:val="nil"/>
              <w:right w:val="single" w:sz="4" w:space="0" w:color="auto"/>
            </w:tcBorders>
          </w:tcPr>
          <w:p w:rsidR="00981BC5" w:rsidRPr="00FE2829" w:rsidRDefault="00981BC5" w:rsidP="00EC69C3">
            <w:pPr>
              <w:rPr>
                <w:sz w:val="18"/>
                <w:szCs w:val="18"/>
              </w:rPr>
            </w:pPr>
            <w:proofErr w:type="spellStart"/>
            <w:r w:rsidRPr="00FE2829">
              <w:rPr>
                <w:sz w:val="18"/>
                <w:szCs w:val="18"/>
              </w:rPr>
              <w:t>aOR</w:t>
            </w:r>
            <w:proofErr w:type="spellEnd"/>
            <w:r w:rsidRPr="00FE2829">
              <w:rPr>
                <w:sz w:val="18"/>
                <w:szCs w:val="18"/>
              </w:rPr>
              <w:t xml:space="preserve"> = 0.46 (0.44–0.47)</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Borders>
              <w:right w:val="single" w:sz="4" w:space="0" w:color="auto"/>
            </w:tcBorders>
          </w:tcPr>
          <w:p w:rsidR="00981BC5" w:rsidRPr="00FE2829" w:rsidRDefault="00981BC5">
            <w:pPr>
              <w:rPr>
                <w:sz w:val="18"/>
                <w:szCs w:val="18"/>
              </w:rPr>
            </w:pPr>
          </w:p>
        </w:tc>
        <w:tc>
          <w:tcPr>
            <w:tcW w:w="4950" w:type="dxa"/>
            <w:tcBorders>
              <w:top w:val="nil"/>
              <w:left w:val="single" w:sz="4" w:space="0" w:color="auto"/>
              <w:bottom w:val="nil"/>
              <w:right w:val="single" w:sz="4" w:space="0" w:color="auto"/>
            </w:tcBorders>
          </w:tcPr>
          <w:p w:rsidR="00981BC5" w:rsidRPr="00FE2829" w:rsidRDefault="00981BC5" w:rsidP="00FE2829">
            <w:pPr>
              <w:ind w:left="252"/>
              <w:rPr>
                <w:sz w:val="18"/>
                <w:szCs w:val="18"/>
              </w:rPr>
            </w:pPr>
            <w:r w:rsidRPr="00FE2829">
              <w:rPr>
                <w:sz w:val="18"/>
                <w:szCs w:val="18"/>
              </w:rPr>
              <w:t>Not coded, had previous diagnosis</w:t>
            </w:r>
          </w:p>
        </w:tc>
        <w:tc>
          <w:tcPr>
            <w:tcW w:w="3510" w:type="dxa"/>
            <w:tcBorders>
              <w:top w:val="nil"/>
              <w:left w:val="single" w:sz="4" w:space="0" w:color="auto"/>
              <w:bottom w:val="nil"/>
              <w:right w:val="single" w:sz="4" w:space="0" w:color="auto"/>
            </w:tcBorders>
          </w:tcPr>
          <w:p w:rsidR="00981BC5" w:rsidRPr="00FE2829" w:rsidRDefault="00981BC5" w:rsidP="00EC69C3">
            <w:pPr>
              <w:rPr>
                <w:sz w:val="18"/>
                <w:szCs w:val="18"/>
              </w:rPr>
            </w:pPr>
            <w:proofErr w:type="spellStart"/>
            <w:r w:rsidRPr="00FE2829">
              <w:rPr>
                <w:sz w:val="18"/>
                <w:szCs w:val="18"/>
              </w:rPr>
              <w:t>aOR</w:t>
            </w:r>
            <w:proofErr w:type="spellEnd"/>
            <w:r w:rsidRPr="00FE2829">
              <w:rPr>
                <w:sz w:val="18"/>
                <w:szCs w:val="18"/>
              </w:rPr>
              <w:t xml:space="preserve"> = 1.33 (1.29–1.37)</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single" w:sz="4" w:space="0" w:color="auto"/>
            </w:tcBorders>
          </w:tcPr>
          <w:p w:rsidR="00981BC5" w:rsidRPr="00FE2829" w:rsidRDefault="00981BC5" w:rsidP="00A05349">
            <w:pPr>
              <w:ind w:left="252" w:hanging="252"/>
              <w:rPr>
                <w:sz w:val="18"/>
                <w:szCs w:val="18"/>
              </w:rPr>
            </w:pPr>
          </w:p>
          <w:p w:rsidR="00981BC5" w:rsidRPr="00FE2829" w:rsidRDefault="00981BC5" w:rsidP="00EC69C3">
            <w:pPr>
              <w:rPr>
                <w:sz w:val="18"/>
                <w:szCs w:val="18"/>
              </w:rPr>
            </w:pPr>
            <w:r w:rsidRPr="00FE2829">
              <w:rPr>
                <w:sz w:val="18"/>
                <w:szCs w:val="18"/>
              </w:rPr>
              <w:t>(Adjusted for age, year, gender, race/ethnicity, insurance status, admission type, severity code, length of stay, discharge status, and number of previous hospitalizations)</w:t>
            </w:r>
          </w:p>
        </w:tc>
        <w:tc>
          <w:tcPr>
            <w:tcW w:w="3510" w:type="dxa"/>
            <w:tcBorders>
              <w:top w:val="nil"/>
              <w:bottom w:val="single" w:sz="4" w:space="0" w:color="auto"/>
            </w:tcBorders>
          </w:tcPr>
          <w:p w:rsidR="00981BC5" w:rsidRPr="00FE2829" w:rsidRDefault="00981BC5" w:rsidP="00981BC5">
            <w:pPr>
              <w:rPr>
                <w:sz w:val="18"/>
                <w:szCs w:val="18"/>
              </w:rPr>
            </w:pPr>
          </w:p>
        </w:tc>
      </w:tr>
      <w:tr w:rsidR="00981BC5" w:rsidRPr="00A05349" w:rsidTr="00D067B4">
        <w:trPr>
          <w:trHeight w:val="20"/>
        </w:trPr>
        <w:tc>
          <w:tcPr>
            <w:tcW w:w="1500" w:type="dxa"/>
            <w:vMerge w:val="restart"/>
            <w:hideMark/>
          </w:tcPr>
          <w:p w:rsidR="00981BC5" w:rsidRPr="00FE2829" w:rsidRDefault="00981BC5" w:rsidP="003064CA">
            <w:pPr>
              <w:rPr>
                <w:sz w:val="18"/>
                <w:szCs w:val="18"/>
              </w:rPr>
            </w:pPr>
            <w:r w:rsidRPr="00FE2829">
              <w:rPr>
                <w:sz w:val="18"/>
                <w:szCs w:val="18"/>
              </w:rPr>
              <w:t>Jiang et al, 2005</w:t>
            </w:r>
            <w:r w:rsidR="00133E7F">
              <w:rPr>
                <w:sz w:val="18"/>
                <w:szCs w:val="18"/>
              </w:rPr>
              <w:t xml:space="preserve"> [1</w:t>
            </w:r>
            <w:r w:rsidR="003064CA">
              <w:rPr>
                <w:sz w:val="18"/>
                <w:szCs w:val="18"/>
              </w:rPr>
              <w:t>7</w:t>
            </w:r>
            <w:r w:rsidR="00133E7F">
              <w:rPr>
                <w:sz w:val="18"/>
                <w:szCs w:val="18"/>
              </w:rPr>
              <w:t>]</w:t>
            </w:r>
          </w:p>
        </w:tc>
        <w:tc>
          <w:tcPr>
            <w:tcW w:w="1398" w:type="dxa"/>
            <w:vMerge w:val="restart"/>
            <w:hideMark/>
          </w:tcPr>
          <w:p w:rsidR="00981BC5" w:rsidRPr="00FE2829" w:rsidRDefault="00981BC5">
            <w:pPr>
              <w:rPr>
                <w:sz w:val="18"/>
                <w:szCs w:val="18"/>
              </w:rPr>
            </w:pPr>
            <w:r w:rsidRPr="00FE2829">
              <w:rPr>
                <w:sz w:val="18"/>
                <w:szCs w:val="18"/>
              </w:rPr>
              <w:t>30 and 180</w:t>
            </w:r>
          </w:p>
        </w:tc>
        <w:tc>
          <w:tcPr>
            <w:tcW w:w="2520" w:type="dxa"/>
            <w:vMerge w:val="restart"/>
            <w:tcBorders>
              <w:right w:val="single" w:sz="4" w:space="0" w:color="auto"/>
            </w:tcBorders>
            <w:hideMark/>
          </w:tcPr>
          <w:p w:rsidR="00981BC5" w:rsidRPr="00FE2829" w:rsidRDefault="00981BC5">
            <w:pPr>
              <w:rPr>
                <w:sz w:val="18"/>
                <w:szCs w:val="18"/>
              </w:rPr>
            </w:pPr>
            <w:r w:rsidRPr="00FE2829">
              <w:rPr>
                <w:sz w:val="18"/>
                <w:szCs w:val="18"/>
              </w:rPr>
              <w:t>Diabetes patients identified from State Inpatient Databases of the Healthcare Cost and Utilization Project</w:t>
            </w:r>
          </w:p>
        </w:tc>
        <w:tc>
          <w:tcPr>
            <w:tcW w:w="4950" w:type="dxa"/>
            <w:tcBorders>
              <w:top w:val="single" w:sz="4" w:space="0" w:color="auto"/>
              <w:left w:val="single" w:sz="4" w:space="0" w:color="auto"/>
              <w:bottom w:val="nil"/>
              <w:right w:val="single" w:sz="4" w:space="0" w:color="auto"/>
            </w:tcBorders>
            <w:hideMark/>
          </w:tcPr>
          <w:p w:rsidR="00981BC5" w:rsidRPr="00FE2829" w:rsidRDefault="00981BC5" w:rsidP="00981BC5">
            <w:pPr>
              <w:rPr>
                <w:sz w:val="18"/>
                <w:szCs w:val="18"/>
              </w:rPr>
            </w:pPr>
            <w:r w:rsidRPr="00FE2829">
              <w:rPr>
                <w:b/>
                <w:bCs/>
                <w:sz w:val="18"/>
                <w:szCs w:val="18"/>
              </w:rPr>
              <w:t>30 day</w:t>
            </w:r>
          </w:p>
        </w:tc>
        <w:tc>
          <w:tcPr>
            <w:tcW w:w="3510" w:type="dxa"/>
            <w:tcBorders>
              <w:top w:val="single" w:sz="4" w:space="0" w:color="auto"/>
              <w:left w:val="single" w:sz="4" w:space="0" w:color="auto"/>
              <w:bottom w:val="nil"/>
              <w:right w:val="single" w:sz="4" w:space="0" w:color="auto"/>
            </w:tcBorders>
            <w:hideMark/>
          </w:tcPr>
          <w:p w:rsidR="00981BC5" w:rsidRPr="00FE2829" w:rsidRDefault="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981BC5">
            <w:pPr>
              <w:rPr>
                <w:b/>
                <w:bCs/>
                <w:sz w:val="18"/>
                <w:szCs w:val="18"/>
              </w:rPr>
            </w:pPr>
            <w:r w:rsidRPr="00FE2829">
              <w:rPr>
                <w:sz w:val="18"/>
                <w:szCs w:val="18"/>
              </w:rPr>
              <w:t>Medicare (age≥65) (vs. White):</w:t>
            </w:r>
          </w:p>
        </w:tc>
        <w:tc>
          <w:tcPr>
            <w:tcW w:w="3510" w:type="dxa"/>
            <w:tcBorders>
              <w:top w:val="nil"/>
              <w:left w:val="single" w:sz="4" w:space="0" w:color="auto"/>
              <w:bottom w:val="nil"/>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981BC5">
            <w:pPr>
              <w:ind w:left="252"/>
              <w:rPr>
                <w:sz w:val="18"/>
                <w:szCs w:val="18"/>
              </w:rPr>
            </w:pPr>
            <w:r w:rsidRPr="00FE2829">
              <w:rPr>
                <w:sz w:val="18"/>
                <w:szCs w:val="18"/>
              </w:rPr>
              <w:t>Hispanic</w:t>
            </w:r>
          </w:p>
        </w:tc>
        <w:tc>
          <w:tcPr>
            <w:tcW w:w="3510" w:type="dxa"/>
            <w:tcBorders>
              <w:top w:val="nil"/>
              <w:left w:val="single" w:sz="4" w:space="0" w:color="auto"/>
              <w:bottom w:val="nil"/>
            </w:tcBorders>
          </w:tcPr>
          <w:p w:rsidR="00981BC5" w:rsidRPr="00FE2829" w:rsidRDefault="00981BC5" w:rsidP="00FE2829">
            <w:pPr>
              <w:rPr>
                <w:sz w:val="18"/>
                <w:szCs w:val="18"/>
              </w:rPr>
            </w:pPr>
            <w:proofErr w:type="spellStart"/>
            <w:r w:rsidRPr="00FE2829">
              <w:rPr>
                <w:sz w:val="18"/>
                <w:szCs w:val="18"/>
              </w:rPr>
              <w:t>aOR</w:t>
            </w:r>
            <w:proofErr w:type="spellEnd"/>
            <w:r w:rsidRPr="00FE2829">
              <w:rPr>
                <w:sz w:val="18"/>
                <w:szCs w:val="18"/>
              </w:rPr>
              <w:t xml:space="preserve"> = 1.21 (1.12-1.30)</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FE2829" w:rsidRPr="00FE2829" w:rsidRDefault="00FE2829" w:rsidP="00981BC5">
            <w:pPr>
              <w:rPr>
                <w:b/>
                <w:bCs/>
                <w:sz w:val="18"/>
                <w:szCs w:val="18"/>
              </w:rPr>
            </w:pPr>
          </w:p>
          <w:p w:rsidR="00981BC5" w:rsidRPr="00FE2829" w:rsidRDefault="00981BC5" w:rsidP="00981BC5">
            <w:pPr>
              <w:rPr>
                <w:sz w:val="18"/>
                <w:szCs w:val="18"/>
              </w:rPr>
            </w:pPr>
            <w:r w:rsidRPr="00FE2829">
              <w:rPr>
                <w:b/>
                <w:bCs/>
                <w:sz w:val="18"/>
                <w:szCs w:val="18"/>
              </w:rPr>
              <w:t>180 day</w:t>
            </w:r>
          </w:p>
        </w:tc>
        <w:tc>
          <w:tcPr>
            <w:tcW w:w="3510" w:type="dxa"/>
            <w:tcBorders>
              <w:top w:val="nil"/>
              <w:left w:val="single" w:sz="4" w:space="0" w:color="auto"/>
              <w:bottom w:val="nil"/>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A05349">
            <w:pPr>
              <w:ind w:left="252" w:hanging="252"/>
              <w:rPr>
                <w:b/>
                <w:bCs/>
                <w:sz w:val="18"/>
                <w:szCs w:val="18"/>
              </w:rPr>
            </w:pPr>
            <w:r w:rsidRPr="00FE2829">
              <w:rPr>
                <w:sz w:val="18"/>
                <w:szCs w:val="18"/>
              </w:rPr>
              <w:t>Private insurance (age = 18–64) (vs. White):</w:t>
            </w:r>
          </w:p>
        </w:tc>
        <w:tc>
          <w:tcPr>
            <w:tcW w:w="3510" w:type="dxa"/>
            <w:tcBorders>
              <w:top w:val="nil"/>
              <w:left w:val="single" w:sz="4" w:space="0" w:color="auto"/>
              <w:bottom w:val="nil"/>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981BC5">
            <w:pPr>
              <w:ind w:left="252"/>
              <w:rPr>
                <w:b/>
                <w:bCs/>
                <w:sz w:val="18"/>
                <w:szCs w:val="18"/>
              </w:rPr>
            </w:pPr>
            <w:r w:rsidRPr="00FE2829">
              <w:rPr>
                <w:sz w:val="18"/>
                <w:szCs w:val="18"/>
              </w:rPr>
              <w:t>Hispanic</w:t>
            </w:r>
          </w:p>
        </w:tc>
        <w:tc>
          <w:tcPr>
            <w:tcW w:w="3510" w:type="dxa"/>
            <w:tcBorders>
              <w:top w:val="nil"/>
              <w:left w:val="single" w:sz="4" w:space="0" w:color="auto"/>
              <w:bottom w:val="nil"/>
            </w:tcBorders>
          </w:tcPr>
          <w:p w:rsidR="00981BC5" w:rsidRPr="00FE2829" w:rsidRDefault="00981BC5" w:rsidP="00981BC5">
            <w:pPr>
              <w:rPr>
                <w:sz w:val="18"/>
                <w:szCs w:val="18"/>
              </w:rPr>
            </w:pPr>
            <w:proofErr w:type="spellStart"/>
            <w:r w:rsidRPr="00FE2829">
              <w:rPr>
                <w:sz w:val="18"/>
                <w:szCs w:val="18"/>
              </w:rPr>
              <w:t>aOR</w:t>
            </w:r>
            <w:proofErr w:type="spellEnd"/>
            <w:r w:rsidRPr="00FE2829">
              <w:rPr>
                <w:sz w:val="18"/>
                <w:szCs w:val="18"/>
              </w:rPr>
              <w:t xml:space="preserve"> = 1.12 (1.03-1.23)</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981BC5">
            <w:pPr>
              <w:rPr>
                <w:b/>
                <w:bCs/>
                <w:sz w:val="18"/>
                <w:szCs w:val="18"/>
              </w:rPr>
            </w:pPr>
            <w:r w:rsidRPr="00FE2829">
              <w:rPr>
                <w:sz w:val="18"/>
                <w:szCs w:val="18"/>
              </w:rPr>
              <w:t>Medicaid (age = 18–64) (vs. White):</w:t>
            </w:r>
          </w:p>
        </w:tc>
        <w:tc>
          <w:tcPr>
            <w:tcW w:w="3510" w:type="dxa"/>
            <w:tcBorders>
              <w:top w:val="nil"/>
              <w:left w:val="single" w:sz="4" w:space="0" w:color="auto"/>
              <w:bottom w:val="nil"/>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981BC5">
            <w:pPr>
              <w:ind w:left="252"/>
              <w:rPr>
                <w:sz w:val="18"/>
                <w:szCs w:val="18"/>
              </w:rPr>
            </w:pPr>
            <w:r w:rsidRPr="00FE2829">
              <w:rPr>
                <w:sz w:val="18"/>
                <w:szCs w:val="18"/>
              </w:rPr>
              <w:t>Hispanic</w:t>
            </w:r>
          </w:p>
        </w:tc>
        <w:tc>
          <w:tcPr>
            <w:tcW w:w="3510" w:type="dxa"/>
            <w:tcBorders>
              <w:top w:val="nil"/>
              <w:left w:val="single" w:sz="4" w:space="0" w:color="auto"/>
              <w:bottom w:val="nil"/>
            </w:tcBorders>
          </w:tcPr>
          <w:p w:rsidR="00981BC5" w:rsidRPr="00FE2829" w:rsidRDefault="00981BC5" w:rsidP="00981BC5">
            <w:pPr>
              <w:rPr>
                <w:sz w:val="18"/>
                <w:szCs w:val="18"/>
              </w:rPr>
            </w:pPr>
            <w:proofErr w:type="spellStart"/>
            <w:r w:rsidRPr="00FE2829">
              <w:rPr>
                <w:sz w:val="18"/>
                <w:szCs w:val="18"/>
              </w:rPr>
              <w:t>aOR</w:t>
            </w:r>
            <w:proofErr w:type="spellEnd"/>
            <w:r w:rsidRPr="00FE2829">
              <w:rPr>
                <w:sz w:val="18"/>
                <w:szCs w:val="18"/>
              </w:rPr>
              <w:t xml:space="preserve"> = 1.14 (1.05-1.24)</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981BC5">
            <w:pPr>
              <w:rPr>
                <w:sz w:val="18"/>
                <w:szCs w:val="18"/>
              </w:rPr>
            </w:pPr>
            <w:r w:rsidRPr="00FE2829">
              <w:rPr>
                <w:sz w:val="18"/>
                <w:szCs w:val="18"/>
              </w:rPr>
              <w:t>Medicare (age≥65) (vs. White):</w:t>
            </w:r>
          </w:p>
        </w:tc>
        <w:tc>
          <w:tcPr>
            <w:tcW w:w="3510" w:type="dxa"/>
            <w:tcBorders>
              <w:top w:val="nil"/>
              <w:left w:val="single" w:sz="4" w:space="0" w:color="auto"/>
              <w:bottom w:val="nil"/>
            </w:tcBorders>
          </w:tcPr>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FE2829">
            <w:pPr>
              <w:ind w:left="252"/>
              <w:rPr>
                <w:sz w:val="18"/>
                <w:szCs w:val="18"/>
              </w:rPr>
            </w:pPr>
            <w:r w:rsidRPr="00FE2829">
              <w:rPr>
                <w:sz w:val="18"/>
                <w:szCs w:val="18"/>
              </w:rPr>
              <w:t>Black</w:t>
            </w:r>
          </w:p>
        </w:tc>
        <w:tc>
          <w:tcPr>
            <w:tcW w:w="3510" w:type="dxa"/>
            <w:tcBorders>
              <w:top w:val="nil"/>
              <w:left w:val="single" w:sz="4" w:space="0" w:color="auto"/>
              <w:bottom w:val="nil"/>
            </w:tcBorders>
          </w:tcPr>
          <w:p w:rsidR="00981BC5" w:rsidRPr="00FE2829" w:rsidRDefault="00981BC5" w:rsidP="00981BC5">
            <w:pPr>
              <w:rPr>
                <w:sz w:val="18"/>
                <w:szCs w:val="18"/>
              </w:rPr>
            </w:pPr>
            <w:proofErr w:type="spellStart"/>
            <w:r w:rsidRPr="00FE2829">
              <w:rPr>
                <w:sz w:val="18"/>
                <w:szCs w:val="18"/>
              </w:rPr>
              <w:t>aOR</w:t>
            </w:r>
            <w:proofErr w:type="spellEnd"/>
            <w:r w:rsidRPr="00FE2829">
              <w:rPr>
                <w:sz w:val="18"/>
                <w:szCs w:val="18"/>
              </w:rPr>
              <w:t xml:space="preserve"> = 1.12 (1.07-1.18)</w:t>
            </w: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bottom w:val="nil"/>
              <w:right w:val="single" w:sz="4" w:space="0" w:color="auto"/>
            </w:tcBorders>
          </w:tcPr>
          <w:p w:rsidR="00981BC5" w:rsidRPr="00FE2829" w:rsidRDefault="00981BC5" w:rsidP="00981BC5">
            <w:pPr>
              <w:ind w:left="252"/>
              <w:rPr>
                <w:sz w:val="18"/>
                <w:szCs w:val="18"/>
              </w:rPr>
            </w:pPr>
            <w:r w:rsidRPr="00FE2829">
              <w:rPr>
                <w:sz w:val="18"/>
                <w:szCs w:val="18"/>
              </w:rPr>
              <w:t>Hispanic</w:t>
            </w:r>
          </w:p>
        </w:tc>
        <w:tc>
          <w:tcPr>
            <w:tcW w:w="3510" w:type="dxa"/>
            <w:tcBorders>
              <w:top w:val="nil"/>
              <w:left w:val="single" w:sz="4" w:space="0" w:color="auto"/>
              <w:bottom w:val="nil"/>
            </w:tcBorders>
          </w:tcPr>
          <w:p w:rsidR="00981BC5" w:rsidRPr="00FE2829" w:rsidRDefault="00981BC5" w:rsidP="00981BC5">
            <w:pPr>
              <w:rPr>
                <w:sz w:val="18"/>
                <w:szCs w:val="18"/>
              </w:rPr>
            </w:pPr>
            <w:proofErr w:type="spellStart"/>
            <w:r w:rsidRPr="00FE2829">
              <w:rPr>
                <w:sz w:val="18"/>
                <w:szCs w:val="18"/>
              </w:rPr>
              <w:t>aOR</w:t>
            </w:r>
            <w:proofErr w:type="spellEnd"/>
            <w:r w:rsidRPr="00FE2829">
              <w:rPr>
                <w:sz w:val="18"/>
                <w:szCs w:val="18"/>
              </w:rPr>
              <w:t xml:space="preserve"> = 1.29 (1.23-1.36)</w:t>
            </w:r>
          </w:p>
          <w:p w:rsidR="00981BC5" w:rsidRPr="00FE2829" w:rsidRDefault="00981BC5" w:rsidP="00981BC5">
            <w:pPr>
              <w:rPr>
                <w:sz w:val="18"/>
                <w:szCs w:val="18"/>
              </w:rPr>
            </w:pPr>
          </w:p>
        </w:tc>
      </w:tr>
      <w:tr w:rsidR="00981BC5" w:rsidRPr="00A05349" w:rsidTr="00D067B4">
        <w:trPr>
          <w:trHeight w:val="20"/>
        </w:trPr>
        <w:tc>
          <w:tcPr>
            <w:tcW w:w="1500" w:type="dxa"/>
            <w:vMerge/>
          </w:tcPr>
          <w:p w:rsidR="00981BC5" w:rsidRPr="00FE2829" w:rsidRDefault="00981BC5">
            <w:pPr>
              <w:rPr>
                <w:sz w:val="18"/>
                <w:szCs w:val="18"/>
              </w:rPr>
            </w:pPr>
          </w:p>
        </w:tc>
        <w:tc>
          <w:tcPr>
            <w:tcW w:w="1398" w:type="dxa"/>
            <w:vMerge/>
          </w:tcPr>
          <w:p w:rsidR="00981BC5" w:rsidRPr="00FE2829" w:rsidRDefault="00981BC5">
            <w:pPr>
              <w:rPr>
                <w:sz w:val="18"/>
                <w:szCs w:val="18"/>
              </w:rPr>
            </w:pPr>
          </w:p>
        </w:tc>
        <w:tc>
          <w:tcPr>
            <w:tcW w:w="2520" w:type="dxa"/>
            <w:vMerge/>
          </w:tcPr>
          <w:p w:rsidR="00981BC5" w:rsidRPr="00FE2829" w:rsidRDefault="00981BC5">
            <w:pPr>
              <w:rPr>
                <w:sz w:val="18"/>
                <w:szCs w:val="18"/>
              </w:rPr>
            </w:pPr>
          </w:p>
        </w:tc>
        <w:tc>
          <w:tcPr>
            <w:tcW w:w="4950" w:type="dxa"/>
            <w:tcBorders>
              <w:top w:val="nil"/>
              <w:right w:val="single" w:sz="4" w:space="0" w:color="auto"/>
            </w:tcBorders>
          </w:tcPr>
          <w:p w:rsidR="00981BC5" w:rsidRPr="00FE2829" w:rsidRDefault="00981BC5" w:rsidP="00EC69C3">
            <w:pPr>
              <w:rPr>
                <w:sz w:val="18"/>
                <w:szCs w:val="18"/>
              </w:rPr>
            </w:pPr>
            <w:r w:rsidRPr="00FE2829">
              <w:rPr>
                <w:sz w:val="18"/>
                <w:szCs w:val="18"/>
              </w:rPr>
              <w:t>(Adjusted for patient demographic (age, gender), socioeconomic (income at zip code, rural/urban residence), and clinical characteristics (comorbidities, complications, emergency room admission, major surgical procedure, length of stay, discharge status) during the index admission; hospital attributes (number of beds, teaching status, ownership); and dummy variables for individual states)</w:t>
            </w:r>
          </w:p>
        </w:tc>
        <w:tc>
          <w:tcPr>
            <w:tcW w:w="3510" w:type="dxa"/>
            <w:tcBorders>
              <w:top w:val="nil"/>
              <w:left w:val="single" w:sz="4" w:space="0" w:color="auto"/>
            </w:tcBorders>
          </w:tcPr>
          <w:p w:rsidR="00981BC5" w:rsidRPr="00FE2829" w:rsidRDefault="00981BC5" w:rsidP="00981BC5">
            <w:pPr>
              <w:rPr>
                <w:sz w:val="18"/>
                <w:szCs w:val="18"/>
              </w:rPr>
            </w:pPr>
          </w:p>
        </w:tc>
      </w:tr>
    </w:tbl>
    <w:p w:rsidR="005F4B3E" w:rsidRDefault="00BD731A">
      <w:pPr>
        <w:rPr>
          <w:lang w:val="en-SG"/>
        </w:rPr>
      </w:pPr>
      <w:r>
        <w:rPr>
          <w:lang w:val="en-SG"/>
        </w:rPr>
        <w:t xml:space="preserve">Abbreviation: </w:t>
      </w:r>
      <w:proofErr w:type="spellStart"/>
      <w:r>
        <w:rPr>
          <w:lang w:val="en-SG"/>
        </w:rPr>
        <w:t>aOR</w:t>
      </w:r>
      <w:proofErr w:type="spellEnd"/>
      <w:r>
        <w:rPr>
          <w:lang w:val="en-SG"/>
        </w:rPr>
        <w:t xml:space="preserve"> = Adjusted odds ratio; HR = Hazard ratio; OR = Odds ratio; RRR = Relative risk ratio</w:t>
      </w:r>
    </w:p>
    <w:p w:rsidR="003C23A6" w:rsidRDefault="003C23A6">
      <w:pPr>
        <w:rPr>
          <w:lang w:val="en-SG"/>
        </w:rPr>
      </w:pPr>
    </w:p>
    <w:p w:rsidR="003C23A6" w:rsidRPr="005F4B3E" w:rsidRDefault="003C23A6">
      <w:pPr>
        <w:rPr>
          <w:lang w:val="en-SG"/>
        </w:rPr>
      </w:pPr>
    </w:p>
    <w:p w:rsidR="003C23A6" w:rsidRDefault="003C23A6">
      <w:pPr>
        <w:rPr>
          <w:b/>
          <w:u w:val="single"/>
          <w:lang w:val="en-SG"/>
        </w:rPr>
        <w:sectPr w:rsidR="003C23A6" w:rsidSect="003C23A6">
          <w:pgSz w:w="15840" w:h="12240" w:orient="landscape"/>
          <w:pgMar w:top="1440" w:right="1440" w:bottom="1440" w:left="1440" w:header="720" w:footer="720" w:gutter="0"/>
          <w:cols w:space="720"/>
          <w:docGrid w:linePitch="360"/>
        </w:sectPr>
      </w:pPr>
    </w:p>
    <w:p w:rsidR="005F4B3E" w:rsidRPr="005F4B3E" w:rsidRDefault="005F4B3E">
      <w:pPr>
        <w:rPr>
          <w:b/>
          <w:u w:val="single"/>
          <w:lang w:val="en-SG"/>
        </w:rPr>
      </w:pPr>
      <w:r w:rsidRPr="005F4B3E">
        <w:rPr>
          <w:b/>
          <w:u w:val="single"/>
          <w:lang w:val="en-SG"/>
        </w:rPr>
        <w:lastRenderedPageBreak/>
        <w:t>Appendix 2</w:t>
      </w:r>
    </w:p>
    <w:p w:rsidR="002749A4" w:rsidRPr="002749A4" w:rsidRDefault="002749A4">
      <w:pPr>
        <w:rPr>
          <w:b/>
          <w:lang w:val="en-SG"/>
        </w:rPr>
      </w:pPr>
      <w:r w:rsidRPr="002749A4">
        <w:rPr>
          <w:b/>
          <w:lang w:val="en-SG"/>
        </w:rPr>
        <w:t>Methods</w:t>
      </w:r>
      <w:r>
        <w:rPr>
          <w:b/>
          <w:lang w:val="en-SG"/>
        </w:rPr>
        <w:t xml:space="preserve"> – </w:t>
      </w:r>
      <w:r w:rsidR="005F4B3E">
        <w:rPr>
          <w:b/>
          <w:lang w:val="en-SG"/>
        </w:rPr>
        <w:t>Definition of i</w:t>
      </w:r>
      <w:r>
        <w:rPr>
          <w:b/>
          <w:lang w:val="en-SG"/>
        </w:rPr>
        <w:t>ndependent variables</w:t>
      </w:r>
    </w:p>
    <w:p w:rsidR="002749A4" w:rsidRPr="002749A4" w:rsidRDefault="002749A4" w:rsidP="002749A4">
      <w:pPr>
        <w:rPr>
          <w:i/>
          <w:lang w:val="en-SG"/>
        </w:rPr>
      </w:pPr>
      <w:r w:rsidRPr="002749A4">
        <w:rPr>
          <w:i/>
          <w:lang w:val="en-SG"/>
        </w:rPr>
        <w:t>Primary reason for index admission</w:t>
      </w:r>
    </w:p>
    <w:p w:rsidR="002749A4" w:rsidRPr="00FB2A58" w:rsidRDefault="002749A4" w:rsidP="002749A4">
      <w:pPr>
        <w:jc w:val="both"/>
      </w:pPr>
      <w:r w:rsidRPr="00FB2A58">
        <w:t xml:space="preserve">The primary reason for index admission was largely adopted from the ambulatory care sensitive conditions (ACSCs), which are conditions that can be prevented by early intervention, based on their principal diagnosis/procedure </w:t>
      </w:r>
      <w:r w:rsidR="00074847" w:rsidRPr="00074847">
        <w:t xml:space="preserve">International Classification of Disease </w:t>
      </w:r>
      <w:r w:rsidR="00074847">
        <w:t>(</w:t>
      </w:r>
      <w:r w:rsidRPr="00FB2A58">
        <w:t>ICD</w:t>
      </w:r>
      <w:r w:rsidR="00074847">
        <w:t>)</w:t>
      </w:r>
      <w:r w:rsidRPr="00FB2A58">
        <w:t xml:space="preserve"> codes captured during their index visit as defined by the U.S. Agency of Healthcare Research and Quality (AHRQ) </w:t>
      </w:r>
      <w:r w:rsidRPr="00FB2A58">
        <w:rPr>
          <w:noProof/>
        </w:rPr>
        <w:t>[</w:t>
      </w:r>
      <w:r>
        <w:rPr>
          <w:noProof/>
        </w:rPr>
        <w:t>1</w:t>
      </w:r>
      <w:r w:rsidR="003D0109">
        <w:rPr>
          <w:noProof/>
        </w:rPr>
        <w:t>8</w:t>
      </w:r>
      <w:r w:rsidRPr="00FB2A58">
        <w:rPr>
          <w:noProof/>
        </w:rPr>
        <w:t>]</w:t>
      </w:r>
      <w:r w:rsidRPr="00FB2A58">
        <w:t xml:space="preserve">. The primary reason for index admission was categorized into acute ACSCs (acute kidney failure, urinary tract infection, bacterial pneumonia, perforated appendix, gastroenteritis, dehydration, hyperosmolality as well as hypernatremia), chronic ACSCs (lower extremity amputation, short- and long-term diabetes, uncontrolled diabetes, hypertension, heart failure, angina without procedure, chronic obstructive pulmonary disease, asthma and acute bronchitis) </w:t>
      </w:r>
      <w:r w:rsidRPr="00FB2A58">
        <w:rPr>
          <w:noProof/>
        </w:rPr>
        <w:t>[</w:t>
      </w:r>
      <w:r w:rsidR="003D0109">
        <w:rPr>
          <w:noProof/>
        </w:rPr>
        <w:t>19</w:t>
      </w:r>
      <w:r w:rsidRPr="00FB2A58">
        <w:rPr>
          <w:noProof/>
        </w:rPr>
        <w:t>]</w:t>
      </w:r>
      <w:r w:rsidRPr="00FB2A58">
        <w:t xml:space="preserve"> and non-ACSCs. </w:t>
      </w:r>
    </w:p>
    <w:p w:rsidR="002749A4" w:rsidRDefault="002749A4" w:rsidP="002749A4"/>
    <w:p w:rsidR="002749A4" w:rsidRPr="002749A4" w:rsidRDefault="002749A4" w:rsidP="002749A4">
      <w:pPr>
        <w:rPr>
          <w:i/>
        </w:rPr>
      </w:pPr>
      <w:r w:rsidRPr="002749A4">
        <w:rPr>
          <w:i/>
        </w:rPr>
        <w:t>Diabetes Complications Severity Index (DCSI)</w:t>
      </w:r>
    </w:p>
    <w:p w:rsidR="002749A4" w:rsidRPr="00FB2A58" w:rsidRDefault="002749A4" w:rsidP="002749A4">
      <w:pPr>
        <w:jc w:val="both"/>
      </w:pPr>
      <w:r w:rsidRPr="00FB2A58">
        <w:t>The Diabetes Complications Severity Index (DCSI</w:t>
      </w:r>
      <w:proofErr w:type="gramStart"/>
      <w:r w:rsidRPr="00FB2A58">
        <w:t>),</w:t>
      </w:r>
      <w:proofErr w:type="gramEnd"/>
      <w:r w:rsidRPr="00FB2A58">
        <w:t xml:space="preserve"> identified using ICD codes and laboratory results (urine protein and serum creatinine), was utilized to measure the severity of diabetes complications </w:t>
      </w:r>
      <w:r w:rsidRPr="00FB2A58">
        <w:rPr>
          <w:noProof/>
        </w:rPr>
        <w:t>[</w:t>
      </w:r>
      <w:r w:rsidR="003D0109">
        <w:rPr>
          <w:noProof/>
        </w:rPr>
        <w:t>20</w:t>
      </w:r>
      <w:r>
        <w:rPr>
          <w:noProof/>
        </w:rPr>
        <w:t>,</w:t>
      </w:r>
      <w:r w:rsidR="003D0109">
        <w:rPr>
          <w:noProof/>
        </w:rPr>
        <w:t>21</w:t>
      </w:r>
      <w:r w:rsidRPr="00FB2A58">
        <w:rPr>
          <w:noProof/>
        </w:rPr>
        <w:t>]</w:t>
      </w:r>
      <w:r w:rsidRPr="00FB2A58">
        <w:t xml:space="preserve">. The DCSI comprises seven categories of complications – retinopathy, nephropathy, neuropathy, cerebrovascular, cardiovascular, peripheral vascular disease and metabolic with the presence/ severity of these complications categorized into 2 or 3 levels (no abnormality = 0, some abnormality = 1 and severe abnormality = 2) </w:t>
      </w:r>
      <w:r w:rsidRPr="00FB2A58">
        <w:rPr>
          <w:noProof/>
        </w:rPr>
        <w:t>[</w:t>
      </w:r>
      <w:r w:rsidR="003D0109">
        <w:rPr>
          <w:noProof/>
        </w:rPr>
        <w:t>20</w:t>
      </w:r>
      <w:r w:rsidRPr="00FB2A58">
        <w:rPr>
          <w:noProof/>
        </w:rPr>
        <w:t>]</w:t>
      </w:r>
      <w:r w:rsidRPr="00FB2A58">
        <w:t xml:space="preserve">. We did not use a simple summation of the number of complications as prior studies have shown that DCSI performs better than the former </w:t>
      </w:r>
      <w:r w:rsidRPr="00FB2A58">
        <w:rPr>
          <w:noProof/>
        </w:rPr>
        <w:t>[</w:t>
      </w:r>
      <w:r w:rsidR="00F07688">
        <w:rPr>
          <w:noProof/>
        </w:rPr>
        <w:t>20</w:t>
      </w:r>
      <w:r w:rsidRPr="00FB2A58">
        <w:rPr>
          <w:noProof/>
        </w:rPr>
        <w:t>]</w:t>
      </w:r>
      <w:r w:rsidRPr="00FB2A58">
        <w:t xml:space="preserve">. </w:t>
      </w:r>
    </w:p>
    <w:p w:rsidR="002749A4" w:rsidRDefault="002749A4" w:rsidP="002749A4"/>
    <w:p w:rsidR="002749A4" w:rsidRPr="002749A4" w:rsidRDefault="002749A4" w:rsidP="002749A4">
      <w:pPr>
        <w:rPr>
          <w:i/>
        </w:rPr>
      </w:pPr>
      <w:r w:rsidRPr="002749A4">
        <w:rPr>
          <w:i/>
        </w:rPr>
        <w:t>Elixhauser comorbidities (ECs)</w:t>
      </w:r>
    </w:p>
    <w:p w:rsidR="002749A4" w:rsidRPr="00FB2A58" w:rsidRDefault="002749A4" w:rsidP="002749A4">
      <w:pPr>
        <w:jc w:val="both"/>
      </w:pPr>
      <w:r w:rsidRPr="00FB2A58">
        <w:t xml:space="preserve">Comorbidity burden was measured using the Elixhauser comorbidities (ECs) </w:t>
      </w:r>
      <w:r w:rsidRPr="00FB2A58">
        <w:rPr>
          <w:noProof/>
        </w:rPr>
        <w:t>[</w:t>
      </w:r>
      <w:r w:rsidR="003D0109">
        <w:rPr>
          <w:noProof/>
        </w:rPr>
        <w:t>22</w:t>
      </w:r>
      <w:r w:rsidRPr="00FB2A58">
        <w:rPr>
          <w:noProof/>
        </w:rPr>
        <w:t>]</w:t>
      </w:r>
      <w:r w:rsidRPr="00FB2A58">
        <w:t xml:space="preserve"> which categorizes the comorbidities based on ICD codes in this study because it has been demonstrated by several studies to be statistically superior to the Charlson comorbidity index (CCI) </w:t>
      </w:r>
      <w:r w:rsidRPr="00FB2A58">
        <w:rPr>
          <w:noProof/>
        </w:rPr>
        <w:t>[</w:t>
      </w:r>
      <w:r w:rsidR="003D0109">
        <w:rPr>
          <w:noProof/>
        </w:rPr>
        <w:t>23</w:t>
      </w:r>
      <w:r w:rsidRPr="00FB2A58">
        <w:rPr>
          <w:noProof/>
        </w:rPr>
        <w:t>]</w:t>
      </w:r>
      <w:r w:rsidRPr="00FB2A58">
        <w:t xml:space="preserve">. Since diabetes is the condition of interest here, two Elixhauser comorbidities related to diabetes were excluded from our analysis. </w:t>
      </w:r>
      <w:r w:rsidRPr="00AB4595">
        <w:t>Another alternative to ECs that was considered but not adopted in this study was the Elixhauser comorbidity score which is based on the summation of weights assigned to the ECs [</w:t>
      </w:r>
      <w:r w:rsidR="003D0109">
        <w:t>24</w:t>
      </w:r>
      <w:r w:rsidRPr="00AB4595">
        <w:t>]. Although utilizing the ECs as a score can be better than summaries of comorbidities (e.g. comorbidity counts) and reduces overfitting risk due to the large number of comorbidities studied [</w:t>
      </w:r>
      <w:r w:rsidR="00F07688" w:rsidRPr="00F07688">
        <w:rPr>
          <w:color w:val="000000" w:themeColor="text1"/>
        </w:rPr>
        <w:t>24</w:t>
      </w:r>
      <w:r w:rsidRPr="00AB4595">
        <w:t>], there is a lack of meaningful clinical interpretation of the negative weights used in this score as the negative weights arise from the statistical methodology and does not denote protective effect relative to an individual without any ECs (weight=0) [</w:t>
      </w:r>
      <w:r w:rsidR="003D0109">
        <w:t>25</w:t>
      </w:r>
      <w:r w:rsidRPr="00AB4595">
        <w:t>].</w:t>
      </w:r>
    </w:p>
    <w:p w:rsidR="002749A4" w:rsidRDefault="002749A4" w:rsidP="002749A4"/>
    <w:p w:rsidR="002749A4" w:rsidRPr="002749A4" w:rsidRDefault="002749A4" w:rsidP="002749A4">
      <w:pPr>
        <w:rPr>
          <w:i/>
          <w:lang w:val="en-SG"/>
        </w:rPr>
      </w:pPr>
      <w:r w:rsidRPr="002749A4">
        <w:rPr>
          <w:i/>
          <w:lang w:val="en-SG"/>
        </w:rPr>
        <w:t>Diabetes-related medication</w:t>
      </w:r>
    </w:p>
    <w:p w:rsidR="002749A4" w:rsidRPr="00FB2A58" w:rsidRDefault="002749A4" w:rsidP="002749A4">
      <w:pPr>
        <w:jc w:val="both"/>
      </w:pPr>
      <w:r w:rsidRPr="00FB2A58">
        <w:t>Diabetes-related medication was categorized into the following therapeutic classes in this analysis: (</w:t>
      </w:r>
      <w:proofErr w:type="spellStart"/>
      <w:r w:rsidRPr="00FB2A58">
        <w:t>i</w:t>
      </w:r>
      <w:proofErr w:type="spellEnd"/>
      <w:r w:rsidRPr="00FB2A58">
        <w:t xml:space="preserve">) </w:t>
      </w:r>
      <w:r w:rsidRPr="00FB2A58">
        <w:rPr>
          <w:lang w:val="en-SG"/>
        </w:rPr>
        <w:t xml:space="preserve">insulin; (ii) oral </w:t>
      </w:r>
      <w:proofErr w:type="spellStart"/>
      <w:r w:rsidRPr="00FB2A58">
        <w:rPr>
          <w:lang w:val="en-SG"/>
        </w:rPr>
        <w:t>hypoglycemic</w:t>
      </w:r>
      <w:proofErr w:type="spellEnd"/>
      <w:r w:rsidRPr="00FB2A58">
        <w:rPr>
          <w:lang w:val="en-SG"/>
        </w:rPr>
        <w:t xml:space="preserve"> agents (biguanide, sulphonylurea, thiazolidinedione, alpha-glucosidase inhibitors, </w:t>
      </w:r>
      <w:proofErr w:type="spellStart"/>
      <w:r w:rsidRPr="00FB2A58">
        <w:rPr>
          <w:lang w:val="en-SG"/>
        </w:rPr>
        <w:t>meglitinides</w:t>
      </w:r>
      <w:proofErr w:type="spellEnd"/>
      <w:r w:rsidRPr="00FB2A58">
        <w:rPr>
          <w:lang w:val="en-SG"/>
        </w:rPr>
        <w:t xml:space="preserve"> and dipeptidyl peptidase IV inhibitors); (iii) anti-hypertensive agents (angiotensin-converting-enzyme (ACE) inhibitors, angiotensin II receptor blockers (ARBs), calcium channel blockers, alpha-blockers, beta-blockers, and thiazide diuretics); and (iv) statin. </w:t>
      </w:r>
      <w:r w:rsidR="00074847">
        <w:rPr>
          <w:lang w:val="en-SG"/>
        </w:rPr>
        <w:t>Risk factors related to diabetes-</w:t>
      </w:r>
      <w:r w:rsidR="00074847">
        <w:rPr>
          <w:lang w:val="en-SG"/>
        </w:rPr>
        <w:lastRenderedPageBreak/>
        <w:t xml:space="preserve">related medication investigated in this include </w:t>
      </w:r>
      <w:r w:rsidR="00133E7F">
        <w:rPr>
          <w:lang w:val="en-SG"/>
        </w:rPr>
        <w:t>d</w:t>
      </w:r>
      <w:r w:rsidR="00074847" w:rsidRPr="00074847">
        <w:rPr>
          <w:lang w:val="en-SG"/>
        </w:rPr>
        <w:t>iabetes-related drug modification</w:t>
      </w:r>
      <w:r w:rsidR="00074847">
        <w:rPr>
          <w:lang w:val="en-SG"/>
        </w:rPr>
        <w:t xml:space="preserve"> and </w:t>
      </w:r>
      <w:r w:rsidR="00133E7F">
        <w:rPr>
          <w:lang w:val="en-SG"/>
        </w:rPr>
        <w:t>a</w:t>
      </w:r>
      <w:r w:rsidR="00074847" w:rsidRPr="00074847">
        <w:rPr>
          <w:lang w:val="en-SG"/>
        </w:rPr>
        <w:t>dherence to diabetes-related medication</w:t>
      </w:r>
      <w:r w:rsidR="00074847">
        <w:rPr>
          <w:lang w:val="en-SG"/>
        </w:rPr>
        <w:t>.</w:t>
      </w:r>
    </w:p>
    <w:p w:rsidR="002749A4" w:rsidRDefault="002749A4" w:rsidP="002749A4">
      <w:pPr>
        <w:rPr>
          <w:lang w:val="en-SG"/>
        </w:rPr>
      </w:pPr>
    </w:p>
    <w:p w:rsidR="002749A4" w:rsidRPr="002749A4" w:rsidRDefault="002749A4" w:rsidP="002749A4">
      <w:pPr>
        <w:rPr>
          <w:i/>
        </w:rPr>
      </w:pPr>
      <w:r w:rsidRPr="002749A4">
        <w:rPr>
          <w:i/>
        </w:rPr>
        <w:t>Diabetes-related drug modification</w:t>
      </w:r>
    </w:p>
    <w:p w:rsidR="002749A4" w:rsidRPr="00FB2A58" w:rsidRDefault="002749A4" w:rsidP="002749A4">
      <w:pPr>
        <w:jc w:val="both"/>
      </w:pPr>
      <w:r w:rsidRPr="00FB2A58">
        <w:t xml:space="preserve">Modification in diabetes-related medication was defined as the cessation of a therapeutic class or addition of a new therapeutic class dispensed during index discharge. A switch within the same therapeutic class (e.g. </w:t>
      </w:r>
      <w:r w:rsidRPr="00FB2A58">
        <w:rPr>
          <w:lang w:val="en-SG"/>
        </w:rPr>
        <w:t>calcium channel blocker</w:t>
      </w:r>
      <w:r w:rsidRPr="00FB2A58">
        <w:t xml:space="preserve"> to ACE inhibitor for anti-hypertensives) was not considered to be a modification in medication. We recognize that there could be simultaneous intensification of one type of diabetes-related medication (e.g. oral hypoglycemic agent) and a de-intensification of another (e.g. statin). Hence, to simplify the analysis, we examined the overall modification instead of intensification of diabetes-related medication which previous studies have done </w:t>
      </w:r>
      <w:r w:rsidRPr="00FB2A58">
        <w:rPr>
          <w:noProof/>
        </w:rPr>
        <w:t>[</w:t>
      </w:r>
      <w:r w:rsidR="00F07688">
        <w:rPr>
          <w:noProof/>
        </w:rPr>
        <w:t>11</w:t>
      </w:r>
      <w:r>
        <w:rPr>
          <w:noProof/>
        </w:rPr>
        <w:t>,</w:t>
      </w:r>
      <w:r w:rsidR="003D0109">
        <w:rPr>
          <w:noProof/>
        </w:rPr>
        <w:t>2</w:t>
      </w:r>
      <w:r w:rsidR="00F07688">
        <w:rPr>
          <w:noProof/>
        </w:rPr>
        <w:t>6</w:t>
      </w:r>
      <w:r w:rsidRPr="00FB2A58">
        <w:rPr>
          <w:noProof/>
        </w:rPr>
        <w:t>]</w:t>
      </w:r>
      <w:r w:rsidRPr="00FB2A58">
        <w:t xml:space="preserve">. As in Wei et </w:t>
      </w:r>
      <w:r w:rsidRPr="00F07688">
        <w:t xml:space="preserve">al </w:t>
      </w:r>
      <w:r w:rsidRPr="00F07688">
        <w:rPr>
          <w:noProof/>
        </w:rPr>
        <w:t>[</w:t>
      </w:r>
      <w:r w:rsidR="003D0109" w:rsidRPr="00F07688">
        <w:rPr>
          <w:noProof/>
        </w:rPr>
        <w:t>11</w:t>
      </w:r>
      <w:r w:rsidRPr="00F07688">
        <w:rPr>
          <w:noProof/>
        </w:rPr>
        <w:t>]</w:t>
      </w:r>
      <w:r w:rsidRPr="00F07688">
        <w:t>, drug</w:t>
      </w:r>
      <w:r w:rsidRPr="00FB2A58">
        <w:t xml:space="preserve"> dose was not captured in this analysis because the focus was on initiation or discontinuation of drugs within a therapeutic class. </w:t>
      </w:r>
    </w:p>
    <w:p w:rsidR="002749A4" w:rsidRDefault="002749A4" w:rsidP="002749A4"/>
    <w:p w:rsidR="002749A4" w:rsidRPr="002749A4" w:rsidRDefault="002749A4" w:rsidP="002749A4">
      <w:pPr>
        <w:rPr>
          <w:i/>
        </w:rPr>
      </w:pPr>
      <w:r w:rsidRPr="002749A4">
        <w:rPr>
          <w:i/>
        </w:rPr>
        <w:t>Adherence to diabetes-related medication</w:t>
      </w:r>
    </w:p>
    <w:p w:rsidR="002749A4" w:rsidRPr="00FB2A58" w:rsidRDefault="00F07688" w:rsidP="002749A4">
      <w:pPr>
        <w:jc w:val="both"/>
      </w:pPr>
      <w:r>
        <w:t>Based on the literature review, t</w:t>
      </w:r>
      <w:r w:rsidR="005872C3">
        <w:t>he relationship between m</w:t>
      </w:r>
      <w:r w:rsidR="002749A4" w:rsidRPr="00FB2A58">
        <w:t xml:space="preserve">edication adherence </w:t>
      </w:r>
      <w:r w:rsidR="005872C3">
        <w:t>and</w:t>
      </w:r>
      <w:r>
        <w:t xml:space="preserve"> unplanned</w:t>
      </w:r>
      <w:r w:rsidR="005872C3">
        <w:t xml:space="preserve"> readmission among diabetes patients </w:t>
      </w:r>
      <w:r>
        <w:t>has</w:t>
      </w:r>
      <w:r w:rsidR="005872C3">
        <w:t xml:space="preserve"> never </w:t>
      </w:r>
      <w:r>
        <w:t xml:space="preserve">been </w:t>
      </w:r>
      <w:r w:rsidR="005872C3">
        <w:t xml:space="preserve">assessed. </w:t>
      </w:r>
      <w:r w:rsidR="005872C3" w:rsidRPr="005872C3">
        <w:t>Adherence to diabetes-related medication</w:t>
      </w:r>
      <w:r w:rsidR="005872C3">
        <w:t xml:space="preserve"> </w:t>
      </w:r>
      <w:r w:rsidR="002749A4" w:rsidRPr="00FB2A58">
        <w:t xml:space="preserve">was assessed using prescription-based measure of proportion of days covered (PDC), which has a range of 0 to 1, measured from the first dispense date to the last dispense date of the medication such that the last dispense date occurred before the index admission date </w:t>
      </w:r>
      <w:r w:rsidR="002749A4" w:rsidRPr="00FB2A58">
        <w:rPr>
          <w:noProof/>
        </w:rPr>
        <w:t>[</w:t>
      </w:r>
      <w:r w:rsidR="003D0109">
        <w:rPr>
          <w:noProof/>
        </w:rPr>
        <w:t>2</w:t>
      </w:r>
      <w:r>
        <w:rPr>
          <w:noProof/>
        </w:rPr>
        <w:t>7</w:t>
      </w:r>
      <w:r w:rsidR="002749A4">
        <w:rPr>
          <w:noProof/>
        </w:rPr>
        <w:t>,</w:t>
      </w:r>
      <w:r w:rsidR="003D0109">
        <w:rPr>
          <w:noProof/>
        </w:rPr>
        <w:t>2</w:t>
      </w:r>
      <w:r>
        <w:rPr>
          <w:noProof/>
        </w:rPr>
        <w:t>8</w:t>
      </w:r>
      <w:r w:rsidR="002749A4" w:rsidRPr="00FB2A58">
        <w:rPr>
          <w:noProof/>
        </w:rPr>
        <w:t>]</w:t>
      </w:r>
      <w:r w:rsidR="002749A4" w:rsidRPr="00FB2A58">
        <w:t xml:space="preserve">. Switching between medications within the same drug class (e.g. glimepiride to glipizide from sulphonylurea) during the time interval was considered to be continuous intake of that drug class (sulphonylurea) and any overlap in days of supply for the drug was adjusted according to the Pharmacy Quality Alliance (PQA) specifications </w:t>
      </w:r>
      <w:r w:rsidR="002749A4" w:rsidRPr="00FB2A58">
        <w:rPr>
          <w:noProof/>
        </w:rPr>
        <w:t>[</w:t>
      </w:r>
      <w:r w:rsidR="003D0109">
        <w:rPr>
          <w:noProof/>
        </w:rPr>
        <w:t>2</w:t>
      </w:r>
      <w:r>
        <w:rPr>
          <w:noProof/>
        </w:rPr>
        <w:t>7</w:t>
      </w:r>
      <w:r w:rsidR="002749A4" w:rsidRPr="00FB2A58">
        <w:rPr>
          <w:noProof/>
        </w:rPr>
        <w:t>]</w:t>
      </w:r>
      <w:r w:rsidR="002749A4" w:rsidRPr="00FB2A58">
        <w:t xml:space="preserve">. </w:t>
      </w:r>
    </w:p>
    <w:p w:rsidR="002749A4" w:rsidRPr="00FB2A58" w:rsidRDefault="002749A4" w:rsidP="002749A4">
      <w:pPr>
        <w:ind w:firstLine="720"/>
        <w:jc w:val="both"/>
      </w:pPr>
      <w:r w:rsidRPr="00FB2A58">
        <w:t>As patients may be taking medications from more than one therapeutic class, we calculated an average PDC based on the drug classes. For example, if a patient had two drug classes of oral hypoglycemic (biguanide and sulphonylurea) and one drug class of anti-hypertensive (beta-blocker) dispensed, the PDC for biguanide, sulphonylurea and beta-blocker would be averaged to get an overall mean PDC. A patient would be considered adherent if the overall mean PDC was at least 0.8. Medication adherence was then classified into three mutually-exclusive categories: (</w:t>
      </w:r>
      <w:proofErr w:type="spellStart"/>
      <w:r w:rsidRPr="00FB2A58">
        <w:t>i</w:t>
      </w:r>
      <w:proofErr w:type="spellEnd"/>
      <w:r w:rsidRPr="00FB2A58">
        <w:t>) no diabetes-related medication dispensed 180 days before 1 July 2010 till before index admission, (ii) diabetes-related medication dispensed and not adherent, and (iii) diabetes-related medication dispensed and adherent.</w:t>
      </w:r>
    </w:p>
    <w:p w:rsidR="00074847" w:rsidRPr="00133E7F" w:rsidRDefault="00074847"/>
    <w:p w:rsidR="002749A4" w:rsidRPr="00074847" w:rsidRDefault="002749A4" w:rsidP="002749A4">
      <w:pPr>
        <w:rPr>
          <w:i/>
        </w:rPr>
      </w:pPr>
      <w:r w:rsidRPr="00074847">
        <w:rPr>
          <w:i/>
        </w:rPr>
        <w:t>Measurement of HbA1c level</w:t>
      </w:r>
    </w:p>
    <w:p w:rsidR="002749A4" w:rsidRPr="00FB2A58" w:rsidRDefault="002749A4" w:rsidP="002749A4">
      <w:pPr>
        <w:jc w:val="both"/>
      </w:pPr>
      <w:r w:rsidRPr="00FB2A58">
        <w:t xml:space="preserve">Similar to </w:t>
      </w:r>
      <w:proofErr w:type="spellStart"/>
      <w:r w:rsidRPr="00FB2A58">
        <w:t>Strack</w:t>
      </w:r>
      <w:proofErr w:type="spellEnd"/>
      <w:r w:rsidRPr="00FB2A58">
        <w:t xml:space="preserve"> et al </w:t>
      </w:r>
      <w:r w:rsidRPr="00FB2A58">
        <w:rPr>
          <w:noProof/>
        </w:rPr>
        <w:t>[</w:t>
      </w:r>
      <w:r w:rsidR="00F07688">
        <w:rPr>
          <w:noProof/>
        </w:rPr>
        <w:t>29</w:t>
      </w:r>
      <w:r w:rsidRPr="00FB2A58">
        <w:rPr>
          <w:noProof/>
        </w:rPr>
        <w:t>]</w:t>
      </w:r>
      <w:r w:rsidRPr="00FB2A58">
        <w:t>, HbA1c measurement was classified into three categories: (</w:t>
      </w:r>
      <w:proofErr w:type="spellStart"/>
      <w:r w:rsidRPr="00FB2A58">
        <w:t>i</w:t>
      </w:r>
      <w:proofErr w:type="spellEnd"/>
      <w:r w:rsidRPr="00FB2A58">
        <w:t xml:space="preserve">) no HbA1c measurement performed within 6 months from date of index discharge, (ii) HbA1c measurement performed within 6 months from index discharge and not in the optimal range (HbA1c &gt;7%) and (iii) HbA1c measurement performed within 6 months from index discharge and in the optimal range (HbA1c ≤7%), where the optimal level was based on the desirable target of control recommended by the local Ministry of Health (MOH) </w:t>
      </w:r>
      <w:r w:rsidRPr="00FB2A58">
        <w:rPr>
          <w:noProof/>
        </w:rPr>
        <w:t>[</w:t>
      </w:r>
      <w:r w:rsidR="00F07688">
        <w:rPr>
          <w:noProof/>
        </w:rPr>
        <w:t>30</w:t>
      </w:r>
      <w:r w:rsidRPr="00FB2A58">
        <w:rPr>
          <w:noProof/>
        </w:rPr>
        <w:t>]</w:t>
      </w:r>
      <w:r w:rsidRPr="00FB2A58">
        <w:t xml:space="preserve">. A 6-month period was used as the MOH recommends that patients with stable glycemic control who meet treatment goals have HbA1c tested within a 6-monthly interval </w:t>
      </w:r>
      <w:r w:rsidRPr="00FB2A58">
        <w:rPr>
          <w:noProof/>
        </w:rPr>
        <w:t>[</w:t>
      </w:r>
      <w:r w:rsidR="003D0109">
        <w:rPr>
          <w:noProof/>
        </w:rPr>
        <w:t>30</w:t>
      </w:r>
      <w:r w:rsidRPr="00FB2A58">
        <w:rPr>
          <w:noProof/>
        </w:rPr>
        <w:t>]</w:t>
      </w:r>
      <w:r w:rsidRPr="00FB2A58">
        <w:t xml:space="preserve">. </w:t>
      </w:r>
    </w:p>
    <w:p w:rsidR="002749A4" w:rsidRDefault="002749A4" w:rsidP="002749A4">
      <w:pPr>
        <w:rPr>
          <w:lang w:val="en-SG"/>
        </w:rPr>
      </w:pPr>
    </w:p>
    <w:p w:rsidR="002749A4" w:rsidRPr="002749A4" w:rsidRDefault="002749A4">
      <w:pPr>
        <w:rPr>
          <w:b/>
          <w:lang w:val="en-SG"/>
        </w:rPr>
      </w:pPr>
      <w:r w:rsidRPr="002749A4">
        <w:rPr>
          <w:b/>
          <w:lang w:val="en-SG"/>
        </w:rPr>
        <w:t>References</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Caughey GE, Pratt NL, Barratt JD, Shakib S, Kemp-Casey AR, Roughead EE. Understanding 30-day re-admission after hospitalisation of older patients for diabetes: identifying those at greatest risk. Med J Aust. 2017;206:170-5.</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Collins J, Abbass IM, Harvey R, Suehs B, Uribe C, Bouchard J, Prewitt T, DeLuzio T, Allen E. Predictors of all-cause-30-day-readmission among Medicare patients with type 2 diabetes. Current Medical Research and Opinion. 2017:1-28.</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McCoy RG, Lipska KJ, Herrin J, Jeffery MM, Krumholz HM, Shah ND. Hospital Readmissions among Commercially Insured and Medicare Advantage Beneficiaries with Diabetes and the Impact of Severe Hypoglycemic and Hyperglycemic Events. Journal of General Internal Medicine. 2017;32(10):1097-105.</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Rubin DJ, Golden SH, McDonnell ME, Zhao H. Predicting readmission risk of patients with diabetes hospitalized for cardiovascular disease: a retrospective cohort study. Journal of Diabetes and its Complications. 2017;31(8):1332-1339.</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Rubin DJ, Handorf EA, Golden SH, Nelson DB, McDonnell ME, Zhao H. Development and validation of a novel tool to predict hospital readmission risk among patients with diabetes. Endocrine Practice. 2016;22(10):1204-15.</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Chen HF, Popoola T, Radhakrishnan K, Suzuki S, Homan S. Improving diabetic patient transition to home healthcare: leading risk factors for 30-day readmission. The American journal of managed care. 2015;21(6):440-50.</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Eby E, Hardwick C, Yu M, Gelwicks S, Deschamps K, Xie J, George T. Predictors of 30 day hospital readmission in patients with type 2 diabetes: a retrospective, case–control, database study. Current medical research and opinion. 2015;31(1):107-14.</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Raval AD, Zhou S, Wei W, Bhattacharjee S, Miao R, Sambamoorthi U. 30-day readmission among elderly Medicare beneficiaries with type 2 diabetes. Population health management. 2015;18(4):256-64.</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Zapatero A, Gómez-Huelgas R, González N, Canora J, Asenjo Á, Hinojosa J, Plaza S, Marco J, Barba R. Frequency of hypoglycemia and its impact on length of stay, mortality, and short-term readmission in patients with diabetes hospitalized in internal medicine wards. Endocrine Practice. 2014;20(9):870-5.</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Healy SJ, Black D, Harris C, Lorenz A, Dungan KM. Inpatient diabetes education is associated with less frequent hospital readmission among patients with poor glycemic control. Diabetes care. 2013;36(10):2960-7.</w:t>
      </w:r>
    </w:p>
    <w:p w:rsidR="003D0109" w:rsidRPr="003D0109" w:rsidRDefault="003D0109" w:rsidP="002204AE">
      <w:pPr>
        <w:widowControl w:val="0"/>
        <w:numPr>
          <w:ilvl w:val="0"/>
          <w:numId w:val="1"/>
        </w:numPr>
        <w:autoSpaceDE w:val="0"/>
        <w:autoSpaceDN w:val="0"/>
        <w:adjustRightInd w:val="0"/>
        <w:spacing w:line="240" w:lineRule="auto"/>
        <w:ind w:left="540" w:hanging="540"/>
        <w:rPr>
          <w:rFonts w:hint="eastAsia"/>
          <w:noProof/>
          <w:szCs w:val="24"/>
        </w:rPr>
      </w:pPr>
      <w:r w:rsidRPr="003D0109">
        <w:rPr>
          <w:rFonts w:hint="eastAsia"/>
          <w:noProof/>
          <w:szCs w:val="24"/>
        </w:rPr>
        <w:t>Wei NJ, Wexler DJ, Nathan DM, Grant RW. Intensification of diabetes medication and risk for 30</w:t>
      </w:r>
      <w:r w:rsidRPr="003D0109">
        <w:rPr>
          <w:rFonts w:hint="eastAsia"/>
          <w:noProof/>
          <w:szCs w:val="24"/>
        </w:rPr>
        <w:t>‐</w:t>
      </w:r>
      <w:r w:rsidRPr="003D0109">
        <w:rPr>
          <w:rFonts w:hint="eastAsia"/>
          <w:noProof/>
          <w:szCs w:val="24"/>
        </w:rPr>
        <w:t>day readmission. Diabetic Medicine. 2013;30(2).</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Albrecht JS, Hirshon JM, Goldberg R, Langenberg P, Day HR, Morgan DJ, Comer AC, Harris AD, Furuno JP. Serious mental illness and acute hospital readmission in diabetic patients. American Journal of Medical Quality. 2012;27(6):503-8.</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Mokhtar SA, El Mahalli AA, Al-Mulla S, Al-Hussaini R. Study of the relation between quality of inpatient care and early readmission for diabetic patients at a hospital in the Eastern province of Saudi Arabia. Eastern Mediterranean health journal. 2012;18(5):474.</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lastRenderedPageBreak/>
        <w:t>Bennett KJ, Probst JC, Vyavaharkar M, Glover SH. Lower rehospitalization rates among rural Medicare beneficiaries with diabetes. The Journal of Rural Health. 2012;28(3):227-34.</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Kim H, Ross JS, Melkus GD, Zhao Z, Boockvar K. Scheduled and unscheduled hospital readmissions among diabetes patients. The American Journal of Managed Care. 2010;16(10):760.</w:t>
      </w:r>
    </w:p>
    <w:p w:rsidR="003D0109" w:rsidRP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Robbins JM, Webb DA. Diagnosing diabetes and preventing rehospitalizations: the urban diabetes study. Medical Care. 2006;44(3):292.</w:t>
      </w:r>
    </w:p>
    <w:p w:rsidR="003D0109" w:rsidRDefault="003D0109" w:rsidP="002204AE">
      <w:pPr>
        <w:widowControl w:val="0"/>
        <w:numPr>
          <w:ilvl w:val="0"/>
          <w:numId w:val="1"/>
        </w:numPr>
        <w:autoSpaceDE w:val="0"/>
        <w:autoSpaceDN w:val="0"/>
        <w:adjustRightInd w:val="0"/>
        <w:spacing w:line="240" w:lineRule="auto"/>
        <w:ind w:left="540" w:hanging="540"/>
        <w:rPr>
          <w:noProof/>
          <w:szCs w:val="24"/>
        </w:rPr>
      </w:pPr>
      <w:r w:rsidRPr="003D0109">
        <w:rPr>
          <w:noProof/>
          <w:szCs w:val="24"/>
        </w:rPr>
        <w:t>Jiang HJ, Andrews R, Stryer D, Friedman B. Racial/ethnic disparities in potentially preventable readmissions: the case of diabetes. American Journal of Public Health. 2005;95(9):1561-7.</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Agency for Healthcare and Research Quality. Prevention Quality Indicators Overview [Internet]. 2016 [cited 2016 Jun 24]. Available from: http://www.qualityindicators.ahrq.gov/Modules/pqi_resources.aspx.</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Cahoon EK, McGinty EE, Ford DE, et al. Schizophrenia and potentially preventable hospitalizations in the United States: a retrospective cross-sectional study. BMC Psychiatry. 2013;13:37.</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Young BA, Lin E, Von Korff M, et al. Diabetes complications severity index and risk of mortality, hospitalization, and healthcare utilization. Am. J. Manag. Care. 2008;14:15–23.</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Wilke T, Mueller S, Groth A, et al. Treatment-dependent and treatment-independent risk factors associated with the risk of diabetes-related events: a retrospective analysis based on 229,042 patients with type 2 diabetes mellitus. Cardiovasc. Diabetol. 2015;14:14.</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Quan H, Sundararajan V, Halfon P, et al. Coding algorithms for defining comorbidities in ICD-9-CM and ICD-10 administrative data. Med. Care. 2005;1130–1139.</w:t>
      </w:r>
    </w:p>
    <w:p w:rsidR="002749A4"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Sharabiani MT, Aylin P, Bottle A. Systematic Review of Comorbidity Indices for Administrative Data. Med. Care. 2012;50:1.</w:t>
      </w:r>
    </w:p>
    <w:p w:rsidR="002749A4" w:rsidRDefault="002749A4" w:rsidP="002749A4">
      <w:pPr>
        <w:widowControl w:val="0"/>
        <w:numPr>
          <w:ilvl w:val="0"/>
          <w:numId w:val="1"/>
        </w:numPr>
        <w:autoSpaceDE w:val="0"/>
        <w:autoSpaceDN w:val="0"/>
        <w:adjustRightInd w:val="0"/>
        <w:spacing w:line="240" w:lineRule="auto"/>
        <w:ind w:left="540" w:hanging="540"/>
        <w:rPr>
          <w:noProof/>
          <w:szCs w:val="24"/>
        </w:rPr>
      </w:pPr>
      <w:r w:rsidRPr="00AB4595">
        <w:rPr>
          <w:noProof/>
          <w:szCs w:val="24"/>
        </w:rPr>
        <w:t>Thompson NR, Fan Y, Dalton JE, Jehi L, Rosenbaum BP, Vadera S, et al. A new Elixhauser-based comorbidity summary measure to predict in-hospital mortality. Med Care. 2015;53: 374–9. doi:10.1097/MLR.0000000000000326</w:t>
      </w:r>
      <w:r>
        <w:rPr>
          <w:noProof/>
          <w:szCs w:val="24"/>
        </w:rPr>
        <w:t>.</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AB4595">
        <w:rPr>
          <w:noProof/>
          <w:szCs w:val="24"/>
        </w:rPr>
        <w:t>Stausberg J, Hagn S. New Morbidity and Comorbidity Scores based on the Structure of the ICD-10. PLoS One. 2015;10: e0143365. doi:10.1371/journal.pone.0143365</w:t>
      </w:r>
      <w:r>
        <w:rPr>
          <w:noProof/>
          <w:szCs w:val="24"/>
        </w:rPr>
        <w:t>.</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Bonafede M, Pawaskar M, Johnson B, et al. Treatment Modifications and Medical Costs Associated with Use of Exenatide BID or Insulin Glargine in Type 2 Diabetes Patients: A Retrospective Database Analysis. J Endocrinol Diabetes Obes. 2013;1:1010.</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Nau D. Proportion of days covered (PDC) as a preferred method of measuring medication adherence. Springfield, VA Pharm. Qual. Alliance [Internet]. 2012 [cited 2016 Mar 9]; Available from: http://ep.yimg.com/ty/cdn/epill/pdcmpr.pdf.</w:t>
      </w:r>
    </w:p>
    <w:p w:rsidR="002749A4" w:rsidRPr="00FB2A58"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Choudhry NK, Shrank WH, Levin RL, et al. Measuring concurrent adherence to multiple related medications. Am. J. Manag. Care. 2009;15:457–464.</w:t>
      </w:r>
    </w:p>
    <w:p w:rsidR="002749A4" w:rsidRDefault="002749A4" w:rsidP="002749A4">
      <w:pPr>
        <w:widowControl w:val="0"/>
        <w:numPr>
          <w:ilvl w:val="0"/>
          <w:numId w:val="1"/>
        </w:numPr>
        <w:autoSpaceDE w:val="0"/>
        <w:autoSpaceDN w:val="0"/>
        <w:adjustRightInd w:val="0"/>
        <w:spacing w:line="240" w:lineRule="auto"/>
        <w:ind w:left="540" w:hanging="540"/>
        <w:rPr>
          <w:noProof/>
          <w:szCs w:val="24"/>
        </w:rPr>
      </w:pPr>
      <w:r w:rsidRPr="00FB2A58">
        <w:rPr>
          <w:noProof/>
          <w:szCs w:val="24"/>
        </w:rPr>
        <w:t>Strack B, Deshazo JP, Gennings C, et al. Impact of HbA1c measurement on hospital readmission rates: Analysis of 70,000 clinical database patient records. Biomed Res. Int. 2014;2014.</w:t>
      </w:r>
    </w:p>
    <w:p w:rsidR="002605D5" w:rsidRPr="002605D5" w:rsidRDefault="002605D5" w:rsidP="002605D5">
      <w:pPr>
        <w:widowControl w:val="0"/>
        <w:numPr>
          <w:ilvl w:val="0"/>
          <w:numId w:val="1"/>
        </w:numPr>
        <w:autoSpaceDE w:val="0"/>
        <w:autoSpaceDN w:val="0"/>
        <w:adjustRightInd w:val="0"/>
        <w:spacing w:line="240" w:lineRule="auto"/>
        <w:ind w:left="540" w:hanging="540"/>
        <w:rPr>
          <w:noProof/>
          <w:szCs w:val="24"/>
        </w:rPr>
      </w:pPr>
      <w:r w:rsidRPr="00FB2A58">
        <w:rPr>
          <w:noProof/>
          <w:szCs w:val="24"/>
        </w:rPr>
        <w:t>Ministry of Health. MOH Clinical Practice Guidelines 1/2014 | Diabetes Mellitus [Internet]. 2014 [cited 2016 Mar 20]. Available from: https://www.moh.gov.sg/content/dam/moh_web/HPP/Doctors/cpg_medical/current/2014/diabetes_mellitus/cpg_Diabetes Mellitus Booklet - Jul 2014.pdf.</w:t>
      </w:r>
    </w:p>
    <w:sectPr w:rsidR="002605D5" w:rsidRPr="0026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A9D"/>
    <w:multiLevelType w:val="hybridMultilevel"/>
    <w:tmpl w:val="CB7CD83C"/>
    <w:lvl w:ilvl="0" w:tplc="7952D5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A4"/>
    <w:rsid w:val="00074847"/>
    <w:rsid w:val="001024E2"/>
    <w:rsid w:val="00133E7F"/>
    <w:rsid w:val="001B05A9"/>
    <w:rsid w:val="001B5AC7"/>
    <w:rsid w:val="001D6937"/>
    <w:rsid w:val="002204AE"/>
    <w:rsid w:val="002605D5"/>
    <w:rsid w:val="002749A4"/>
    <w:rsid w:val="002D27FE"/>
    <w:rsid w:val="003064CA"/>
    <w:rsid w:val="003C23A6"/>
    <w:rsid w:val="003D0109"/>
    <w:rsid w:val="004270D4"/>
    <w:rsid w:val="00460572"/>
    <w:rsid w:val="005872C3"/>
    <w:rsid w:val="005E0DE2"/>
    <w:rsid w:val="005F4B3E"/>
    <w:rsid w:val="00762E4C"/>
    <w:rsid w:val="00791ABC"/>
    <w:rsid w:val="00885EA2"/>
    <w:rsid w:val="00981BC5"/>
    <w:rsid w:val="009D3F45"/>
    <w:rsid w:val="00A01612"/>
    <w:rsid w:val="00A05349"/>
    <w:rsid w:val="00A90D9A"/>
    <w:rsid w:val="00BB7952"/>
    <w:rsid w:val="00BD731A"/>
    <w:rsid w:val="00BF7BEE"/>
    <w:rsid w:val="00D067B4"/>
    <w:rsid w:val="00DF709C"/>
    <w:rsid w:val="00EC69C3"/>
    <w:rsid w:val="00F07688"/>
    <w:rsid w:val="00FE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A9"/>
    <w:pPr>
      <w:ind w:left="720"/>
      <w:contextualSpacing/>
    </w:pPr>
  </w:style>
  <w:style w:type="table" w:styleId="TableGrid">
    <w:name w:val="Table Grid"/>
    <w:basedOn w:val="TableNormal"/>
    <w:uiPriority w:val="59"/>
    <w:rsid w:val="00A0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A9"/>
    <w:pPr>
      <w:ind w:left="720"/>
      <w:contextualSpacing/>
    </w:pPr>
  </w:style>
  <w:style w:type="table" w:styleId="TableGrid">
    <w:name w:val="Table Grid"/>
    <w:basedOn w:val="TableNormal"/>
    <w:uiPriority w:val="59"/>
    <w:rsid w:val="00A0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7680">
      <w:bodyDiv w:val="1"/>
      <w:marLeft w:val="0"/>
      <w:marRight w:val="0"/>
      <w:marTop w:val="0"/>
      <w:marBottom w:val="0"/>
      <w:divBdr>
        <w:top w:val="none" w:sz="0" w:space="0" w:color="auto"/>
        <w:left w:val="none" w:sz="0" w:space="0" w:color="auto"/>
        <w:bottom w:val="none" w:sz="0" w:space="0" w:color="auto"/>
        <w:right w:val="none" w:sz="0" w:space="0" w:color="auto"/>
      </w:divBdr>
    </w:div>
    <w:div w:id="1352757941">
      <w:bodyDiv w:val="1"/>
      <w:marLeft w:val="0"/>
      <w:marRight w:val="0"/>
      <w:marTop w:val="0"/>
      <w:marBottom w:val="0"/>
      <w:divBdr>
        <w:top w:val="none" w:sz="0" w:space="0" w:color="auto"/>
        <w:left w:val="none" w:sz="0" w:space="0" w:color="auto"/>
        <w:bottom w:val="none" w:sz="0" w:space="0" w:color="auto"/>
        <w:right w:val="none" w:sz="0" w:space="0" w:color="auto"/>
      </w:divBdr>
    </w:div>
    <w:div w:id="1465000618">
      <w:bodyDiv w:val="1"/>
      <w:marLeft w:val="0"/>
      <w:marRight w:val="0"/>
      <w:marTop w:val="0"/>
      <w:marBottom w:val="0"/>
      <w:divBdr>
        <w:top w:val="none" w:sz="0" w:space="0" w:color="auto"/>
        <w:left w:val="none" w:sz="0" w:space="0" w:color="auto"/>
        <w:bottom w:val="none" w:sz="0" w:space="0" w:color="auto"/>
        <w:right w:val="none" w:sz="0" w:space="0" w:color="auto"/>
      </w:divBdr>
    </w:div>
    <w:div w:id="1746731165">
      <w:bodyDiv w:val="1"/>
      <w:marLeft w:val="0"/>
      <w:marRight w:val="0"/>
      <w:marTop w:val="0"/>
      <w:marBottom w:val="0"/>
      <w:divBdr>
        <w:top w:val="none" w:sz="0" w:space="0" w:color="auto"/>
        <w:left w:val="none" w:sz="0" w:space="0" w:color="auto"/>
        <w:bottom w:val="none" w:sz="0" w:space="0" w:color="auto"/>
        <w:right w:val="none" w:sz="0" w:space="0" w:color="auto"/>
      </w:divBdr>
    </w:div>
    <w:div w:id="1997569417">
      <w:bodyDiv w:val="1"/>
      <w:marLeft w:val="0"/>
      <w:marRight w:val="0"/>
      <w:marTop w:val="0"/>
      <w:marBottom w:val="0"/>
      <w:divBdr>
        <w:top w:val="none" w:sz="0" w:space="0" w:color="auto"/>
        <w:left w:val="none" w:sz="0" w:space="0" w:color="auto"/>
        <w:bottom w:val="none" w:sz="0" w:space="0" w:color="auto"/>
        <w:right w:val="none" w:sz="0" w:space="0" w:color="auto"/>
      </w:divBdr>
    </w:div>
    <w:div w:id="20916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 May Ee</dc:creator>
  <cp:lastModifiedBy>Png May Ee</cp:lastModifiedBy>
  <cp:revision>13</cp:revision>
  <dcterms:created xsi:type="dcterms:W3CDTF">2017-12-17T13:34:00Z</dcterms:created>
  <dcterms:modified xsi:type="dcterms:W3CDTF">2017-12-22T12:28:00Z</dcterms:modified>
</cp:coreProperties>
</file>