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9535" w14:textId="77777777" w:rsidR="00E62F3E" w:rsidRPr="00214483" w:rsidRDefault="00E62F3E" w:rsidP="00E62F3E">
      <w:pPr>
        <w:spacing w:line="480" w:lineRule="auto"/>
        <w:jc w:val="center"/>
        <w:rPr>
          <w:rFonts w:ascii="Times New Roman" w:hAnsi="Times New Roman" w:cs="Times New Roman"/>
          <w:b/>
        </w:rPr>
      </w:pPr>
      <w:r w:rsidRPr="00214483">
        <w:rPr>
          <w:rFonts w:ascii="Times New Roman" w:hAnsi="Times New Roman" w:cs="Times New Roman"/>
          <w:b/>
        </w:rPr>
        <w:t>SUPPLEMENTAL MATERIALS:</w:t>
      </w:r>
    </w:p>
    <w:p w14:paraId="7EFB9F2E" w14:textId="1C16D746" w:rsidR="00F92929" w:rsidRPr="00214483" w:rsidRDefault="00E62F3E" w:rsidP="00F92929">
      <w:pPr>
        <w:spacing w:line="480" w:lineRule="auto"/>
        <w:rPr>
          <w:rFonts w:ascii="Times New Roman" w:hAnsi="Times New Roman" w:cs="Times New Roman"/>
          <w:b/>
        </w:rPr>
      </w:pPr>
      <w:r w:rsidRPr="00214483">
        <w:rPr>
          <w:rFonts w:ascii="Times New Roman" w:hAnsi="Times New Roman" w:cs="Times New Roman"/>
          <w:b/>
        </w:rPr>
        <w:t>MATERIALS &amp; METHODS:</w:t>
      </w:r>
    </w:p>
    <w:p w14:paraId="2DD57836" w14:textId="77777777" w:rsidR="00F92929" w:rsidRPr="00214483" w:rsidRDefault="00F92929" w:rsidP="00F92929">
      <w:pPr>
        <w:pStyle w:val="ListParagraph"/>
        <w:numPr>
          <w:ilvl w:val="0"/>
          <w:numId w:val="1"/>
        </w:numPr>
        <w:spacing w:line="480" w:lineRule="auto"/>
        <w:rPr>
          <w:rFonts w:ascii="Times New Roman" w:hAnsi="Times New Roman" w:cs="Times New Roman"/>
        </w:rPr>
      </w:pPr>
      <w:r w:rsidRPr="00214483">
        <w:rPr>
          <w:rFonts w:ascii="Times New Roman" w:hAnsi="Times New Roman" w:cs="Times New Roman"/>
          <w:b/>
          <w:i/>
        </w:rPr>
        <w:t>Sample collection</w:t>
      </w:r>
    </w:p>
    <w:p w14:paraId="44FED344" w14:textId="4EF8064F" w:rsidR="00F92929" w:rsidRPr="00214483" w:rsidRDefault="00F92929" w:rsidP="00A42690">
      <w:pPr>
        <w:spacing w:line="480" w:lineRule="auto"/>
        <w:rPr>
          <w:rFonts w:ascii="Times New Roman" w:hAnsi="Times New Roman" w:cs="Times New Roman"/>
        </w:rPr>
      </w:pPr>
      <w:r w:rsidRPr="00214483">
        <w:rPr>
          <w:rFonts w:ascii="Times New Roman" w:hAnsi="Times New Roman" w:cs="Times New Roman"/>
        </w:rPr>
        <w:t xml:space="preserve">In all, 1077 </w:t>
      </w:r>
      <w:r w:rsidRPr="00214483">
        <w:rPr>
          <w:rFonts w:ascii="Times New Roman" w:hAnsi="Times New Roman" w:cs="Times New Roman"/>
          <w:i/>
        </w:rPr>
        <w:t xml:space="preserve">Funisciurus </w:t>
      </w:r>
      <w:r w:rsidRPr="00214483">
        <w:rPr>
          <w:rFonts w:ascii="Times New Roman" w:hAnsi="Times New Roman" w:cs="Times New Roman"/>
        </w:rPr>
        <w:t xml:space="preserve">skin samples were collected: 377 </w:t>
      </w:r>
      <w:r w:rsidRPr="00214483">
        <w:rPr>
          <w:rFonts w:ascii="Times New Roman" w:hAnsi="Times New Roman" w:cs="Times New Roman"/>
          <w:i/>
        </w:rPr>
        <w:t>F. anerythrus</w:t>
      </w:r>
      <w:r w:rsidRPr="00214483">
        <w:rPr>
          <w:rFonts w:ascii="Times New Roman" w:hAnsi="Times New Roman" w:cs="Times New Roman"/>
        </w:rPr>
        <w:t>, 7</w:t>
      </w:r>
      <w:r w:rsidRPr="00214483">
        <w:rPr>
          <w:rFonts w:ascii="Times New Roman" w:hAnsi="Times New Roman" w:cs="Times New Roman"/>
          <w:i/>
        </w:rPr>
        <w:t xml:space="preserve"> bayoni</w:t>
      </w:r>
      <w:r w:rsidRPr="00214483">
        <w:rPr>
          <w:rFonts w:ascii="Times New Roman" w:hAnsi="Times New Roman" w:cs="Times New Roman"/>
        </w:rPr>
        <w:t>, 112</w:t>
      </w:r>
      <w:r w:rsidRPr="00214483">
        <w:rPr>
          <w:rFonts w:ascii="Times New Roman" w:hAnsi="Times New Roman" w:cs="Times New Roman"/>
          <w:i/>
        </w:rPr>
        <w:t xml:space="preserve"> carruthersi</w:t>
      </w:r>
      <w:r w:rsidRPr="00214483">
        <w:rPr>
          <w:rFonts w:ascii="Times New Roman" w:hAnsi="Times New Roman" w:cs="Times New Roman"/>
        </w:rPr>
        <w:t xml:space="preserve">, 252 </w:t>
      </w:r>
      <w:r w:rsidRPr="00214483">
        <w:rPr>
          <w:rFonts w:ascii="Times New Roman" w:hAnsi="Times New Roman" w:cs="Times New Roman"/>
          <w:i/>
        </w:rPr>
        <w:t>congicus</w:t>
      </w:r>
      <w:r w:rsidRPr="00214483">
        <w:rPr>
          <w:rFonts w:ascii="Times New Roman" w:hAnsi="Times New Roman" w:cs="Times New Roman"/>
        </w:rPr>
        <w:t>, 18</w:t>
      </w:r>
      <w:r w:rsidRPr="00214483">
        <w:rPr>
          <w:rFonts w:ascii="Times New Roman" w:hAnsi="Times New Roman" w:cs="Times New Roman"/>
          <w:i/>
        </w:rPr>
        <w:t xml:space="preserve"> isabella</w:t>
      </w:r>
      <w:r w:rsidRPr="00214483">
        <w:rPr>
          <w:rFonts w:ascii="Times New Roman" w:hAnsi="Times New Roman" w:cs="Times New Roman"/>
        </w:rPr>
        <w:t>, 84</w:t>
      </w:r>
      <w:r w:rsidRPr="00214483">
        <w:rPr>
          <w:rFonts w:ascii="Times New Roman" w:hAnsi="Times New Roman" w:cs="Times New Roman"/>
          <w:i/>
        </w:rPr>
        <w:t xml:space="preserve"> lemniscatus</w:t>
      </w:r>
      <w:r w:rsidRPr="00214483">
        <w:rPr>
          <w:rFonts w:ascii="Times New Roman" w:hAnsi="Times New Roman" w:cs="Times New Roman"/>
        </w:rPr>
        <w:t xml:space="preserve">, 2 </w:t>
      </w:r>
      <w:r w:rsidRPr="00214483">
        <w:rPr>
          <w:rFonts w:ascii="Times New Roman" w:hAnsi="Times New Roman" w:cs="Times New Roman"/>
          <w:i/>
        </w:rPr>
        <w:t>leonis</w:t>
      </w:r>
      <w:r w:rsidRPr="00214483">
        <w:rPr>
          <w:rFonts w:ascii="Times New Roman" w:hAnsi="Times New Roman" w:cs="Times New Roman"/>
        </w:rPr>
        <w:t xml:space="preserve">, 6 </w:t>
      </w:r>
      <w:r w:rsidRPr="00214483">
        <w:rPr>
          <w:rFonts w:ascii="Times New Roman" w:hAnsi="Times New Roman" w:cs="Times New Roman"/>
          <w:i/>
        </w:rPr>
        <w:t>leucogenys</w:t>
      </w:r>
      <w:r w:rsidRPr="00214483">
        <w:rPr>
          <w:rFonts w:ascii="Times New Roman" w:hAnsi="Times New Roman" w:cs="Times New Roman"/>
        </w:rPr>
        <w:t>, 207</w:t>
      </w:r>
      <w:r w:rsidRPr="00214483">
        <w:rPr>
          <w:rFonts w:ascii="Times New Roman" w:hAnsi="Times New Roman" w:cs="Times New Roman"/>
          <w:i/>
        </w:rPr>
        <w:t xml:space="preserve"> pyrropus</w:t>
      </w:r>
      <w:r w:rsidRPr="00214483">
        <w:rPr>
          <w:rFonts w:ascii="Times New Roman" w:hAnsi="Times New Roman" w:cs="Times New Roman"/>
        </w:rPr>
        <w:t xml:space="preserve">, 1 </w:t>
      </w:r>
      <w:r w:rsidRPr="00214483">
        <w:rPr>
          <w:rFonts w:ascii="Times New Roman" w:hAnsi="Times New Roman" w:cs="Times New Roman"/>
          <w:i/>
        </w:rPr>
        <w:t>substriatus</w:t>
      </w:r>
      <w:r w:rsidRPr="00214483">
        <w:rPr>
          <w:rFonts w:ascii="Times New Roman" w:hAnsi="Times New Roman" w:cs="Times New Roman"/>
        </w:rPr>
        <w:t xml:space="preserve">, and 11 </w:t>
      </w:r>
      <w:r w:rsidRPr="00214483">
        <w:rPr>
          <w:rFonts w:ascii="Times New Roman" w:hAnsi="Times New Roman" w:cs="Times New Roman"/>
          <w:i/>
        </w:rPr>
        <w:t xml:space="preserve">Funisciurus </w:t>
      </w:r>
      <w:r w:rsidRPr="00214483">
        <w:rPr>
          <w:rFonts w:ascii="Times New Roman" w:hAnsi="Times New Roman" w:cs="Times New Roman"/>
        </w:rPr>
        <w:t xml:space="preserve">specimens not identified to species level. A total of 748 samples were from the RMCA, and 329 were from the AMNH. </w:t>
      </w:r>
    </w:p>
    <w:p w14:paraId="369A620E" w14:textId="77777777" w:rsidR="0061257C" w:rsidRPr="00214483" w:rsidRDefault="0061257C" w:rsidP="0061257C">
      <w:pPr>
        <w:spacing w:line="480" w:lineRule="auto"/>
        <w:rPr>
          <w:rFonts w:ascii="Times New Roman" w:hAnsi="Times New Roman" w:cs="Times New Roman"/>
        </w:rPr>
      </w:pPr>
    </w:p>
    <w:p w14:paraId="65EBAD00" w14:textId="77777777" w:rsidR="00E62F3E" w:rsidRPr="00214483" w:rsidRDefault="00E62F3E" w:rsidP="00E62F3E">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DNA Quality Assessment Using Beta-Actin</w:t>
      </w:r>
    </w:p>
    <w:p w14:paraId="48225ED2" w14:textId="07F3D436" w:rsidR="00E62F3E" w:rsidRPr="00214483" w:rsidRDefault="00E62F3E" w:rsidP="00A42690">
      <w:pPr>
        <w:spacing w:line="480" w:lineRule="auto"/>
        <w:rPr>
          <w:rFonts w:ascii="Times New Roman" w:hAnsi="Times New Roman" w:cs="Times New Roman"/>
        </w:rPr>
      </w:pPr>
      <w:r w:rsidRPr="00214483">
        <w:rPr>
          <w:rFonts w:ascii="Times New Roman" w:hAnsi="Times New Roman" w:cs="Times New Roman"/>
        </w:rPr>
        <w:t>The forward primer for the beta-actin amplicon was 5’–CCCTGAAGTACCCCATTGAA–3’ and the reverse primer was 5’–CTTGAAGGTCTCAAACATGATCT–3’ (</w:t>
      </w:r>
      <w:r w:rsidRPr="00214483">
        <w:rPr>
          <w:rFonts w:ascii="Times New Roman" w:eastAsia="Times New Roman" w:hAnsi="Times New Roman" w:cs="Times New Roman"/>
        </w:rPr>
        <w:t xml:space="preserve">Integrated DNA Technologies Inc., Coralville, Iowa, USA). </w:t>
      </w:r>
      <w:r w:rsidRPr="00214483">
        <w:rPr>
          <w:rFonts w:ascii="Times New Roman" w:hAnsi="Times New Roman" w:cs="Times New Roman"/>
        </w:rPr>
        <w:t xml:space="preserve">All beta-actin PCR reactions were run using the </w:t>
      </w:r>
      <w:r w:rsidR="00656C83" w:rsidRPr="00214483">
        <w:rPr>
          <w:rFonts w:ascii="Times New Roman" w:hAnsi="Times New Roman" w:cs="Times New Roman"/>
        </w:rPr>
        <w:t>QIAGEN</w:t>
      </w:r>
      <w:r w:rsidRPr="00214483">
        <w:rPr>
          <w:rFonts w:ascii="Times New Roman" w:hAnsi="Times New Roman" w:cs="Times New Roman"/>
        </w:rPr>
        <w:t xml:space="preserve"> Multiplex PCR Kit (Hilden, Germany) and contained 1.5 </w:t>
      </w:r>
      <w:proofErr w:type="spellStart"/>
      <w:r w:rsidR="008676D6" w:rsidRPr="00214483">
        <w:rPr>
          <w:rFonts w:ascii="Times New Roman" w:eastAsia="Times New Roman" w:hAnsi="Times New Roman" w:cs="Times New Roman"/>
        </w:rPr>
        <w:t>μl</w:t>
      </w:r>
      <w:proofErr w:type="spellEnd"/>
      <w:r w:rsidRPr="00214483">
        <w:rPr>
          <w:rFonts w:ascii="Times New Roman" w:hAnsi="Times New Roman" w:cs="Times New Roman"/>
        </w:rPr>
        <w:t xml:space="preserve"> of template DNA, 1 </w:t>
      </w:r>
      <w:proofErr w:type="spellStart"/>
      <w:r w:rsidR="008676D6" w:rsidRPr="00214483">
        <w:rPr>
          <w:rFonts w:ascii="Times New Roman" w:eastAsia="Times New Roman" w:hAnsi="Times New Roman" w:cs="Times New Roman"/>
        </w:rPr>
        <w:t>μl</w:t>
      </w:r>
      <w:proofErr w:type="spellEnd"/>
      <w:r w:rsidRPr="00214483">
        <w:rPr>
          <w:rFonts w:ascii="Times New Roman" w:hAnsi="Times New Roman" w:cs="Times New Roman"/>
        </w:rPr>
        <w:t xml:space="preserve"> of 1 </w:t>
      </w:r>
      <w:r w:rsidRPr="00214483">
        <w:rPr>
          <w:rFonts w:ascii="Times New Roman" w:eastAsia="Times New Roman" w:hAnsi="Times New Roman" w:cs="Times New Roman"/>
        </w:rPr>
        <w:t xml:space="preserve">μM primer for both forward and reverse primers, </w:t>
      </w:r>
      <w:r w:rsidR="008676D6" w:rsidRPr="00214483">
        <w:rPr>
          <w:rFonts w:ascii="Times New Roman" w:eastAsia="Times New Roman" w:hAnsi="Times New Roman" w:cs="Times New Roman"/>
        </w:rPr>
        <w:t xml:space="preserve">5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2x </w:t>
      </w:r>
      <w:r w:rsidR="00656C83" w:rsidRPr="00214483">
        <w:rPr>
          <w:rFonts w:ascii="Times New Roman" w:hAnsi="Times New Roman" w:cs="Times New Roman"/>
        </w:rPr>
        <w:t xml:space="preserve">QIAGEN </w:t>
      </w:r>
      <w:r w:rsidRPr="00214483">
        <w:rPr>
          <w:rFonts w:ascii="Times New Roman" w:eastAsia="Times New Roman" w:hAnsi="Times New Roman" w:cs="Times New Roman"/>
        </w:rPr>
        <w:t xml:space="preserve">Multiplex PCR Master Mix, </w:t>
      </w:r>
      <w:r w:rsidR="008676D6" w:rsidRPr="00214483">
        <w:rPr>
          <w:rFonts w:ascii="Times New Roman" w:eastAsia="Times New Roman" w:hAnsi="Times New Roman" w:cs="Times New Roman"/>
        </w:rPr>
        <w:t xml:space="preserve">1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5x Q-Solution, </w:t>
      </w:r>
      <w:r w:rsidR="008676D6" w:rsidRPr="00214483">
        <w:rPr>
          <w:rFonts w:ascii="Times New Roman" w:eastAsia="Times New Roman" w:hAnsi="Times New Roman" w:cs="Times New Roman"/>
        </w:rPr>
        <w:t xml:space="preserve">0.4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10 mg/</w:t>
      </w:r>
      <w:r w:rsidR="008676D6" w:rsidRPr="00214483">
        <w:rPr>
          <w:rFonts w:ascii="Times New Roman" w:eastAsia="Times New Roman" w:hAnsi="Times New Roman" w:cs="Times New Roman"/>
        </w:rPr>
        <w:t>ml</w:t>
      </w:r>
      <w:r w:rsidRPr="00214483">
        <w:rPr>
          <w:rFonts w:ascii="Times New Roman" w:eastAsia="Times New Roman" w:hAnsi="Times New Roman" w:cs="Times New Roman"/>
        </w:rPr>
        <w:t xml:space="preserve"> bovine serum albumin</w:t>
      </w:r>
      <w:r w:rsidR="008676D6" w:rsidRPr="00214483">
        <w:rPr>
          <w:rFonts w:ascii="Times New Roman" w:eastAsia="Times New Roman" w:hAnsi="Times New Roman" w:cs="Times New Roman"/>
        </w:rPr>
        <w:t xml:space="preserve">, and 1.1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w:t>
      </w:r>
      <w:proofErr w:type="spellStart"/>
      <w:r w:rsidRPr="00214483">
        <w:rPr>
          <w:rFonts w:ascii="Times New Roman" w:eastAsia="Times New Roman" w:hAnsi="Times New Roman" w:cs="Times New Roman"/>
        </w:rPr>
        <w:t>RNase</w:t>
      </w:r>
      <w:proofErr w:type="spellEnd"/>
      <w:r w:rsidRPr="00214483">
        <w:rPr>
          <w:rFonts w:ascii="Times New Roman" w:eastAsia="Times New Roman" w:hAnsi="Times New Roman" w:cs="Times New Roman"/>
        </w:rPr>
        <w:t xml:space="preserve">-free water. PCR reactions were run on 96-well plates with one negative using 1.5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w:t>
      </w:r>
      <w:r w:rsidR="00656C83" w:rsidRPr="00214483">
        <w:rPr>
          <w:rFonts w:ascii="Times New Roman" w:hAnsi="Times New Roman" w:cs="Times New Roman"/>
        </w:rPr>
        <w:t xml:space="preserve">QIAGEN </w:t>
      </w:r>
      <w:r w:rsidRPr="00214483">
        <w:rPr>
          <w:rFonts w:ascii="Times New Roman" w:eastAsia="Times New Roman" w:hAnsi="Times New Roman" w:cs="Times New Roman"/>
        </w:rPr>
        <w:t xml:space="preserve">AE Elution buffer (Hilden, Germany) in place of template DNA. The reaction was run on a MJ Research PTC-200 </w:t>
      </w:r>
      <w:proofErr w:type="spellStart"/>
      <w:r w:rsidRPr="00214483">
        <w:rPr>
          <w:rFonts w:ascii="Times New Roman" w:eastAsia="Times New Roman" w:hAnsi="Times New Roman" w:cs="Times New Roman"/>
        </w:rPr>
        <w:t>Peltier</w:t>
      </w:r>
      <w:proofErr w:type="spellEnd"/>
      <w:r w:rsidRPr="00214483">
        <w:rPr>
          <w:rFonts w:ascii="Times New Roman" w:eastAsia="Times New Roman" w:hAnsi="Times New Roman" w:cs="Times New Roman"/>
        </w:rPr>
        <w:t xml:space="preserve"> Thermal Cycler (MJ Research Inc., Waltham, Massachusetts, USA) with thermal cycling conditions including initial denaturation for 15 mins at 95</w:t>
      </w:r>
      <w:r w:rsidRPr="00214483">
        <w:rPr>
          <w:rFonts w:ascii="Times New Roman" w:hAnsi="Times New Roman" w:cs="Times New Roman"/>
        </w:rPr>
        <w:t xml:space="preserve">°C, followed by 11 cycles of 30 s denaturation at 94°C, 90 s annealing phase at 60°C, and 60 s extension at 72°C, then 31 cycles of 30 s denaturation at 94°C, 90 s annealing at 55°C, and 60 s extension at 72°C, followed by a final extension for 30 mins at 60°C. All PCR products were stored at -20°C. PCR </w:t>
      </w:r>
      <w:r w:rsidRPr="00214483">
        <w:rPr>
          <w:rFonts w:ascii="Times New Roman" w:hAnsi="Times New Roman" w:cs="Times New Roman"/>
        </w:rPr>
        <w:lastRenderedPageBreak/>
        <w:t>products were run on a 2% agarose gel and visualized using SYBR Safe DNA gel stain (Invitrogen, Eugene, Oregon, USA).</w:t>
      </w:r>
    </w:p>
    <w:p w14:paraId="3020D8AF" w14:textId="77777777" w:rsidR="00A42690" w:rsidRPr="00214483" w:rsidRDefault="00A42690" w:rsidP="00A42690">
      <w:pPr>
        <w:spacing w:line="480" w:lineRule="auto"/>
        <w:rPr>
          <w:rFonts w:ascii="Times New Roman" w:hAnsi="Times New Roman" w:cs="Times New Roman"/>
        </w:rPr>
      </w:pPr>
    </w:p>
    <w:p w14:paraId="699C7461" w14:textId="50223D29" w:rsidR="00E62F3E" w:rsidRPr="00214483" w:rsidRDefault="005612FA" w:rsidP="00E62F3E">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MPXV Screening</w:t>
      </w:r>
    </w:p>
    <w:p w14:paraId="7FF87AC8" w14:textId="5E0457ED" w:rsidR="00AF2959" w:rsidRPr="00214483" w:rsidRDefault="00EA06DB" w:rsidP="00D306A0">
      <w:pPr>
        <w:spacing w:line="480" w:lineRule="auto"/>
        <w:rPr>
          <w:rFonts w:ascii="Times New Roman" w:eastAsia="Times New Roman" w:hAnsi="Times New Roman" w:cs="Times New Roman"/>
        </w:rPr>
      </w:pPr>
      <w:r w:rsidRPr="00214483">
        <w:rPr>
          <w:rFonts w:ascii="Times New Roman" w:hAnsi="Times New Roman" w:cs="Times New Roman"/>
        </w:rPr>
        <w:t xml:space="preserve">Both amplicons G2R_G and G2R_WA were from the conservative tumor necrosis factor (TNF) receptor gene located within the inverted terminal repeat (ITR) region. </w:t>
      </w:r>
      <w:r w:rsidR="00D306A0" w:rsidRPr="00214483">
        <w:rPr>
          <w:rFonts w:ascii="Times New Roman" w:hAnsi="Times New Roman" w:cs="Times New Roman"/>
        </w:rPr>
        <w:t xml:space="preserve">For the G2R_G amplicon, we used the same reverse primer designed by Li </w:t>
      </w:r>
      <w:r w:rsidR="00D306A0" w:rsidRPr="00214483">
        <w:rPr>
          <w:rFonts w:ascii="Times New Roman" w:hAnsi="Times New Roman" w:cs="Times New Roman"/>
          <w:i/>
        </w:rPr>
        <w:t>et al.</w:t>
      </w:r>
      <w:r w:rsidR="00D306A0" w:rsidRPr="00214483">
        <w:rPr>
          <w:rFonts w:ascii="Times New Roman" w:hAnsi="Times New Roman" w:cs="Times New Roman"/>
        </w:rPr>
        <w:t xml:space="preserve"> </w:t>
      </w:r>
      <w:r w:rsidR="00D306A0"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"10.1016/j.jviromet.2010.07.012", "author" : [ { "dropping-particle" : "", "family" : "Li", "given" : "Yu", "non-dropping-particle" : "", "parse-names" : false, "suffix" : "" }, { "dropping-particle" : "", "family" : "Zhao", "given" : "Hui", "non-dropping-particle" : "", "parse-names" : false, "suffix" : "" }, { "dropping-particle" : "", "family" : "Wilkins", "given" : "Kimberly", "non-dropping-particle" : "", "parse-names" : false, "suffix" : "" }, { "dropping-particle" : "", "family" : "Hughes", "given" : "Christine", "non-dropping-particle" : "", "parse-names" : false, "suffix" : "" }, { "dropping-particle" : "", "family" : "Damon", "given" : "Inger K", "non-dropping-particle" : "", "parse-names" : false, "suffix" : "" } ], "container-title" : "Journal of virological methods", "id" : "ITEM-1", "issued" : { "date-parts" : [ [ "2010" ] ] }, "page" : "223-227", "title" : "Real-time PCR assays for the specific detection of monkeypox virus West African and Congo Basin strain DNA", "type" : "article-journal", "volume" : "169" }, "uris" : [ "http://www.mendeley.com/documents/?uuid=9a0134b0-13ad-482b-b681-3a4689ddfd88" ] } ], "mendeley" : { "formattedCitation" : "(1)", "plainTextFormattedCitation" : "(1)", "previouslyFormattedCitation" : "(1)"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(1)</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5’–GCTATCACATAATCTGGAAGCGTA–3’. Primer3 version 4.0.0 </w:t>
      </w:r>
      <w:r w:rsidR="00D306A0"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"10.1093/nar/gks596", "ISBN" : "1362-4962 (Electronic)\\r0305-1048 (Linking)", "ISSN" : "03051048", "PMID" : "22730293", "abstract" : "Polymerase chain reaction (PCR) is a basic molecular biology technique with a multiplicity of uses, including deoxyribonucleic acid cloning and sequencing, functional analysis of genes, diagnosis of diseases, genotyping and discovery of genetic variants. Reliable primer design is crucial for successful PCR, and for over a decade, the open-source Primer3 software has been widely used for primer design, often in high-throughput genomics applications. It has also been incorporated into numerous publicly available software packages and web services. During this period, we have greatly expanded Primer3's functionality. In this article, we describe Primer3's current capabilities, emphasizing recent improvements. The most notable enhancements incorporate more accurate thermodynamic models in the primer design process, both to improve melting temperature prediction and to reduce the likelihood that primers will form hairpins or dimers. Additional enhancements include more precise control of primer placement-a change motivated partly by opportunities to use whole-genome sequences to improve primer specificity. We also added features to increase ease of use, including the ability to save and re-use parameter settings and the ability to require that individual primers not be used in more than one primer pair. We have made the core code more modular and provided cleaner programming interfaces to further ease integration with other software. These improvements position Primer3 for continued use with genome-scale data in the decade ahead.", "author" : [ { "dropping-particle" : "", "family" : "Untergasser", "given" : "Andreas", "non-dropping-particle" : "", "parse-names" : false, "suffix" : "" }, { "dropping-particle" : "", "family" : "Cutcutache", "given" : "Ioana", "non-dropping-particle" : "", "parse-names" : false, "suffix" : "" }, { "dropping-particle" : "", "family" : "Koressaar", "given" : "Triinu", "non-dropping-particle" : "", "parse-names" : false, "suffix" : "" }, { "dropping-particle" : "", "family" : "Ye", "given" : "Jian", "non-dropping-particle" : "", "parse-names" : false, "suffix" : "" }, { "dropping-particle" : "", "family" : "Faircloth", "given" : "Brant C.", "non-dropping-particle" : "", "parse-names" : false, "suffix" : "" }, { "dropping-particle" : "", "family" : "Remm", "given" : "Maido", "non-dropping-particle" : "", "parse-names" : false, "suffix" : "" }, { "dropping-particle" : "", "family" : "Rozen", "given" : "Steven G.", "non-dropping-particle" : "", "parse-names" : false, "suffix" : "" } ], "container-title" : "Nucleic Acids Research", "id" : "ITEM-1", "issue" : "15", "issued" : { "date-parts" : [ [ "2012" ] ] }, "page" : "1-12", "title" : "Primer3-new capabilities and interfaces", "type" : "article-journal", "volume" : "40" }, "uris" : [ "http://www.mendeley.com/documents/?uuid=5662ffaf-f3e6-450b-8c02-35d6d6045fcf" ] }, { "id" : "ITEM-2", "itemData" : { "DOI" : "10.1093/bioinformatics/btm091", "ISBN" : "1367-4803", "ISSN" : "13674803", "PMID" : "17379693", "abstract" : "The determination of annealing temperature is a critical step in PCR design. This parameter is typically derived from the melting temperature of the PCR primers, so for successful PCR work it is important to determine the melting temperature of primer accurately. We introduced several enhancements in the widely used primer design program Primer3. The improvements include a formula for calculating melting temperature and a salt correction formula. Also, the new version can take into account the effects of divalent cations, which are included in most PCR buffers. Another modification enables using lowercase masked template sequences for primer design. Availability: Features described in this article have been implemented into the development code of Primer3 and will be available in future versions (version 1.1 and newer) of Primer3. Also, a modified version is compiled under the name of mPrimer3 which is distributed independently. The web-based version of mPrimer3 is available at http://bioinfo.ebc.ee/mprimer3/ and the binary code is freely downloadable from the URL http://bioinfo.ebc.ee/download/.", "author" : [ { "dropping-particle" : "", "family" : "Koressaar", "given" : "Triinu", "non-dropping-particle" : "", "parse-names" : false, "suffix" : "" }, { "dropping-particle" : "", "family" : "Remm", "given" : "Maido", "non-dropping-particle" : "", "parse-names" : false, "suffix" : "" } ], "container-title" : "Bioinformatics", "id" : "ITEM-2", "issue" : "10", "issued" : { "date-parts" : [ [ "2007" ] ] }, "page" : "1289-1291", "title" : "Enhancements and modifications of primer design program Primer3", "type" : "article-journal", "volume" : "23" }, "uris" : [ "http://www.mendeley.com/documents/?uuid=3b39f716-4ee7-4279-be4d-77c3e3de766e" ] } ], "mendeley" : { "formattedCitation" : "(2,3)", "plainTextFormattedCitation" : "(2,3)", "previouslyFormattedCitation" : "(2,3)"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(2,3)</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was used to create a forward primer for G2R_G:  5’–GGAAGAGATATAGCACCACATGC–3’. For the G2R_WA amplicon, we used a forward primer that was almost identical to that used in Li </w:t>
      </w:r>
      <w:r w:rsidR="00D306A0" w:rsidRPr="00214483">
        <w:rPr>
          <w:rFonts w:ascii="Times New Roman" w:hAnsi="Times New Roman" w:cs="Times New Roman"/>
          <w:i/>
        </w:rPr>
        <w:t>et al.</w:t>
      </w:r>
      <w:r w:rsidR="00D306A0" w:rsidRPr="00214483">
        <w:rPr>
          <w:rFonts w:ascii="Times New Roman" w:hAnsi="Times New Roman" w:cs="Times New Roman"/>
        </w:rPr>
        <w:t xml:space="preserve"> </w:t>
      </w:r>
      <w:r w:rsidR="00D306A0"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"10.1016/j.jviromet.2010.07.012", "author" : [ { "dropping-particle" : "", "family" : "Li", "given" : "Yu", "non-dropping-particle" : "", "parse-names" : false, "suffix" : "" }, { "dropping-particle" : "", "family" : "Zhao", "given" : "Hui", "non-dropping-particle" : "", "parse-names" : false, "suffix" : "" }, { "dropping-particle" : "", "family" : "Wilkins", "given" : "Kimberly", "non-dropping-particle" : "", "parse-names" : false, "suffix" : "" }, { "dropping-particle" : "", "family" : "Hughes", "given" : "Christine", "non-dropping-particle" : "", "parse-names" : false, "suffix" : "" }, { "dropping-particle" : "", "family" : "Damon", "given" : "Inger K", "non-dropping-particle" : "", "parse-names" : false, "suffix" : "" } ], "container-title" : "Journal of virological methods", "id" : "ITEM-1", "issued" : { "date-parts" : [ [ "2010" ] ] }, "page" : "223-227", "title" : "Real-time PCR assays for the specific detection of monkeypox virus West African and Congo Basin strain DNA", "type" : "article-journal", "volume" : "169" }, "uris" : [ "http://www.mendeley.com/documents/?uuid=9a0134b0-13ad-482b-b681-3a4689ddfd88" ] } ], "mendeley" : { "formattedCitation" : "(1)", "plainTextFormattedCitation" : "(1)", "previouslyFormattedCitation" : "(1)"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(1)</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but was shifted by 1-bp for a forward primer of 5’–</w:t>
      </w:r>
      <w:r w:rsidR="00D306A0" w:rsidRPr="00214483">
        <w:rPr>
          <w:rFonts w:ascii="Times New Roman" w:eastAsia="Times New Roman" w:hAnsi="Times New Roman" w:cs="Times New Roman"/>
        </w:rPr>
        <w:t>TCACACCGTCTCTTCCACAG</w:t>
      </w:r>
      <w:r w:rsidR="00D306A0" w:rsidRPr="00214483">
        <w:rPr>
          <w:rFonts w:ascii="Times New Roman" w:hAnsi="Times New Roman" w:cs="Times New Roman"/>
        </w:rPr>
        <w:t>–</w:t>
      </w:r>
      <w:r w:rsidR="00D306A0" w:rsidRPr="00214483">
        <w:rPr>
          <w:rFonts w:ascii="Times New Roman" w:eastAsia="Times New Roman" w:hAnsi="Times New Roman" w:cs="Times New Roman"/>
        </w:rPr>
        <w:t xml:space="preserve">3’. Primer3 </w:t>
      </w:r>
      <w:r w:rsidR="00D306A0"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"10.1093/nar/gks596", "ISBN" : "1362-4962 (Electronic)\\r0305-1048 (Linking)", "ISSN" : "03051048", "PMID" : "22730293", "abstract" : "Polymerase chain reaction (PCR) is a basic molecular biology technique with a multiplicity of uses, including deoxyribonucleic acid cloning and sequencing, functional analysis of genes, diagnosis of diseases, genotyping and discovery of genetic variants. Reliable primer design is crucial for successful PCR, and for over a decade, the open-source Primer3 software has been widely used for primer design, often in high-throughput genomics applications. It has also been incorporated into numerous publicly available software packages and web services. During this period, we have greatly expanded Primer3's functionality. In this article, we describe Primer3's current capabilities, emphasizing recent improvements. The most notable enhancements incorporate more accurate thermodynamic models in the primer design process, both to improve melting temperature prediction and to reduce the likelihood that primers will form hairpins or dimers. Additional enhancements include more precise control of primer placement-a change motivated partly by opportunities to use whole-genome sequences to improve primer specificity. We also added features to increase ease of use, including the ability to save and re-use parameter settings and the ability to require that individual primers not be used in more than one primer pair. We have made the core code more modular and provided cleaner programming interfaces to further ease integration with other software. These improvements position Primer3 for continued use with genome-scale data in the decade ahead.", "author" : [ { "dropping-particle" : "", "family" : "Untergasser", "given" : "Andreas", "non-dropping-particle" : "", "parse-names" : false, "suffix" : "" }, { "dropping-particle" : "", "family" : "Cutcutache", "given" : "Ioana", "non-dropping-particle" : "", "parse-names" : false, "suffix" : "" }, { "dropping-particle" : "", "family" : "Koressaar", "given" : "Triinu", "non-dropping-particle" : "", "parse-names" : false, "suffix" : "" }, { "dropping-particle" : "", "family" : "Ye", "given" : "Jian", "non-dropping-particle" : "", "parse-names" : false, "suffix" : "" }, { "dropping-particle" : "", "family" : "Faircloth", "given" : "Brant C.", "non-dropping-particle" : "", "parse-names" : false, "suffix" : "" }, { "dropping-particle" : "", "family" : "Remm", "given" : "Maido", "non-dropping-particle" : "", "parse-names" : false, "suffix" : "" }, { "dropping-particle" : "", "family" : "Rozen", "given" : "Steven G.", "non-dropping-particle" : "", "parse-names" : false, "suffix" : "" } ], "container-title" : "Nucleic Acids Research", "id" : "ITEM-1", "issue" : "15", "issued" : { "date-parts" : [ [ "2012" ] ] }, "page" : "1-12", "title" : "Primer3-new capabilities and interfaces", "type" : "article-journal", "volume" : "40" }, "uris" : [ "http://www.mendeley.com/documents/?uuid=5662ffaf-f3e6-450b-8c02-35d6d6045fcf" ] }, { "id" : "ITEM-2", "itemData" : { "DOI" : "10.1093/bioinformatics/btm091", "ISBN" : "1367-4803", "ISSN" : "13674803", "PMID" : "17379693", "abstract" : "The determination of annealing temperature is a critical step in PCR design. This parameter is typically derived from the melting temperature of the PCR primers, so for successful PCR work it is important to determine the melting temperature of primer accurately. We introduced several enhancements in the widely used primer design program Primer3. The improvements include a formula for calculating melting temperature and a salt correction formula. Also, the new version can take into account the effects of divalent cations, which are included in most PCR buffers. Another modification enables using lowercase masked template sequences for primer design. Availability: Features described in this article have been implemented into the development code of Primer3 and will be available in future versions (version 1.1 and newer) of Primer3. Also, a modified version is compiled under the name of mPrimer3 which is distributed independently. The web-based version of mPrimer3 is available at http://bioinfo.ebc.ee/mprimer3/ and the binary code is freely downloadable from the URL http://bioinfo.ebc.ee/download/.", "author" : [ { "dropping-particle" : "", "family" : "Koressaar", "given" : "Triinu", "non-dropping-particle" : "", "parse-names" : false, "suffix" : "" }, { "dropping-particle" : "", "family" : "Remm", "given" : "Maido", "non-dropping-particle" : "", "parse-names" : false, "suffix" : "" } ], "container-title" : "Bioinformatics", "id" : "ITEM-2", "issue" : "10", "issued" : { "date-parts" : [ [ "2007" ] ] }, "page" : "1289-1291", "title" : "Enhancements and modifications of primer design program Primer3", "type" : "article-journal", "volume" : "23" }, "uris" : [ "http://www.mendeley.com/documents/?uuid=3b39f716-4ee7-4279-be4d-77c3e3de766e" ] } ], "mendeley" : { "formattedCitation" : "(2,3)", "plainTextFormattedCitation" : "(2,3)", "previouslyFormattedCitation" : "(2,3)" }, "properties" : { "noteIndex" : 0 }, "schema" : "https://github.com/citation-style-language/schema/raw/master/csl-citation.json" }</w:instrText>
      </w:r>
      <w:r w:rsidR="00D306A0" w:rsidRPr="00214483">
        <w:rPr>
          <w:rFonts w:ascii="Times New Roman" w:hAnsi="Times New Roman" w:cs="Times New Roman"/>
        </w:rPr>
        <w:fldChar w:fldCharType="separate"/>
      </w:r>
      <w:r w:rsidR="00095B5D" w:rsidRPr="00214483">
        <w:rPr>
          <w:rFonts w:ascii="Times New Roman" w:hAnsi="Times New Roman" w:cs="Times New Roman"/>
          <w:noProof/>
        </w:rPr>
        <w:t>(2,3)</w:t>
      </w:r>
      <w:r w:rsidR="00D306A0" w:rsidRPr="00214483">
        <w:rPr>
          <w:rFonts w:ascii="Times New Roman" w:hAnsi="Times New Roman" w:cs="Times New Roman"/>
        </w:rPr>
        <w:fldChar w:fldCharType="end"/>
      </w:r>
      <w:r w:rsidR="00D306A0" w:rsidRPr="00214483">
        <w:rPr>
          <w:rFonts w:ascii="Times New Roman" w:hAnsi="Times New Roman" w:cs="Times New Roman"/>
        </w:rPr>
        <w:t xml:space="preserve"> </w:t>
      </w:r>
      <w:r w:rsidR="00D306A0" w:rsidRPr="00214483">
        <w:rPr>
          <w:rFonts w:ascii="Times New Roman" w:eastAsia="Times New Roman" w:hAnsi="Times New Roman" w:cs="Times New Roman"/>
        </w:rPr>
        <w:t>was used to create the optimal reverse primer for G2R_WA: 5’</w:t>
      </w:r>
      <w:r w:rsidR="00D306A0" w:rsidRPr="00214483">
        <w:rPr>
          <w:rFonts w:ascii="Times New Roman" w:hAnsi="Times New Roman" w:cs="Times New Roman"/>
        </w:rPr>
        <w:t>–</w:t>
      </w:r>
      <w:r w:rsidR="00D306A0" w:rsidRPr="00214483">
        <w:rPr>
          <w:rFonts w:ascii="Times New Roman" w:eastAsia="Times New Roman" w:hAnsi="Times New Roman" w:cs="Times New Roman"/>
        </w:rPr>
        <w:t>ACGATGTGTCGTTGACTGGA</w:t>
      </w:r>
      <w:r w:rsidR="00D306A0" w:rsidRPr="00214483">
        <w:rPr>
          <w:rFonts w:ascii="Times New Roman" w:hAnsi="Times New Roman" w:cs="Times New Roman"/>
        </w:rPr>
        <w:t>–</w:t>
      </w:r>
      <w:r w:rsidR="00D306A0" w:rsidRPr="00214483">
        <w:rPr>
          <w:rFonts w:ascii="Times New Roman" w:eastAsia="Times New Roman" w:hAnsi="Times New Roman" w:cs="Times New Roman"/>
        </w:rPr>
        <w:t xml:space="preserve">3’ (Integrated DNA Technologies Inc., Coralville, Iowa, USA and </w:t>
      </w:r>
      <w:proofErr w:type="spellStart"/>
      <w:r w:rsidR="00D306A0" w:rsidRPr="00214483">
        <w:rPr>
          <w:rFonts w:ascii="Times New Roman" w:eastAsia="Times New Roman" w:hAnsi="Times New Roman" w:cs="Times New Roman"/>
        </w:rPr>
        <w:t>ValueGene</w:t>
      </w:r>
      <w:proofErr w:type="spellEnd"/>
      <w:r w:rsidR="00D306A0" w:rsidRPr="00214483">
        <w:rPr>
          <w:rFonts w:ascii="Times New Roman" w:eastAsia="Times New Roman" w:hAnsi="Times New Roman" w:cs="Times New Roman"/>
        </w:rPr>
        <w:t xml:space="preserve"> Inc., San Diego, California, USA). </w:t>
      </w:r>
      <w:r w:rsidR="00AF2959" w:rsidRPr="00214483">
        <w:rPr>
          <w:rFonts w:ascii="Times New Roman" w:hAnsi="Times New Roman" w:cs="Times New Roman"/>
        </w:rPr>
        <w:t xml:space="preserve">G2R_G contains one single nucleotide polymorphism and G2R_WA includes a 3-bp deletion in the Congo-Basin strain to allow the distinction between the West African and the Congo Basin strains. </w:t>
      </w:r>
      <w:r w:rsidR="00AF2959" w:rsidRPr="00214483">
        <w:rPr>
          <w:rFonts w:ascii="Times New Roman" w:eastAsia="Times New Roman" w:hAnsi="Times New Roman" w:cs="Times New Roman"/>
        </w:rPr>
        <w:t xml:space="preserve">G2R_G is a 123-bp amplicon, and G2R_WA is a 101-bp amplicon with the Congo Basin Strain deletion or a 104-bp amplicon for the West African strain. </w:t>
      </w:r>
    </w:p>
    <w:p w14:paraId="4D8A7122" w14:textId="77777777" w:rsidR="0079069B" w:rsidRPr="00214483" w:rsidRDefault="0079069B" w:rsidP="00D306A0">
      <w:pPr>
        <w:spacing w:line="480" w:lineRule="auto"/>
        <w:rPr>
          <w:rFonts w:ascii="Times New Roman" w:eastAsia="Times New Roman" w:hAnsi="Times New Roman" w:cs="Times New Roman"/>
        </w:rPr>
      </w:pPr>
    </w:p>
    <w:p w14:paraId="4D30E6C1" w14:textId="1E31D449" w:rsidR="00AF2959" w:rsidRPr="00214483" w:rsidRDefault="0079069B" w:rsidP="00D306A0">
      <w:pPr>
        <w:spacing w:line="480" w:lineRule="auto"/>
        <w:rPr>
          <w:rFonts w:ascii="Times New Roman" w:eastAsia="Times New Roman" w:hAnsi="Times New Roman" w:cs="Times New Roman"/>
        </w:rPr>
      </w:pPr>
      <w:r w:rsidRPr="00214483">
        <w:rPr>
          <w:rFonts w:ascii="Times New Roman" w:eastAsia="Times New Roman" w:hAnsi="Times New Roman" w:cs="Times New Roman"/>
        </w:rPr>
        <w:t xml:space="preserve">Four negatives using </w:t>
      </w:r>
      <w:r w:rsidR="008676D6" w:rsidRPr="00214483">
        <w:rPr>
          <w:rFonts w:ascii="Times New Roman" w:eastAsia="Times New Roman" w:hAnsi="Times New Roman" w:cs="Times New Roman"/>
        </w:rPr>
        <w:t xml:space="preserve">1 </w:t>
      </w:r>
      <w:proofErr w:type="spellStart"/>
      <w:r w:rsidR="008676D6"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QIAGEN Elution AE buffer in place of template DNA were run on each plate. For the first amplicon G2R_G, no positive controls were used to prevent contamination. For the second amplicon G2R_WA, an altered positive control oligo was used (Integrated DNA Technologies Inc., Coralville, Iowa, USA). This positive control oligo had a 5-bp section in the middle altered in sequence to allow discrimination between positive control contamination and wild positives. Six serial dilutions of the positive control were placed on each plate for the G2R_WA amplicon at concentrations of 0.1nM, 0.01 nM, 1 pM, 0.1 pM, 0.01 pM, and 0.001 pM.</w:t>
      </w:r>
    </w:p>
    <w:p w14:paraId="50B58827" w14:textId="77777777" w:rsidR="0079069B" w:rsidRPr="00214483" w:rsidRDefault="0079069B" w:rsidP="00D306A0">
      <w:pPr>
        <w:spacing w:line="480" w:lineRule="auto"/>
        <w:rPr>
          <w:rFonts w:ascii="Times New Roman" w:eastAsia="Times New Roman" w:hAnsi="Times New Roman" w:cs="Times New Roman"/>
          <w:u w:val="single"/>
        </w:rPr>
      </w:pPr>
    </w:p>
    <w:p w14:paraId="4C9126FC" w14:textId="65E638FE" w:rsidR="005612FA" w:rsidRPr="00214483" w:rsidRDefault="00D306A0" w:rsidP="005612FA">
      <w:pPr>
        <w:spacing w:line="480" w:lineRule="auto"/>
        <w:rPr>
          <w:rFonts w:ascii="Times New Roman" w:hAnsi="Times New Roman" w:cs="Times New Roman"/>
        </w:rPr>
      </w:pPr>
      <w:r w:rsidRPr="00214483">
        <w:rPr>
          <w:rFonts w:ascii="Times New Roman" w:eastAsia="Times New Roman" w:hAnsi="Times New Roman" w:cs="Times New Roman"/>
        </w:rPr>
        <w:t>All real-t</w:t>
      </w:r>
      <w:r w:rsidR="00271A68" w:rsidRPr="00214483">
        <w:rPr>
          <w:rFonts w:ascii="Times New Roman" w:eastAsia="Times New Roman" w:hAnsi="Times New Roman" w:cs="Times New Roman"/>
        </w:rPr>
        <w:t xml:space="preserve">ime PCR reactions contained 1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template DNA, </w:t>
      </w:r>
      <w:r w:rsidR="00271A68" w:rsidRPr="00214483">
        <w:rPr>
          <w:rFonts w:ascii="Times New Roman" w:eastAsia="Times New Roman" w:hAnsi="Times New Roman" w:cs="Times New Roman"/>
        </w:rPr>
        <w:t xml:space="preserve">0.50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1 μM concentration of each primer, </w:t>
      </w:r>
      <w:r w:rsidR="00271A68" w:rsidRPr="00214483">
        <w:rPr>
          <w:rFonts w:ascii="Times New Roman" w:eastAsia="Times New Roman" w:hAnsi="Times New Roman" w:cs="Times New Roman"/>
        </w:rPr>
        <w:t xml:space="preserve">5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the Roche LightCycler 480 High Resolution Melting Master Mix 2x concentrated, </w:t>
      </w:r>
      <w:r w:rsidR="00271A68" w:rsidRPr="00214483">
        <w:rPr>
          <w:rFonts w:ascii="Times New Roman" w:eastAsia="Times New Roman" w:hAnsi="Times New Roman" w:cs="Times New Roman"/>
        </w:rPr>
        <w:t xml:space="preserve">1.75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25 mM magnesium (II) chloride, a</w:t>
      </w:r>
      <w:r w:rsidR="00271A68" w:rsidRPr="00214483">
        <w:rPr>
          <w:rFonts w:ascii="Times New Roman" w:eastAsia="Times New Roman" w:hAnsi="Times New Roman" w:cs="Times New Roman"/>
        </w:rPr>
        <w:t xml:space="preserve">nd 2.25 </w:t>
      </w:r>
      <w:proofErr w:type="spellStart"/>
      <w:r w:rsidR="00271A68" w:rsidRPr="00214483">
        <w:rPr>
          <w:rFonts w:ascii="Times New Roman" w:eastAsia="Times New Roman" w:hAnsi="Times New Roman" w:cs="Times New Roman"/>
        </w:rPr>
        <w:t>μl</w:t>
      </w:r>
      <w:proofErr w:type="spellEnd"/>
      <w:r w:rsidRPr="00214483">
        <w:rPr>
          <w:rFonts w:ascii="Times New Roman" w:eastAsia="Times New Roman" w:hAnsi="Times New Roman" w:cs="Times New Roman"/>
        </w:rPr>
        <w:t xml:space="preserve"> of de-ionized water (Roche Diagnostics, </w:t>
      </w:r>
      <w:r w:rsidRPr="00214483">
        <w:rPr>
          <w:rFonts w:ascii="Times New Roman" w:hAnsi="Times New Roman" w:cs="Times New Roman"/>
        </w:rPr>
        <w:t>Basel, Switzerland)</w:t>
      </w:r>
      <w:r w:rsidRPr="00214483">
        <w:rPr>
          <w:rFonts w:ascii="Times New Roman" w:eastAsia="Times New Roman" w:hAnsi="Times New Roman" w:cs="Times New Roman"/>
        </w:rPr>
        <w:t xml:space="preserve">. </w:t>
      </w:r>
      <w:r w:rsidRPr="00214483">
        <w:rPr>
          <w:rFonts w:ascii="Times New Roman" w:hAnsi="Times New Roman" w:cs="Times New Roman"/>
        </w:rPr>
        <w:t>A touchdown PCR protocol with thermal cycling conditions of an initial denaturation cycle of 10 min at 95°C followed by 60 cycles of 10 s denaturation at 95°C, 15 s annealing at 65 to 53°C, and 10 s extension at 72°C. The annealing temperature began at 65°C and decreased with each cycle by 0.5°C until reaching a final annealing temperature of 53°C which was held for the remainder of cycles.</w:t>
      </w:r>
    </w:p>
    <w:p w14:paraId="7B7DB4A6" w14:textId="77777777" w:rsidR="006F0393" w:rsidRPr="00214483" w:rsidRDefault="006F0393" w:rsidP="005612FA">
      <w:pPr>
        <w:spacing w:line="480" w:lineRule="auto"/>
        <w:rPr>
          <w:rFonts w:ascii="Times New Roman" w:hAnsi="Times New Roman" w:cs="Times New Roman"/>
        </w:rPr>
      </w:pPr>
    </w:p>
    <w:p w14:paraId="20884003" w14:textId="25E5BFDE" w:rsidR="006F0393" w:rsidRPr="00214483" w:rsidRDefault="006F0393" w:rsidP="005612FA">
      <w:pPr>
        <w:spacing w:line="480" w:lineRule="auto"/>
        <w:rPr>
          <w:rFonts w:ascii="Times New Roman" w:hAnsi="Times New Roman" w:cs="Times New Roman"/>
        </w:rPr>
      </w:pPr>
      <w:r w:rsidRPr="00214483">
        <w:rPr>
          <w:rFonts w:ascii="Times New Roman" w:hAnsi="Times New Roman" w:cs="Times New Roman"/>
        </w:rPr>
        <w:t>The high-resolution melting cycle included 60 s at 95°C, 60 s at 40°C, 1 s at 65°C, and then heating to 97°C with a ramp rate of 0.02°C/s.</w:t>
      </w:r>
    </w:p>
    <w:p w14:paraId="55519A54" w14:textId="77777777" w:rsidR="0061257C" w:rsidRPr="00214483" w:rsidRDefault="0061257C" w:rsidP="005612FA">
      <w:pPr>
        <w:spacing w:line="480" w:lineRule="auto"/>
        <w:rPr>
          <w:rFonts w:ascii="Times New Roman" w:hAnsi="Times New Roman" w:cs="Times New Roman"/>
          <w:i/>
        </w:rPr>
      </w:pPr>
    </w:p>
    <w:p w14:paraId="3E8003E5" w14:textId="624D302D" w:rsidR="005612FA" w:rsidRPr="00214483" w:rsidRDefault="00DD3ADC" w:rsidP="00E62F3E">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 xml:space="preserve"> </w:t>
      </w:r>
      <w:r w:rsidR="00A42690" w:rsidRPr="00214483">
        <w:rPr>
          <w:rFonts w:ascii="Times New Roman" w:hAnsi="Times New Roman" w:cs="Times New Roman"/>
          <w:b/>
          <w:i/>
        </w:rPr>
        <w:t>Authenticity</w:t>
      </w:r>
      <w:r w:rsidR="00680821" w:rsidRPr="00214483">
        <w:rPr>
          <w:rFonts w:ascii="Times New Roman" w:hAnsi="Times New Roman" w:cs="Times New Roman"/>
          <w:b/>
          <w:i/>
        </w:rPr>
        <w:t xml:space="preserve"> </w:t>
      </w:r>
      <w:r w:rsidRPr="00214483">
        <w:rPr>
          <w:rFonts w:ascii="Times New Roman" w:hAnsi="Times New Roman" w:cs="Times New Roman"/>
          <w:b/>
          <w:i/>
        </w:rPr>
        <w:t>of Positives</w:t>
      </w:r>
    </w:p>
    <w:p w14:paraId="4CD966C0" w14:textId="4486EF8E" w:rsidR="00DC4253" w:rsidRPr="00214483" w:rsidRDefault="00DC4253" w:rsidP="003A4270">
      <w:pPr>
        <w:spacing w:line="480" w:lineRule="auto"/>
        <w:rPr>
          <w:rFonts w:ascii="Times New Roman" w:hAnsi="Times New Roman" w:cs="Times New Roman"/>
        </w:rPr>
      </w:pPr>
      <w:r w:rsidRPr="00214483">
        <w:rPr>
          <w:rFonts w:ascii="Times New Roman" w:hAnsi="Times New Roman" w:cs="Times New Roman"/>
        </w:rPr>
        <w:t xml:space="preserve">To prevent contamination, Cooper and </w:t>
      </w:r>
      <w:proofErr w:type="spellStart"/>
      <w:r w:rsidRPr="00214483">
        <w:rPr>
          <w:rFonts w:ascii="Times New Roman" w:hAnsi="Times New Roman" w:cs="Times New Roman"/>
        </w:rPr>
        <w:t>Poinar</w:t>
      </w:r>
      <w:proofErr w:type="spellEnd"/>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"Cooper", "given" : "Alan", "non-dropping-particle" : "", "parse-names" : false, "suffix" : "" }, { "dropping-particle" : "", "family" : "Poinar", "given" : "Hendrik N.", "non-dropping-particle" : "", "parse-names" : false, "suffix" : "" } ], "container-title" : "Science Letters", "id" : "ITEM-1", "issued" : { "date-parts" : [ [ "2000" ] ] }, "title" : "Ancient DNA: Do It Right or Not at All", "type" : "article-journal" }, "uris" : [ "http://www.mendeley.com/documents/?uuid=09a3b89a-c7b5-4996-b13b-d24f9ad29620" ] } ], "mendeley" : { "formattedCitation" : "(4)", "plainTextFormattedCitation" : "(4)", "previouslyFormattedCitation" : "(38)"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(4)</w:t>
      </w:r>
      <w:r w:rsidRPr="00214483">
        <w:rPr>
          <w:rFonts w:ascii="Times New Roman" w:hAnsi="Times New Roman" w:cs="Times New Roman"/>
        </w:rPr>
        <w:fldChar w:fldCharType="end"/>
      </w:r>
      <w:r w:rsidRPr="00214483">
        <w:rPr>
          <w:rFonts w:ascii="Times New Roman" w:hAnsi="Times New Roman" w:cs="Times New Roman"/>
        </w:rPr>
        <w:t xml:space="preserve"> recommended nine criteria for the authenticity of museum studies. As suggested by Gilbert </w:t>
      </w:r>
      <w:r w:rsidRPr="00214483">
        <w:rPr>
          <w:rFonts w:ascii="Times New Roman" w:hAnsi="Times New Roman" w:cs="Times New Roman"/>
          <w:i/>
        </w:rPr>
        <w:t>et al.</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"10.1016/j.tree.2005.07.005", "ISSN" : "0169-5347", "PMID" : "16701432", "abstract" : "The study of ancient DNA has the potential to make significant and unique contributions to ecology and evolution. However, the techniques used contain inherent problems, particularly with regards to the generation of authentic and useful data. The solution currently advocated to reduce contamination and artefactual results is to adopt criteria for authentication. Nevertheless, these criteria are not foolproof, and we believe that they have, in practice, replaced the use of thought and prudence when designing and executing ancient DNA studies. We argue here that researchers in this field must take a more cognitive and self-critical approach. Specifically, in place of checking criteria off lists, researchers must explain, in sufficient enough detail to dispel doubt, how the data were obtained, and why they should be believed to be authentic.", "author" : [ { "dropping-particle" : "", "family" : "Gilbert", "given" : "M Thomas P", "non-dropping-particle" : "", "parse-names" : false, "suffix" : "" }, { "dropping-particle" : "", "family" : "Bandelt", "given" : "Hans-J\u00fcrgen", "non-dropping-particle" : "", "parse-names" : false, "suffix" : "" }, { "dropping-particle" : "", "family" : "Hofreiter", "given" : "Michael", "non-dropping-particle" : "", "parse-names" : false, "suffix" : "" }, { "dropping-particle" : "", "family" : "Barnes", "given" : "Ian", "non-dropping-particle" : "", "parse-names" : false, "suffix" : "" } ], "container-title" : "Trends in ecology &amp; evolution", "id" : "ITEM-1", "issue" : "10", "issued" : { "date-parts" : [ [ "2005" ] ] }, "page" : "541-4", "title" : "Assessing ancient DNA studies.", "type" : "article-journal", "volume" : "20" }, "uris" : [ "http://www.mendeley.com/documents/?uuid=03b9375a-2a4a-4293-a49d-f875cb77d16f" ] } ], "mendeley" : { "formattedCitation" : "(5)", "plainTextFormattedCitation" : "(5)", "previouslyFormattedCitation" : "(39)"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(5)</w:t>
      </w:r>
      <w:r w:rsidRPr="00214483">
        <w:rPr>
          <w:rFonts w:ascii="Times New Roman" w:hAnsi="Times New Roman" w:cs="Times New Roman"/>
        </w:rPr>
        <w:fldChar w:fldCharType="end"/>
      </w:r>
      <w:r w:rsidRPr="00214483">
        <w:rPr>
          <w:rFonts w:ascii="Times New Roman" w:hAnsi="Times New Roman" w:cs="Times New Roman"/>
        </w:rPr>
        <w:t xml:space="preserve">, we designed our study to avoid contamination but did not use all recommended nine criteria because our study system falls into a low-risk category. The low-risk category includes studies that do not investigate ancient human DNA, </w:t>
      </w:r>
      <w:proofErr w:type="spellStart"/>
      <w:r w:rsidRPr="00214483">
        <w:rPr>
          <w:rFonts w:ascii="Times New Roman" w:hAnsi="Times New Roman" w:cs="Times New Roman"/>
        </w:rPr>
        <w:t>paleopathogens</w:t>
      </w:r>
      <w:proofErr w:type="spellEnd"/>
      <w:r w:rsidRPr="00214483">
        <w:rPr>
          <w:rFonts w:ascii="Times New Roman" w:hAnsi="Times New Roman" w:cs="Times New Roman"/>
        </w:rPr>
        <w:t xml:space="preserve"> and microorganisms for which modern counterparts are ubiquitous, or domestic plants/animals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"10.1016/j.tree.2005.07.005", "ISSN" : "0169-5347", "PMID" : "16701432", "abstract" : "The study of ancient DNA has the potential to make significant and unique contributions to ecology and evolution. However, the techniques used contain inherent problems, particularly with regards to the generation of authentic and useful data. The solution currently advocated to reduce contamination and artefactual results is to adopt criteria for authentication. Nevertheless, these criteria are not foolproof, and we believe that they have, in practice, replaced the use of thought and prudence when designing and executing ancient DNA studies. We argue here that researchers in this field must take a more cognitive and self-critical approach. Specifically, in place of checking criteria off lists, researchers must explain, in sufficient enough detail to dispel doubt, how the data were obtained, and why they should be believed to be authentic.", "author" : [ { "dropping-particle" : "", "family" : "Gilbert", "given" : "M Thomas P", "non-dropping-particle" : "", "parse-names" : false, "suffix" : "" }, { "dropping-particle" : "", "family" : "Bandelt", "given" : "Hans-J\u00fcrgen", "non-dropping-particle" : "", "parse-names" : false, "suffix" : "" }, { "dropping-particle" : "", "family" : "Hofreiter", "given" : "Michael", "non-dropping-particle" : "", "parse-names" : false, "suffix" : "" }, { "dropping-particle" : "", "family" : "Barnes", "given" : "Ian", "non-dropping-particle" : "", "parse-names" : false, "suffix" : "" } ], "container-title" : "Trends in ecology &amp; evolution", "id" : "ITEM-1", "issue" : "10", "issued" : { "date-parts" : [ [ "2005" ] ] }, "page" : "541-4", "title" : "Assessing ancient DNA studies.", "type" : "article-journal", "volume" : "20" }, "uris" : [ "http://www.mendeley.com/documents/?uuid=03b9375a-2a4a-4293-a49d-f875cb77d16f" ] } ], "mendeley" : { "formattedCitation" : "(5)", "plainTextFormattedCitation" : "(5)", "previouslyFormattedCitation" : "(39)"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(5)</w:t>
      </w:r>
      <w:r w:rsidRPr="00214483">
        <w:rPr>
          <w:rFonts w:ascii="Times New Roman" w:hAnsi="Times New Roman" w:cs="Times New Roman"/>
        </w:rPr>
        <w:fldChar w:fldCharType="end"/>
      </w:r>
      <w:r w:rsidRPr="00214483">
        <w:rPr>
          <w:rFonts w:ascii="Times New Roman" w:hAnsi="Times New Roman" w:cs="Times New Roman"/>
        </w:rPr>
        <w:t xml:space="preserve">. As MPXV is a non-ubiquitous pathogen, we implemented five of the nine criteria: (1) physically isolated work areas, (2) negative controls, (3) appropriate molecular behavior, (4) quantification by RT-PCR, and (5) associated remains. </w:t>
      </w:r>
    </w:p>
    <w:p w14:paraId="1A2E50C2" w14:textId="77777777" w:rsidR="00DC4253" w:rsidRPr="00214483" w:rsidRDefault="00DC4253" w:rsidP="003A4270">
      <w:pPr>
        <w:spacing w:line="480" w:lineRule="auto"/>
        <w:rPr>
          <w:rFonts w:ascii="Times New Roman" w:hAnsi="Times New Roman" w:cs="Times New Roman"/>
        </w:rPr>
      </w:pPr>
    </w:p>
    <w:p w14:paraId="33A7DB85" w14:textId="0D47062D" w:rsidR="003A4270" w:rsidRPr="00214483" w:rsidRDefault="00DD3ADC" w:rsidP="003A4270">
      <w:pPr>
        <w:spacing w:line="480" w:lineRule="auto"/>
        <w:rPr>
          <w:rFonts w:ascii="Times New Roman" w:hAnsi="Times New Roman" w:cs="Times New Roman"/>
        </w:rPr>
      </w:pPr>
      <w:r w:rsidRPr="00214483">
        <w:rPr>
          <w:rFonts w:ascii="Times New Roman" w:hAnsi="Times New Roman" w:cs="Times New Roman"/>
        </w:rPr>
        <w:t>All PCR products and positive controls were stored in a room and freezer separate from where DNA extractions and RT-PCR plate preparation occurred. All plates were run with four negative controls: no negative controls came up positive during the course of the study. All positive controls used modified sequences to allow differentiation of positive control contamination from actual positives. Additionally, the use of Sanger sequencing as a final verification step ensured that any wild contamination that happened at low concentrations would sequence poorly. A comparison of putative HRM positives to Sanger-sequence verified positives shows that HRM was far more sensitive to DNA amplification at low copy numbers than Sanger sequencing (</w:t>
      </w:r>
      <w:r w:rsidR="003F204A" w:rsidRPr="00214483">
        <w:rPr>
          <w:rFonts w:ascii="Times New Roman" w:hAnsi="Times New Roman" w:cs="Times New Roman"/>
        </w:rPr>
        <w:t>Fig</w:t>
      </w:r>
      <w:r w:rsidR="004200C2">
        <w:rPr>
          <w:rFonts w:ascii="Times New Roman" w:hAnsi="Times New Roman" w:cs="Times New Roman"/>
        </w:rPr>
        <w:t>ure</w:t>
      </w:r>
      <w:r w:rsidR="003F204A" w:rsidRPr="00214483">
        <w:rPr>
          <w:rFonts w:ascii="Times New Roman" w:hAnsi="Times New Roman" w:cs="Times New Roman"/>
        </w:rPr>
        <w:t xml:space="preserve"> S3</w:t>
      </w:r>
      <w:r w:rsidRPr="00214483">
        <w:rPr>
          <w:rFonts w:ascii="Times New Roman" w:hAnsi="Times New Roman" w:cs="Times New Roman"/>
        </w:rPr>
        <w:t xml:space="preserve">). Furthermore, we amplified viral DNA of short length (&lt;500 </w:t>
      </w:r>
      <w:proofErr w:type="spellStart"/>
      <w:r w:rsidRPr="00214483">
        <w:rPr>
          <w:rFonts w:ascii="Times New Roman" w:hAnsi="Times New Roman" w:cs="Times New Roman"/>
        </w:rPr>
        <w:t>bp</w:t>
      </w:r>
      <w:proofErr w:type="spellEnd"/>
      <w:r w:rsidRPr="00214483">
        <w:rPr>
          <w:rFonts w:ascii="Times New Roman" w:hAnsi="Times New Roman" w:cs="Times New Roman"/>
        </w:rPr>
        <w:t xml:space="preserve">) and expected our shorter amplicon G2R_WA to amplify more often than our longer amplicon G2R_G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"ISSN" : "0021-9258", "PMID" : "2656708", "abstract" : "Molecular evolution is a historic process through which genes accumulate changes due to stochastic events as well as selective processes. Students of molecular evolution suffer from the frustration of trying to reconstruct this historic process from only a knowledge of the present-day structure of genes. Until recently, there has been no hope of escaping this time trap. However, advances in molecular biological techniques have enabled us to retrieve and study ancient DNA molecules and thus to catch evolution red-handed. In consequence, we can now study the genealogical relationships of extinct species and vanished populations. In addition, it seems likely that we shall be able to monitor fast genetic processes such as recombinational events. Our review dis- cusses older attempts to obtain molecular genetic data from archaeological remains as well as recent achievements and emerging vistas.", "author" : [ { "dropping-particle" : "", "family" : "Paabo", "given" : "Svante", "non-dropping-particle" : "", "parse-names" : false, "suffix" : "" }, { "dropping-particle" : "", "family" : "Higuchi", "given" : "Russell G", "non-dropping-particle" : "", "parse-names" : false, "suffix" : "" }, { "dropping-particle" : "", "family" : "Wilson", "given" : "Allan C", "non-dropping-particle" : "", "parse-names" : false, "suffix" : "" } ], "container-title" : "Journal of Biological Chemistry", "id" : "ITEM-1", "issue" : "17", "issued" : { "date-parts" : [ [ "1989" ] ] }, "page" : "9709-9712", "title" : "Ancient DNA and the Polymerase Chain Reaction: The Emerging Field of Molecular Archaeology", "type" : "article-journal", "volume" : "264" }, "uris" : [ "http://www.mendeley.com/documents/?uuid=ebcd00ef-99f0-4d39-83e1-d7deb08fc300" ] }, { "id" : "ITEM-2", "itemData" : { "author" : [ { "dropping-particle" : "", "family" : "Cooper", "given" : "Alan", "non-dropping-particle" : "", "parse-names" : false, "suffix" : "" }, { "dropping-particle" : "", "family" : "Poinar", "given" : "Hendrik N.", "non-dropping-particle" : "", "parse-names" : false, "suffix" : "" } ], "container-title" : "Science Letters", "id" : "ITEM-2", "issued" : { "date-parts" : [ [ "2000" ] ] }, "title" : "Ancient DNA: Do It Right or Not at All", "type" : "article-journal" }, "uris" : [ "http://www.mendeley.com/documents/?uuid=09a3b89a-c7b5-4996-b13b-d24f9ad29620" ] } ], "mendeley" : { "formattedCitation" : "(4,6)", "plainTextFormattedCitation" : "(4,6)", "previouslyFormattedCitation" : "(4,5)"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(4,6)</w:t>
      </w:r>
      <w:r w:rsidRPr="00214483">
        <w:rPr>
          <w:rFonts w:ascii="Times New Roman" w:hAnsi="Times New Roman" w:cs="Times New Roman"/>
        </w:rPr>
        <w:fldChar w:fldCharType="end"/>
      </w:r>
      <w:r w:rsidRPr="00214483">
        <w:rPr>
          <w:rFonts w:ascii="Times New Roman" w:hAnsi="Times New Roman" w:cs="Times New Roman"/>
        </w:rPr>
        <w:t xml:space="preserve">. Additionally, we were able to quantify all our reactions using RT-PCR. All reactions amplified late in the cycles, however this is normal for museum studies, especially involving the amplification of something in low copy number like that of viral DNA within more concentrated host DNA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"(7)", "plainTextFormattedCitation" : "(7)", "previouslyFormattedCitation" : "(6)"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(7)</w:t>
      </w:r>
      <w:r w:rsidRPr="00214483">
        <w:rPr>
          <w:rFonts w:ascii="Times New Roman" w:hAnsi="Times New Roman" w:cs="Times New Roman"/>
        </w:rPr>
        <w:fldChar w:fldCharType="end"/>
      </w:r>
      <w:r w:rsidRPr="00214483">
        <w:rPr>
          <w:rFonts w:ascii="Times New Roman" w:hAnsi="Times New Roman" w:cs="Times New Roman"/>
        </w:rPr>
        <w:t xml:space="preserve">. Our “associated remains” included using host DNA quality and amplification of the common gene beta-actin as a proxy for MPXV viral DNA quality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"(7)", "plainTextFormattedCitation" : "(7)", "previouslyFormattedCitation" : "(6)"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(7)</w:t>
      </w:r>
      <w:r w:rsidRPr="00214483">
        <w:rPr>
          <w:rFonts w:ascii="Times New Roman" w:hAnsi="Times New Roman" w:cs="Times New Roman"/>
        </w:rPr>
        <w:fldChar w:fldCharType="end"/>
      </w:r>
      <w:r w:rsidRPr="00214483">
        <w:rPr>
          <w:rFonts w:ascii="Times New Roman" w:hAnsi="Times New Roman" w:cs="Times New Roman"/>
        </w:rPr>
        <w:t>.</w:t>
      </w:r>
    </w:p>
    <w:p w14:paraId="6FCDD389" w14:textId="77777777" w:rsidR="0061257C" w:rsidRPr="00214483" w:rsidRDefault="0061257C" w:rsidP="003A4270">
      <w:pPr>
        <w:spacing w:line="480" w:lineRule="auto"/>
        <w:rPr>
          <w:rFonts w:ascii="Times New Roman" w:hAnsi="Times New Roman" w:cs="Times New Roman"/>
          <w:i/>
        </w:rPr>
      </w:pPr>
    </w:p>
    <w:p w14:paraId="29520130" w14:textId="32418FCF" w:rsidR="003A4270" w:rsidRPr="00214483" w:rsidRDefault="003A4270" w:rsidP="003A4270">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Statistic</w:t>
      </w:r>
      <w:r w:rsidR="00680821" w:rsidRPr="00214483">
        <w:rPr>
          <w:rFonts w:ascii="Times New Roman" w:hAnsi="Times New Roman" w:cs="Times New Roman"/>
          <w:b/>
          <w:i/>
        </w:rPr>
        <w:t>al</w:t>
      </w:r>
      <w:r w:rsidRPr="00214483">
        <w:rPr>
          <w:rFonts w:ascii="Times New Roman" w:hAnsi="Times New Roman" w:cs="Times New Roman"/>
          <w:b/>
          <w:i/>
        </w:rPr>
        <w:t xml:space="preserve"> methods: </w:t>
      </w:r>
      <w:r w:rsidR="006658A0" w:rsidRPr="00214483">
        <w:rPr>
          <w:rFonts w:ascii="Times New Roman" w:hAnsi="Times New Roman" w:cs="Times New Roman"/>
          <w:b/>
          <w:i/>
        </w:rPr>
        <w:t xml:space="preserve">Administrative areas and spatial aggregation </w:t>
      </w:r>
    </w:p>
    <w:p w14:paraId="109C7819" w14:textId="193B913B" w:rsidR="009746A4" w:rsidRPr="00214483" w:rsidRDefault="00104AF9" w:rsidP="009746A4">
      <w:pPr>
        <w:spacing w:line="480" w:lineRule="auto"/>
        <w:rPr>
          <w:rFonts w:ascii="Times New Roman" w:hAnsi="Times New Roman" w:cs="Times New Roman"/>
        </w:rPr>
      </w:pPr>
      <w:r w:rsidRPr="00214483">
        <w:rPr>
          <w:rFonts w:ascii="Times New Roman" w:hAnsi="Times New Roman" w:cs="Times New Roman"/>
        </w:rPr>
        <w:t>Samples were binned by year and location</w:t>
      </w:r>
      <w:r w:rsidR="00083E2B" w:rsidRPr="00214483">
        <w:rPr>
          <w:rFonts w:ascii="Times New Roman" w:hAnsi="Times New Roman" w:cs="Times New Roman"/>
        </w:rPr>
        <w:t xml:space="preserve"> to increase sample size and allow for analyses that included spatial or temporal factors</w:t>
      </w:r>
      <w:r w:rsidR="00A42690" w:rsidRPr="00214483">
        <w:rPr>
          <w:rFonts w:ascii="Times New Roman" w:hAnsi="Times New Roman" w:cs="Times New Roman"/>
        </w:rPr>
        <w:t>.</w:t>
      </w:r>
      <w:r w:rsidRPr="00214483">
        <w:rPr>
          <w:rFonts w:ascii="Times New Roman" w:hAnsi="Times New Roman" w:cs="Times New Roman"/>
        </w:rPr>
        <w:t xml:space="preserve"> Except for the interval of 1899-1905, collection year was binned into five-year periods: 1906-1910, 1911-1915, etc. </w:t>
      </w:r>
      <w:r w:rsidR="009746A4" w:rsidRPr="00214483">
        <w:rPr>
          <w:rFonts w:ascii="Times New Roman" w:hAnsi="Times New Roman" w:cs="Times New Roman"/>
        </w:rPr>
        <w:t xml:space="preserve">Analyses were repeated across various year bins to ensure that binning method did not have an effect on model performance. </w:t>
      </w:r>
    </w:p>
    <w:p w14:paraId="76DBF43E" w14:textId="77777777" w:rsidR="009746A4" w:rsidRPr="00214483" w:rsidRDefault="009746A4" w:rsidP="009746A4">
      <w:pPr>
        <w:spacing w:line="480" w:lineRule="auto"/>
        <w:rPr>
          <w:rFonts w:ascii="Times New Roman" w:hAnsi="Times New Roman" w:cs="Times New Roman"/>
        </w:rPr>
      </w:pPr>
    </w:p>
    <w:p w14:paraId="182E69BE" w14:textId="0C6A073A" w:rsidR="003A4270" w:rsidRPr="00214483" w:rsidRDefault="00104AF9" w:rsidP="003A4270">
      <w:pPr>
        <w:spacing w:line="480" w:lineRule="auto"/>
        <w:rPr>
          <w:rFonts w:ascii="Times New Roman" w:hAnsi="Times New Roman" w:cs="Times New Roman"/>
        </w:rPr>
      </w:pPr>
      <w:r w:rsidRPr="00214483">
        <w:rPr>
          <w:rFonts w:ascii="Times New Roman" w:hAnsi="Times New Roman" w:cs="Times New Roman"/>
        </w:rPr>
        <w:t xml:space="preserve">All sample localities were geo-referenced to </w:t>
      </w:r>
      <w:proofErr w:type="gramStart"/>
      <w:r w:rsidRPr="00214483">
        <w:rPr>
          <w:rFonts w:ascii="Times New Roman" w:hAnsi="Times New Roman" w:cs="Times New Roman"/>
        </w:rPr>
        <w:t>similarly-sized</w:t>
      </w:r>
      <w:proofErr w:type="gramEnd"/>
      <w:r w:rsidRPr="00214483">
        <w:rPr>
          <w:rFonts w:ascii="Times New Roman" w:hAnsi="Times New Roman" w:cs="Times New Roman"/>
        </w:rPr>
        <w:t xml:space="preserve"> administrative areas in order to include a measure of spatial heterogeneity and make comparisons wit</w:t>
      </w:r>
      <w:r w:rsidR="009746A4" w:rsidRPr="00214483">
        <w:rPr>
          <w:rFonts w:ascii="Times New Roman" w:hAnsi="Times New Roman" w:cs="Times New Roman"/>
        </w:rPr>
        <w:t xml:space="preserve">hin the same spatial resolution. </w:t>
      </w:r>
      <w:r w:rsidR="006658A0" w:rsidRPr="00214483">
        <w:rPr>
          <w:rFonts w:ascii="Times New Roman" w:hAnsi="Times New Roman" w:cs="Times New Roman"/>
        </w:rPr>
        <w:t>Most museum specimen samples were geo-referenced to town level, however some were geo-referenced to the sous-</w:t>
      </w:r>
      <w:proofErr w:type="spellStart"/>
      <w:r w:rsidR="006658A0" w:rsidRPr="00214483">
        <w:rPr>
          <w:rFonts w:ascii="Times New Roman" w:hAnsi="Times New Roman" w:cs="Times New Roman"/>
        </w:rPr>
        <w:t>préfecture</w:t>
      </w:r>
      <w:proofErr w:type="spellEnd"/>
      <w:r w:rsidR="006658A0" w:rsidRPr="00214483">
        <w:rPr>
          <w:rFonts w:ascii="Times New Roman" w:hAnsi="Times New Roman" w:cs="Times New Roman"/>
        </w:rPr>
        <w:t xml:space="preserve">, district, province, or country level. All localities for museum specimens were verified or found using the National Geospatial-Intelligence Agency’s </w:t>
      </w:r>
      <w:proofErr w:type="spellStart"/>
      <w:r w:rsidR="006658A0" w:rsidRPr="00214483">
        <w:rPr>
          <w:rFonts w:ascii="Times New Roman" w:hAnsi="Times New Roman" w:cs="Times New Roman"/>
        </w:rPr>
        <w:t>GEOnet</w:t>
      </w:r>
      <w:proofErr w:type="spellEnd"/>
      <w:r w:rsidR="006658A0" w:rsidRPr="00214483">
        <w:rPr>
          <w:rFonts w:ascii="Times New Roman" w:hAnsi="Times New Roman" w:cs="Times New Roman"/>
        </w:rPr>
        <w:t xml:space="preserve"> Names Server database </w:t>
      </w:r>
      <w:r w:rsidR="006658A0"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"URL" : "http://geonames.nga.mil/namesgaz/", "accessed" : { "date-parts" : [ [ "2015", "1", "1" ] ] }, "author" : [ { "dropping-particle" : "", "family" : "National Geospatial-Intelligence Agency", "given" : "", "non-dropping-particle" : "", "parse-names" : false, "suffix" : "" } ], "id" : "ITEM-1", "issued" : { "date-parts" : [ [ "2015" ] ] }, "title" : "GEOnet Names Server database", "type" : "webpage" }, "uris" : [ "http://www.mendeley.com/documents/?uuid=e3500d3e-9174-4cbc-a1f2-a43b0983e601" ] } ], "mendeley" : { "formattedCitation" : "(8)", "plainTextFormattedCitation" : "(8)", "previouslyFormattedCitation" : "(7)" }, "properties" : { "noteIndex" : 0 }, "schema" : "https://github.com/citation-style-language/schema/raw/master/csl-citation.json" }</w:instrText>
      </w:r>
      <w:r w:rsidR="006658A0" w:rsidRPr="00214483">
        <w:rPr>
          <w:rFonts w:ascii="Times New Roman" w:hAnsi="Times New Roman" w:cs="Times New Roman"/>
        </w:rPr>
        <w:fldChar w:fldCharType="separate"/>
      </w:r>
      <w:r w:rsidR="007B6F2D" w:rsidRPr="007B6F2D">
        <w:rPr>
          <w:rFonts w:ascii="Times New Roman" w:hAnsi="Times New Roman" w:cs="Times New Roman"/>
          <w:noProof/>
        </w:rPr>
        <w:t>(8)</w:t>
      </w:r>
      <w:r w:rsidR="006658A0" w:rsidRPr="00214483">
        <w:rPr>
          <w:rFonts w:ascii="Times New Roman" w:hAnsi="Times New Roman" w:cs="Times New Roman"/>
        </w:rPr>
        <w:fldChar w:fldCharType="end"/>
      </w:r>
      <w:r w:rsidR="006658A0" w:rsidRPr="00214483">
        <w:rPr>
          <w:rFonts w:ascii="Times New Roman" w:hAnsi="Times New Roman" w:cs="Times New Roman"/>
        </w:rPr>
        <w:t xml:space="preserve"> and Google Earth Landsat (Google, Landsat, SIO, NOAA, US Navy, NGA, GEBCO 2015). Due to differences in localities’ spatial extents, samples were analyzed at a lower spatial resolution and assigned to an administrative area. These administrative areas differed in level between countries but were chosen based on similarity in size: sous-</w:t>
      </w:r>
      <w:proofErr w:type="spellStart"/>
      <w:r w:rsidR="006658A0" w:rsidRPr="00214483">
        <w:rPr>
          <w:rFonts w:ascii="Times New Roman" w:hAnsi="Times New Roman" w:cs="Times New Roman"/>
        </w:rPr>
        <w:t>préfecture</w:t>
      </w:r>
      <w:proofErr w:type="spellEnd"/>
      <w:r w:rsidR="006658A0" w:rsidRPr="00214483">
        <w:rPr>
          <w:rFonts w:ascii="Times New Roman" w:hAnsi="Times New Roman" w:cs="Times New Roman"/>
        </w:rPr>
        <w:t xml:space="preserve"> (DRC), </w:t>
      </w:r>
      <w:proofErr w:type="spellStart"/>
      <w:r w:rsidR="006658A0" w:rsidRPr="00214483">
        <w:rPr>
          <w:rFonts w:ascii="Times New Roman" w:hAnsi="Times New Roman" w:cs="Times New Roman"/>
        </w:rPr>
        <w:t>préfecture</w:t>
      </w:r>
      <w:proofErr w:type="spellEnd"/>
      <w:r w:rsidR="006658A0" w:rsidRPr="00214483">
        <w:rPr>
          <w:rFonts w:ascii="Times New Roman" w:hAnsi="Times New Roman" w:cs="Times New Roman"/>
        </w:rPr>
        <w:t xml:space="preserve"> (Rwanda), </w:t>
      </w:r>
      <w:proofErr w:type="spellStart"/>
      <w:r w:rsidR="006658A0" w:rsidRPr="00214483">
        <w:rPr>
          <w:rFonts w:ascii="Times New Roman" w:hAnsi="Times New Roman" w:cs="Times New Roman"/>
        </w:rPr>
        <w:t>município</w:t>
      </w:r>
      <w:proofErr w:type="spellEnd"/>
      <w:r w:rsidR="006658A0" w:rsidRPr="00214483">
        <w:rPr>
          <w:rFonts w:ascii="Times New Roman" w:hAnsi="Times New Roman" w:cs="Times New Roman"/>
        </w:rPr>
        <w:t xml:space="preserve"> (Angola), district (Ghana and Republic of Congo), </w:t>
      </w:r>
      <w:proofErr w:type="spellStart"/>
      <w:r w:rsidR="006658A0" w:rsidRPr="00214483">
        <w:rPr>
          <w:rFonts w:ascii="Times New Roman" w:hAnsi="Times New Roman" w:cs="Times New Roman"/>
        </w:rPr>
        <w:t>département</w:t>
      </w:r>
      <w:proofErr w:type="spellEnd"/>
      <w:r w:rsidR="006658A0" w:rsidRPr="00214483">
        <w:rPr>
          <w:rFonts w:ascii="Times New Roman" w:hAnsi="Times New Roman" w:cs="Times New Roman"/>
        </w:rPr>
        <w:t xml:space="preserve"> (Cameroon, Cote d’Ivoire, and Gabon), province (Burundi and Equatorial Guinea), and county (Liberia) levels. </w:t>
      </w:r>
      <w:r w:rsidR="009746A4" w:rsidRPr="00214483">
        <w:rPr>
          <w:rFonts w:ascii="Times New Roman" w:hAnsi="Times New Roman" w:cs="Times New Roman"/>
        </w:rPr>
        <w:t xml:space="preserve">All samples that could not be referenced to an administrative area or with </w:t>
      </w:r>
      <w:r w:rsidR="0061257C" w:rsidRPr="00214483">
        <w:rPr>
          <w:rFonts w:ascii="Times New Roman" w:hAnsi="Times New Roman" w:cs="Times New Roman"/>
        </w:rPr>
        <w:t xml:space="preserve">spatial extents greater than these administrative areas were dropped from this analysis. </w:t>
      </w:r>
      <w:r w:rsidR="003A4270" w:rsidRPr="00214483">
        <w:rPr>
          <w:rFonts w:ascii="Times New Roman" w:hAnsi="Times New Roman" w:cs="Times New Roman"/>
        </w:rPr>
        <w:t xml:space="preserve">For spatial comparisons of MPXV prevalence and positive counts across year bins and for various host-community richness indices, </w:t>
      </w:r>
      <w:proofErr w:type="gramStart"/>
      <w:r w:rsidR="003A4270" w:rsidRPr="00214483">
        <w:rPr>
          <w:rFonts w:ascii="Times New Roman" w:hAnsi="Times New Roman" w:cs="Times New Roman"/>
        </w:rPr>
        <w:t xml:space="preserve">museum samples were aggregated by </w:t>
      </w:r>
      <w:r w:rsidR="006658A0" w:rsidRPr="00214483">
        <w:rPr>
          <w:rFonts w:ascii="Times New Roman" w:hAnsi="Times New Roman" w:cs="Times New Roman"/>
        </w:rPr>
        <w:t>these</w:t>
      </w:r>
      <w:r w:rsidR="003A4270" w:rsidRPr="00214483">
        <w:rPr>
          <w:rFonts w:ascii="Times New Roman" w:hAnsi="Times New Roman" w:cs="Times New Roman"/>
        </w:rPr>
        <w:t xml:space="preserve"> administrative areas</w:t>
      </w:r>
      <w:proofErr w:type="gramEnd"/>
      <w:r w:rsidR="003A4270" w:rsidRPr="00214483">
        <w:rPr>
          <w:rFonts w:ascii="Times New Roman" w:hAnsi="Times New Roman" w:cs="Times New Roman"/>
        </w:rPr>
        <w:t xml:space="preserve">. </w:t>
      </w:r>
    </w:p>
    <w:p w14:paraId="06164D4F" w14:textId="77777777" w:rsidR="00B572B0" w:rsidRPr="00724CC0" w:rsidRDefault="00B572B0" w:rsidP="00724CC0">
      <w:pPr>
        <w:spacing w:line="480" w:lineRule="auto"/>
        <w:rPr>
          <w:rFonts w:ascii="Times New Roman" w:hAnsi="Times New Roman" w:cs="Times New Roman"/>
          <w:i/>
        </w:rPr>
      </w:pPr>
    </w:p>
    <w:p w14:paraId="2C0E8250" w14:textId="290C92C0" w:rsidR="003A4270" w:rsidRPr="00214483" w:rsidRDefault="007A1EE6" w:rsidP="007A1EE6">
      <w:pPr>
        <w:pStyle w:val="ListParagraph"/>
        <w:numPr>
          <w:ilvl w:val="0"/>
          <w:numId w:val="1"/>
        </w:numPr>
        <w:spacing w:line="480" w:lineRule="auto"/>
        <w:rPr>
          <w:rFonts w:ascii="Times New Roman" w:hAnsi="Times New Roman" w:cs="Times New Roman"/>
          <w:i/>
        </w:rPr>
      </w:pPr>
      <w:r w:rsidRPr="00214483">
        <w:rPr>
          <w:rFonts w:ascii="Times New Roman" w:hAnsi="Times New Roman" w:cs="Times New Roman"/>
          <w:b/>
          <w:i/>
        </w:rPr>
        <w:t xml:space="preserve">Statistics methods: </w:t>
      </w:r>
      <w:r w:rsidR="003A4270" w:rsidRPr="00214483">
        <w:rPr>
          <w:rFonts w:ascii="Times New Roman" w:hAnsi="Times New Roman" w:cs="Times New Roman"/>
          <w:b/>
          <w:i/>
        </w:rPr>
        <w:t>Host community indices</w:t>
      </w:r>
    </w:p>
    <w:p w14:paraId="69D3166D" w14:textId="2C8D8CBB" w:rsidR="007A1EE6" w:rsidRPr="00214483" w:rsidRDefault="007A1EE6" w:rsidP="007A1EE6">
      <w:pPr>
        <w:spacing w:line="480" w:lineRule="auto"/>
        <w:rPr>
          <w:rFonts w:ascii="Times New Roman" w:hAnsi="Times New Roman" w:cs="Times New Roman"/>
        </w:rPr>
      </w:pPr>
      <w:r w:rsidRPr="00214483">
        <w:rPr>
          <w:rFonts w:ascii="Times New Roman" w:hAnsi="Times New Roman" w:cs="Times New Roman"/>
        </w:rPr>
        <w:t xml:space="preserve">Potential host distributions were obtained from the IUCN </w:t>
      </w:r>
      <w:r w:rsidRPr="00214483">
        <w:rPr>
          <w:rFonts w:ascii="Times New Roman" w:hAnsi="Times New Roman" w:cs="Times New Roman"/>
          <w:i/>
        </w:rPr>
        <w:t>Red List of Threatened Species Version 2012.1</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"IUCN", "given" : "", "non-dropping-particle" : "", "parse-names" : false, "suffix" : "" } ], "id" : "ITEM-1", "issued" : { "date-parts" : [ [ "2012" ] ] }, "number" : "2012.2", "title" : "IUCN Red List of Threatened Species", "type" : "report" }, "uris" : [ "http://www.mendeley.com/documents/?uuid=28c13140-e7d8-4b17-ad1a-1838fbca2219" ] } ], "mendeley" : { "formattedCitation" : "(9)", "plainTextFormattedCitation" : "(9)", "previouslyFormattedCitation" : "(8)"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(9)</w:t>
      </w:r>
      <w:r w:rsidRPr="00214483">
        <w:rPr>
          <w:rFonts w:ascii="Times New Roman" w:hAnsi="Times New Roman" w:cs="Times New Roman"/>
        </w:rPr>
        <w:fldChar w:fldCharType="end"/>
      </w:r>
      <w:r w:rsidRPr="00214483">
        <w:rPr>
          <w:rFonts w:ascii="Times New Roman" w:hAnsi="Times New Roman" w:cs="Times New Roman"/>
        </w:rPr>
        <w:t xml:space="preserve"> for genera </w:t>
      </w:r>
      <w:r w:rsidRPr="00214483">
        <w:rPr>
          <w:rFonts w:ascii="Times New Roman" w:hAnsi="Times New Roman" w:cs="Times New Roman"/>
          <w:i/>
        </w:rPr>
        <w:t xml:space="preserve">Funisciurus </w:t>
      </w:r>
      <w:r w:rsidRPr="00214483">
        <w:rPr>
          <w:rFonts w:ascii="Times New Roman" w:hAnsi="Times New Roman" w:cs="Times New Roman"/>
        </w:rPr>
        <w:t>and</w:t>
      </w:r>
      <w:r w:rsidRPr="00214483">
        <w:rPr>
          <w:rFonts w:ascii="Times New Roman" w:hAnsi="Times New Roman" w:cs="Times New Roman"/>
          <w:i/>
        </w:rPr>
        <w:t xml:space="preserve"> Heliosciurus</w:t>
      </w:r>
      <w:r w:rsidRPr="00214483">
        <w:rPr>
          <w:rFonts w:ascii="Times New Roman" w:hAnsi="Times New Roman" w:cs="Times New Roman"/>
        </w:rPr>
        <w:t xml:space="preserve">: </w:t>
      </w:r>
      <w:r w:rsidRPr="00214483">
        <w:rPr>
          <w:rFonts w:ascii="Times New Roman" w:hAnsi="Times New Roman" w:cs="Times New Roman"/>
          <w:i/>
        </w:rPr>
        <w:t>F. anerythrus</w:t>
      </w:r>
      <w:r w:rsidRPr="00214483">
        <w:rPr>
          <w:rFonts w:ascii="Times New Roman" w:hAnsi="Times New Roman" w:cs="Times New Roman"/>
        </w:rPr>
        <w:t xml:space="preserve">, </w:t>
      </w:r>
      <w:r w:rsidRPr="00214483">
        <w:rPr>
          <w:rFonts w:ascii="Times New Roman" w:hAnsi="Times New Roman" w:cs="Times New Roman"/>
          <w:i/>
        </w:rPr>
        <w:t>F. bayoni</w:t>
      </w:r>
      <w:r w:rsidRPr="00214483">
        <w:rPr>
          <w:rFonts w:ascii="Times New Roman" w:hAnsi="Times New Roman" w:cs="Times New Roman"/>
        </w:rPr>
        <w:t xml:space="preserve">, </w:t>
      </w:r>
      <w:r w:rsidRPr="00214483">
        <w:rPr>
          <w:rFonts w:ascii="Times New Roman" w:hAnsi="Times New Roman" w:cs="Times New Roman"/>
          <w:i/>
        </w:rPr>
        <w:t>F. carruthersi</w:t>
      </w:r>
      <w:r w:rsidRPr="00214483">
        <w:rPr>
          <w:rFonts w:ascii="Times New Roman" w:hAnsi="Times New Roman" w:cs="Times New Roman"/>
        </w:rPr>
        <w:t xml:space="preserve">, </w:t>
      </w:r>
      <w:r w:rsidRPr="00214483">
        <w:rPr>
          <w:rFonts w:ascii="Times New Roman" w:hAnsi="Times New Roman" w:cs="Times New Roman"/>
          <w:i/>
        </w:rPr>
        <w:t>F. congicus</w:t>
      </w:r>
      <w:r w:rsidRPr="00214483">
        <w:rPr>
          <w:rFonts w:ascii="Times New Roman" w:hAnsi="Times New Roman" w:cs="Times New Roman"/>
        </w:rPr>
        <w:t xml:space="preserve">, </w:t>
      </w:r>
      <w:r w:rsidRPr="00214483">
        <w:rPr>
          <w:rFonts w:ascii="Times New Roman" w:hAnsi="Times New Roman" w:cs="Times New Roman"/>
          <w:i/>
        </w:rPr>
        <w:t>F. isabella</w:t>
      </w:r>
      <w:r w:rsidRPr="00214483">
        <w:rPr>
          <w:rFonts w:ascii="Times New Roman" w:hAnsi="Times New Roman" w:cs="Times New Roman"/>
        </w:rPr>
        <w:t xml:space="preserve">, </w:t>
      </w:r>
      <w:r w:rsidRPr="00214483">
        <w:rPr>
          <w:rFonts w:ascii="Times New Roman" w:hAnsi="Times New Roman" w:cs="Times New Roman"/>
          <w:i/>
        </w:rPr>
        <w:t>F. lemniscatus</w:t>
      </w:r>
      <w:r w:rsidRPr="00214483">
        <w:rPr>
          <w:rFonts w:ascii="Times New Roman" w:hAnsi="Times New Roman" w:cs="Times New Roman"/>
        </w:rPr>
        <w:t xml:space="preserve">, </w:t>
      </w:r>
      <w:r w:rsidRPr="00214483">
        <w:rPr>
          <w:rFonts w:ascii="Times New Roman" w:hAnsi="Times New Roman" w:cs="Times New Roman"/>
          <w:i/>
        </w:rPr>
        <w:t>F. leonis</w:t>
      </w:r>
      <w:r w:rsidRPr="00214483">
        <w:rPr>
          <w:rFonts w:ascii="Times New Roman" w:hAnsi="Times New Roman" w:cs="Times New Roman"/>
        </w:rPr>
        <w:t xml:space="preserve">, </w:t>
      </w:r>
      <w:r w:rsidRPr="00214483">
        <w:rPr>
          <w:rFonts w:ascii="Times New Roman" w:hAnsi="Times New Roman" w:cs="Times New Roman"/>
          <w:i/>
        </w:rPr>
        <w:t>F. leucogenys</w:t>
      </w:r>
      <w:r w:rsidRPr="00214483">
        <w:rPr>
          <w:rFonts w:ascii="Times New Roman" w:hAnsi="Times New Roman" w:cs="Times New Roman"/>
        </w:rPr>
        <w:t xml:space="preserve">, </w:t>
      </w:r>
      <w:r w:rsidRPr="00214483">
        <w:rPr>
          <w:rFonts w:ascii="Times New Roman" w:hAnsi="Times New Roman" w:cs="Times New Roman"/>
          <w:i/>
        </w:rPr>
        <w:t>F. pyrropus</w:t>
      </w:r>
      <w:r w:rsidRPr="00214483">
        <w:rPr>
          <w:rFonts w:ascii="Times New Roman" w:hAnsi="Times New Roman" w:cs="Times New Roman"/>
        </w:rPr>
        <w:t xml:space="preserve">, and </w:t>
      </w:r>
      <w:r w:rsidRPr="00214483">
        <w:rPr>
          <w:rFonts w:ascii="Times New Roman" w:hAnsi="Times New Roman" w:cs="Times New Roman"/>
          <w:i/>
        </w:rPr>
        <w:t>H. gambianus</w:t>
      </w:r>
      <w:r w:rsidRPr="00214483">
        <w:rPr>
          <w:rFonts w:ascii="Times New Roman" w:hAnsi="Times New Roman" w:cs="Times New Roman"/>
        </w:rPr>
        <w:t xml:space="preserve">, </w:t>
      </w:r>
      <w:r w:rsidRPr="00214483">
        <w:rPr>
          <w:rFonts w:ascii="Times New Roman" w:hAnsi="Times New Roman" w:cs="Times New Roman"/>
          <w:i/>
        </w:rPr>
        <w:t>H. rufobrachium</w:t>
      </w:r>
      <w:r w:rsidRPr="00214483">
        <w:rPr>
          <w:rFonts w:ascii="Times New Roman" w:hAnsi="Times New Roman" w:cs="Times New Roman"/>
        </w:rPr>
        <w:t xml:space="preserve">, and </w:t>
      </w:r>
      <w:r w:rsidRPr="00214483">
        <w:rPr>
          <w:rFonts w:ascii="Times New Roman" w:hAnsi="Times New Roman" w:cs="Times New Roman"/>
          <w:i/>
        </w:rPr>
        <w:t>H. ruwenzorii</w:t>
      </w:r>
      <w:r w:rsidRPr="00214483">
        <w:rPr>
          <w:rFonts w:ascii="Times New Roman" w:hAnsi="Times New Roman" w:cs="Times New Roman"/>
        </w:rPr>
        <w:t>. Presence/absence of a species was coded as a binary variable at a 1-km spatial resolution and averaged across administrative areas. Additionally, various combinations of host community richness were calculated. Other indices of richness included the species richness of (</w:t>
      </w:r>
      <w:proofErr w:type="spellStart"/>
      <w:r w:rsidRPr="00214483">
        <w:rPr>
          <w:rFonts w:ascii="Times New Roman" w:hAnsi="Times New Roman" w:cs="Times New Roman"/>
        </w:rPr>
        <w:t>i</w:t>
      </w:r>
      <w:proofErr w:type="spellEnd"/>
      <w:r w:rsidRPr="00214483">
        <w:rPr>
          <w:rFonts w:ascii="Times New Roman" w:hAnsi="Times New Roman" w:cs="Times New Roman"/>
        </w:rPr>
        <w:t xml:space="preserve">) genus </w:t>
      </w:r>
      <w:r w:rsidRPr="00214483">
        <w:rPr>
          <w:rFonts w:ascii="Times New Roman" w:hAnsi="Times New Roman" w:cs="Times New Roman"/>
          <w:i/>
        </w:rPr>
        <w:t>Funisciurus</w:t>
      </w:r>
      <w:r w:rsidRPr="00214483">
        <w:rPr>
          <w:rFonts w:ascii="Times New Roman" w:hAnsi="Times New Roman" w:cs="Times New Roman"/>
        </w:rPr>
        <w:t xml:space="preserve">, (ii) genus </w:t>
      </w:r>
      <w:r w:rsidRPr="00214483">
        <w:rPr>
          <w:rFonts w:ascii="Times New Roman" w:hAnsi="Times New Roman" w:cs="Times New Roman"/>
          <w:i/>
        </w:rPr>
        <w:t>Heliosciurus</w:t>
      </w:r>
      <w:r w:rsidRPr="00214483">
        <w:rPr>
          <w:rFonts w:ascii="Times New Roman" w:hAnsi="Times New Roman" w:cs="Times New Roman"/>
        </w:rPr>
        <w:t xml:space="preserve">, (iii) all species belonging to both genera, (iv) the presence of both </w:t>
      </w:r>
      <w:r w:rsidRPr="00214483">
        <w:rPr>
          <w:rFonts w:ascii="Times New Roman" w:hAnsi="Times New Roman" w:cs="Times New Roman"/>
          <w:i/>
        </w:rPr>
        <w:t>F. anerythrus</w:t>
      </w:r>
      <w:r w:rsidRPr="00214483">
        <w:rPr>
          <w:rFonts w:ascii="Times New Roman" w:hAnsi="Times New Roman" w:cs="Times New Roman"/>
        </w:rPr>
        <w:t xml:space="preserve"> and </w:t>
      </w:r>
      <w:r w:rsidRPr="00214483">
        <w:rPr>
          <w:rFonts w:ascii="Times New Roman" w:hAnsi="Times New Roman" w:cs="Times New Roman"/>
          <w:i/>
        </w:rPr>
        <w:t>F. congicus</w:t>
      </w:r>
      <w:r w:rsidRPr="00214483">
        <w:rPr>
          <w:rFonts w:ascii="Times New Roman" w:hAnsi="Times New Roman" w:cs="Times New Roman"/>
        </w:rPr>
        <w:t>, (v) host species found to be MPXV positive in this study (</w:t>
      </w:r>
      <w:r w:rsidRPr="00214483">
        <w:rPr>
          <w:rFonts w:ascii="Times New Roman" w:hAnsi="Times New Roman" w:cs="Times New Roman"/>
          <w:i/>
        </w:rPr>
        <w:t>F. anerythrus</w:t>
      </w:r>
      <w:r w:rsidRPr="00214483">
        <w:rPr>
          <w:rFonts w:ascii="Times New Roman" w:hAnsi="Times New Roman" w:cs="Times New Roman"/>
        </w:rPr>
        <w:t>,</w:t>
      </w:r>
      <w:r w:rsidRPr="00214483">
        <w:rPr>
          <w:rFonts w:ascii="Times New Roman" w:hAnsi="Times New Roman" w:cs="Times New Roman"/>
          <w:i/>
        </w:rPr>
        <w:t xml:space="preserve"> carruthersi</w:t>
      </w:r>
      <w:r w:rsidRPr="00214483">
        <w:rPr>
          <w:rFonts w:ascii="Times New Roman" w:hAnsi="Times New Roman" w:cs="Times New Roman"/>
        </w:rPr>
        <w:t xml:space="preserve">, </w:t>
      </w:r>
      <w:r w:rsidRPr="00214483">
        <w:rPr>
          <w:rFonts w:ascii="Times New Roman" w:hAnsi="Times New Roman" w:cs="Times New Roman"/>
          <w:i/>
        </w:rPr>
        <w:t>congicus</w:t>
      </w:r>
      <w:r w:rsidRPr="00214483">
        <w:rPr>
          <w:rFonts w:ascii="Times New Roman" w:hAnsi="Times New Roman" w:cs="Times New Roman"/>
        </w:rPr>
        <w:t xml:space="preserve">, </w:t>
      </w:r>
      <w:r w:rsidRPr="00214483">
        <w:rPr>
          <w:rFonts w:ascii="Times New Roman" w:hAnsi="Times New Roman" w:cs="Times New Roman"/>
          <w:i/>
        </w:rPr>
        <w:t>lemniscatus</w:t>
      </w:r>
      <w:r w:rsidRPr="00214483">
        <w:rPr>
          <w:rFonts w:ascii="Times New Roman" w:hAnsi="Times New Roman" w:cs="Times New Roman"/>
        </w:rPr>
        <w:t>, and</w:t>
      </w:r>
      <w:r w:rsidRPr="00214483">
        <w:rPr>
          <w:rFonts w:ascii="Times New Roman" w:hAnsi="Times New Roman" w:cs="Times New Roman"/>
          <w:i/>
        </w:rPr>
        <w:t xml:space="preserve"> pyrropus</w:t>
      </w:r>
      <w:r w:rsidRPr="00214483">
        <w:rPr>
          <w:rFonts w:ascii="Times New Roman" w:hAnsi="Times New Roman" w:cs="Times New Roman"/>
        </w:rPr>
        <w:t>), and (vi) host richness found seropositive historically and PCR-positive in this study (</w:t>
      </w:r>
      <w:r w:rsidRPr="00214483">
        <w:rPr>
          <w:rFonts w:ascii="Times New Roman" w:hAnsi="Times New Roman" w:cs="Times New Roman"/>
          <w:i/>
        </w:rPr>
        <w:t>F. anerythrus</w:t>
      </w:r>
      <w:r w:rsidRPr="00214483">
        <w:rPr>
          <w:rFonts w:ascii="Times New Roman" w:hAnsi="Times New Roman" w:cs="Times New Roman"/>
        </w:rPr>
        <w:t xml:space="preserve">, </w:t>
      </w:r>
      <w:r w:rsidRPr="00214483">
        <w:rPr>
          <w:rFonts w:ascii="Times New Roman" w:hAnsi="Times New Roman" w:cs="Times New Roman"/>
          <w:i/>
        </w:rPr>
        <w:t>carruthersi</w:t>
      </w:r>
      <w:r w:rsidRPr="00214483">
        <w:rPr>
          <w:rFonts w:ascii="Times New Roman" w:hAnsi="Times New Roman" w:cs="Times New Roman"/>
        </w:rPr>
        <w:t>,</w:t>
      </w:r>
      <w:r w:rsidRPr="00214483">
        <w:rPr>
          <w:rFonts w:ascii="Times New Roman" w:hAnsi="Times New Roman" w:cs="Times New Roman"/>
          <w:i/>
        </w:rPr>
        <w:t xml:space="preserve"> congicus</w:t>
      </w:r>
      <w:r w:rsidRPr="00214483">
        <w:rPr>
          <w:rFonts w:ascii="Times New Roman" w:hAnsi="Times New Roman" w:cs="Times New Roman"/>
        </w:rPr>
        <w:t xml:space="preserve">, </w:t>
      </w:r>
      <w:r w:rsidRPr="00214483">
        <w:rPr>
          <w:rFonts w:ascii="Times New Roman" w:hAnsi="Times New Roman" w:cs="Times New Roman"/>
          <w:i/>
        </w:rPr>
        <w:t>isabella</w:t>
      </w:r>
      <w:r w:rsidRPr="00214483">
        <w:rPr>
          <w:rFonts w:ascii="Times New Roman" w:hAnsi="Times New Roman" w:cs="Times New Roman"/>
        </w:rPr>
        <w:t xml:space="preserve">, </w:t>
      </w:r>
      <w:r w:rsidRPr="00214483">
        <w:rPr>
          <w:rFonts w:ascii="Times New Roman" w:hAnsi="Times New Roman" w:cs="Times New Roman"/>
          <w:i/>
        </w:rPr>
        <w:t>lemniscatus</w:t>
      </w:r>
      <w:r w:rsidRPr="00214483">
        <w:rPr>
          <w:rFonts w:ascii="Times New Roman" w:hAnsi="Times New Roman" w:cs="Times New Roman"/>
        </w:rPr>
        <w:t xml:space="preserve">, </w:t>
      </w:r>
      <w:r w:rsidRPr="00214483">
        <w:rPr>
          <w:rFonts w:ascii="Times New Roman" w:hAnsi="Times New Roman" w:cs="Times New Roman"/>
          <w:i/>
        </w:rPr>
        <w:t>pyrropus</w:t>
      </w:r>
      <w:r w:rsidRPr="00214483">
        <w:rPr>
          <w:rFonts w:ascii="Times New Roman" w:hAnsi="Times New Roman" w:cs="Times New Roman"/>
        </w:rPr>
        <w:t xml:space="preserve">, </w:t>
      </w:r>
      <w:r w:rsidRPr="00214483">
        <w:rPr>
          <w:rFonts w:ascii="Times New Roman" w:hAnsi="Times New Roman" w:cs="Times New Roman"/>
          <w:i/>
        </w:rPr>
        <w:t>gambianus</w:t>
      </w:r>
      <w:r w:rsidRPr="00214483">
        <w:rPr>
          <w:rFonts w:ascii="Times New Roman" w:hAnsi="Times New Roman" w:cs="Times New Roman"/>
        </w:rPr>
        <w:t xml:space="preserve">, </w:t>
      </w:r>
      <w:r w:rsidRPr="00214483">
        <w:rPr>
          <w:rFonts w:ascii="Times New Roman" w:hAnsi="Times New Roman" w:cs="Times New Roman"/>
          <w:i/>
        </w:rPr>
        <w:t>rufobrachium</w:t>
      </w:r>
      <w:r w:rsidRPr="00214483">
        <w:rPr>
          <w:rFonts w:ascii="Times New Roman" w:hAnsi="Times New Roman" w:cs="Times New Roman"/>
        </w:rPr>
        <w:t xml:space="preserve">). All spatial resampling, extraction of raster values, creation of species richness indices were performed using a combination of QGIS Version 2.6.0-Brighton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"QGIS Development Team", "given" : "", "non-dropping-particle" : "", "parse-names" : false, "suffix" : "" } ], "id" : "ITEM-1", "issued" : { "date-parts" : [ [ "2014" ] ] }, "number" : "2.6.0-Brighton", "title" : "QGIS Geographic Information System", "type" : "article" }, "uris" : [ "http://www.mendeley.com/documents/?uuid=6a31e082-087f-4453-ac77-d59ee3a540cc" ] } ], "mendeley" : { "formattedCitation" : "(10)", "plainTextFormattedCitation" : "(10)",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(10)</w:t>
      </w:r>
      <w:r w:rsidRPr="00214483">
        <w:rPr>
          <w:rFonts w:ascii="Times New Roman" w:hAnsi="Times New Roman" w:cs="Times New Roman"/>
        </w:rPr>
        <w:fldChar w:fldCharType="end"/>
      </w:r>
      <w:r w:rsidRPr="00214483">
        <w:rPr>
          <w:rFonts w:ascii="Times New Roman" w:hAnsi="Times New Roman" w:cs="Times New Roman"/>
        </w:rPr>
        <w:t xml:space="preserve">, </w:t>
      </w:r>
      <w:proofErr w:type="spellStart"/>
      <w:r w:rsidRPr="00214483">
        <w:rPr>
          <w:rFonts w:ascii="Times New Roman" w:hAnsi="Times New Roman" w:cs="Times New Roman"/>
        </w:rPr>
        <w:t>RStudio</w:t>
      </w:r>
      <w:proofErr w:type="spellEnd"/>
      <w:r w:rsidRPr="00214483">
        <w:rPr>
          <w:rFonts w:ascii="Times New Roman" w:hAnsi="Times New Roman" w:cs="Times New Roman"/>
        </w:rPr>
        <w:t xml:space="preserve"> version 0.98.1091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"RStudio", "given" : "", "non-dropping-particle" : "", "parse-names" : false, "suffix" : "" } ], "id" : "ITEM-1", "issued" : { "date-parts" : [ [ "2012" ] ] }, "number" : "0.98.1091", "publisher-place" : "Boston, MA", "title" : "RStudio: Integrated development environment for R", "type" : "article" }, "uris" : [ "http://www.mendeley.com/documents/?uuid=1d6522b3-50bb-4416-a978-b1ef41a3aefb" ] } ], "mendeley" : { "formattedCitation" : "(11)", "plainTextFormattedCitation" : "(11)", "previouslyFormattedCitation" : "(10)"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(11)</w:t>
      </w:r>
      <w:r w:rsidRPr="00214483">
        <w:rPr>
          <w:rFonts w:ascii="Times New Roman" w:hAnsi="Times New Roman" w:cs="Times New Roman"/>
        </w:rPr>
        <w:fldChar w:fldCharType="end"/>
      </w:r>
      <w:r w:rsidRPr="00214483">
        <w:rPr>
          <w:rFonts w:ascii="Times New Roman" w:hAnsi="Times New Roman" w:cs="Times New Roman"/>
        </w:rPr>
        <w:t xml:space="preserve">, R version 3.0.2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"R Core Team", "given" : "", "non-dropping-particle" : "", "parse-names" : false, "suffix" : "" } ], "id" : "ITEM-1", "issued" : { "date-parts" : [ [ "2013" ] ] }, "number" : "3.0.2", "publisher" : "R Foundation for Statistical Computing", "publisher-place" : "Vienna, Austria", "title" : "R: A language and environment for statistical computing", "type" : "article" }, "uris" : [ "http://www.mendeley.com/documents/?uuid=7d68b8ca-1419-4c6c-af3a-f55eba13ba28" ] } ], "mendeley" : { "formattedCitation" : "(12)", "plainTextFormattedCitation" : "(12)", "previouslyFormattedCitation" : "(11)"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(12)</w:t>
      </w:r>
      <w:r w:rsidRPr="00214483">
        <w:rPr>
          <w:rFonts w:ascii="Times New Roman" w:hAnsi="Times New Roman" w:cs="Times New Roman"/>
        </w:rPr>
        <w:fldChar w:fldCharType="end"/>
      </w:r>
      <w:r w:rsidRPr="00214483">
        <w:rPr>
          <w:rFonts w:ascii="Times New Roman" w:hAnsi="Times New Roman" w:cs="Times New Roman"/>
        </w:rPr>
        <w:t>, R package raster</w:t>
      </w:r>
      <w:r w:rsidRPr="00214483">
        <w:rPr>
          <w:rFonts w:ascii="Times New Roman" w:eastAsia="Times New Roman" w:hAnsi="Times New Roman" w:cs="Times New Roman"/>
        </w:rPr>
        <w:t xml:space="preserve"> version 2.3-12</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"Hijmans", "given" : "Robert J", "non-dropping-particle" : "", "parse-names" : false, "suffix" : "" } ], "id" : "ITEM-1", "issued" : { "date-parts" : [ [ "2014" ] ] }, "note" : "R package version 2.3-12", "number" : "R package version 2.3-12", "title" : "raster: Geographic data analysis and modeling", "type" : "article" }, "uris" : [ "http://www.mendeley.com/documents/?uuid=73516b29-66a2-4822-983c-9696d93ec434" ] } ], "mendeley" : { "formattedCitation" : "(13)", "plainTextFormattedCitation" : "(13)", "previouslyFormattedCitation" : "(12)"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(13)</w:t>
      </w:r>
      <w:r w:rsidRPr="00214483">
        <w:rPr>
          <w:rFonts w:ascii="Times New Roman" w:hAnsi="Times New Roman" w:cs="Times New Roman"/>
        </w:rPr>
        <w:fldChar w:fldCharType="end"/>
      </w:r>
      <w:r w:rsidRPr="00214483">
        <w:rPr>
          <w:rFonts w:ascii="Times New Roman" w:hAnsi="Times New Roman" w:cs="Times New Roman"/>
        </w:rPr>
        <w:t xml:space="preserve">, and R package </w:t>
      </w:r>
      <w:proofErr w:type="spellStart"/>
      <w:r w:rsidRPr="00214483">
        <w:rPr>
          <w:rFonts w:ascii="Times New Roman" w:hAnsi="Times New Roman" w:cs="Times New Roman"/>
        </w:rPr>
        <w:t>rgdal</w:t>
      </w:r>
      <w:proofErr w:type="spellEnd"/>
      <w:r w:rsidRPr="00214483">
        <w:rPr>
          <w:rFonts w:ascii="Times New Roman" w:hAnsi="Times New Roman" w:cs="Times New Roman"/>
        </w:rPr>
        <w:t xml:space="preserve"> </w:t>
      </w:r>
      <w:r w:rsidRPr="00214483">
        <w:rPr>
          <w:rFonts w:ascii="Times New Roman" w:eastAsia="Times New Roman" w:hAnsi="Times New Roman" w:cs="Times New Roman"/>
        </w:rPr>
        <w:t>version 0.9-1</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"Bivand", "given" : "Roger", "non-dropping-particle" : "", "parse-names" : false, "suffix" : "" }, { "dropping-particle" : "", "family" : "Keitt", "given" : "Tim", "non-dropping-particle" : "", "parse-names" : false, "suffix" : "" }, { "dropping-particle" : "", "family" : "Rowlingson", "given" : "Barry", "non-dropping-particle" : "", "parse-names" : false, "suffix" : "" } ], "id" : "ITEM-1", "issued" : { "date-parts" : [ [ "2014" ] ] }, "note" : "R package version 0.9-1", "number" : "R package version 0.9-1", "title" : "rgdal: Bindings for the Geospatial Data Abstraction Library", "type" : "article" }, "uris" : [ "http://www.mendeley.com/documents/?uuid=dee33b0d-5fcb-4c64-88bd-0cdbac6054d3" ] } ], "mendeley" : { "formattedCitation" : "(14)", "plainTextFormattedCitation" : "(14)", "previouslyFormattedCitation" : "(13)"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(14)</w:t>
      </w:r>
      <w:r w:rsidRPr="00214483">
        <w:rPr>
          <w:rFonts w:ascii="Times New Roman" w:hAnsi="Times New Roman" w:cs="Times New Roman"/>
        </w:rPr>
        <w:fldChar w:fldCharType="end"/>
      </w:r>
      <w:r w:rsidRPr="00214483">
        <w:rPr>
          <w:rFonts w:ascii="Times New Roman" w:hAnsi="Times New Roman" w:cs="Times New Roman"/>
        </w:rPr>
        <w:t xml:space="preserve">. </w:t>
      </w:r>
    </w:p>
    <w:p w14:paraId="203AF624" w14:textId="77777777" w:rsidR="006F5DA6" w:rsidRPr="00214483" w:rsidRDefault="006F5DA6" w:rsidP="007A1EE6">
      <w:pPr>
        <w:spacing w:line="480" w:lineRule="auto"/>
        <w:rPr>
          <w:rFonts w:ascii="Times New Roman" w:hAnsi="Times New Roman" w:cs="Times New Roman"/>
        </w:rPr>
      </w:pPr>
    </w:p>
    <w:p w14:paraId="579C5520" w14:textId="0E215299" w:rsidR="002B7069" w:rsidRPr="00214483" w:rsidRDefault="006F5DA6" w:rsidP="007A1EE6">
      <w:pPr>
        <w:spacing w:line="480" w:lineRule="auto"/>
        <w:rPr>
          <w:rFonts w:ascii="Times New Roman" w:hAnsi="Times New Roman" w:cs="Times New Roman"/>
        </w:rPr>
      </w:pPr>
      <w:r w:rsidRPr="00214483">
        <w:rPr>
          <w:rFonts w:ascii="Times New Roman" w:hAnsi="Times New Roman" w:cs="Times New Roman"/>
        </w:rPr>
        <w:t xml:space="preserve">MPXV positive counts per administrative area were compared to the presence/absence of specific species and other indices of species richness using a mixed effects Poisson regression model with a </w:t>
      </w:r>
      <w:proofErr w:type="spellStart"/>
      <w:r w:rsidRPr="00214483">
        <w:rPr>
          <w:rFonts w:ascii="Times New Roman" w:hAnsi="Times New Roman" w:cs="Times New Roman"/>
        </w:rPr>
        <w:t>logit</w:t>
      </w:r>
      <w:proofErr w:type="spellEnd"/>
      <w:r w:rsidRPr="00214483">
        <w:rPr>
          <w:rFonts w:ascii="Times New Roman" w:hAnsi="Times New Roman" w:cs="Times New Roman"/>
        </w:rPr>
        <w:t xml:space="preserve"> link. Models were created for each MPXV-positive species separately and controlled for variation between years, museums, and sampling effort by including collection period and museum as random effects and an exposure variable. The exposure variable offset the model by a logarithmic function of the total number of samples from each administrative area, accounting for differences in opportunity to detect an MPXV positive due to sample size. All mixed effects models were fit to the data using R package lme4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"Bates", "given" : "D.", "non-dropping-particle" : "", "parse-names" : false, "suffix" : "" }, { "dropping-particle" : "", "family" : "Maechler", "given" : "M.", "non-dropping-particle" : "", "parse-names" : false, "suffix" : "" }, { "dropping-particle" : "", "family" : "Bolker", "given" : "B.", "non-dropping-particle" : "", "parse-names" : false, "suffix" : "" }, { "dropping-particle" : "", "family" : "Walker", "given" : "S.", "non-dropping-particle" : "", "parse-names" : false, "suffix" : "" } ], "id" : "ITEM-1", "issued" : { "date-parts" : [ [ "2014" ] ] }, "number" : "R package 1.1-7", "title" : "lme4: Linear mixed-effects models using Eigen and S4", "type" : "article" }, "uris" : [ "http://www.mendeley.com/documents/?uuid=70b93edd-23a3-4f35-aa42-7a91177d7c49" ] }, { "id" : "ITEM-2", "itemData" : { "author" : [ { "dropping-particle" : "", "family" : "R Core Team", "given" : "", "non-dropping-particle" : "", "parse-names" : false, "suffix" : "" } ], "id" : "ITEM-2", "issued" : { "date-parts" : [ [ "2013" ] ] }, "number" : "3.0.2", "publisher" : "R Foundation for Statistical Computing", "publisher-place" : "Vienna, Austria", "title" : "R: A language and environment for statistical computing", "type" : "article" }, "uris" : [ "http://www.mendeley.com/documents/?uuid=7d68b8ca-1419-4c6c-af3a-f55eba13ba28" ] } ], "mendeley" : { "formattedCitation" : "(12,15)", "plainTextFormattedCitation" : "(12,15)", "previouslyFormattedCitation" : "(42,50)"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(12,15)</w:t>
      </w:r>
      <w:r w:rsidRPr="00214483">
        <w:rPr>
          <w:rFonts w:ascii="Times New Roman" w:hAnsi="Times New Roman" w:cs="Times New Roman"/>
        </w:rPr>
        <w:fldChar w:fldCharType="end"/>
      </w:r>
      <w:r w:rsidRPr="00214483">
        <w:rPr>
          <w:rFonts w:ascii="Times New Roman" w:hAnsi="Times New Roman" w:cs="Times New Roman"/>
        </w:rPr>
        <w:t xml:space="preserve">. Model selection and averaging were done through R package </w:t>
      </w:r>
      <w:proofErr w:type="spellStart"/>
      <w:r w:rsidRPr="00214483">
        <w:rPr>
          <w:rFonts w:ascii="Times New Roman" w:hAnsi="Times New Roman" w:cs="Times New Roman"/>
        </w:rPr>
        <w:t>MuMIn</w:t>
      </w:r>
      <w:proofErr w:type="spellEnd"/>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"Barto\u0144", "given" : "K.", "non-dropping-particle" : "", "parse-names" : false, "suffix" : "" } ], "id" : "ITEM-1", "issued" : { "date-parts" : [ [ "2015" ] ] }, "number" : "R package version 1.13.4", "title" : "MuMIn: Multi-Model Inference", "type" : "article" }, "uris" : [ "http://www.mendeley.com/documents/?uuid=f519b137-3936-4fdd-b031-f366d3ae9e31" ] }, { "id" : "ITEM-2", "itemData" : { "author" : [ { "dropping-particle" : "", "family" : "R Core Team", "given" : "", "non-dropping-particle" : "", "parse-names" : false, "suffix" : "" } ], "id" : "ITEM-2", "issued" : { "date-parts" : [ [ "2013" ] ] }, "number" : "3.0.2", "publisher" : "R Foundation for Statistical Computing", "publisher-place" : "Vienna, Austria", "title" : "R: A language and environment for statistical computing", "type" : "article" }, "uris" : [ "http://www.mendeley.com/documents/?uuid=7d68b8ca-1419-4c6c-af3a-f55eba13ba28" ] } ], "mendeley" : { "formattedCitation" : "(12,16)", "plainTextFormattedCitation" : "(12,16)", "previouslyFormattedCitation" : "(42,51)"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(12,16)</w:t>
      </w:r>
      <w:r w:rsidRPr="00214483">
        <w:rPr>
          <w:rFonts w:ascii="Times New Roman" w:hAnsi="Times New Roman" w:cs="Times New Roman"/>
        </w:rPr>
        <w:fldChar w:fldCharType="end"/>
      </w:r>
      <w:r w:rsidRPr="00214483">
        <w:rPr>
          <w:rFonts w:ascii="Times New Roman" w:eastAsia="Times New Roman" w:hAnsi="Times New Roman" w:cs="Times New Roman"/>
        </w:rPr>
        <w:t xml:space="preserve">. Individual model variables were tested for significance using </w:t>
      </w:r>
      <w:r w:rsidRPr="00214483">
        <w:rPr>
          <w:rFonts w:ascii="Times New Roman" w:hAnsi="Times New Roman" w:cs="Times New Roman"/>
        </w:rPr>
        <w:t xml:space="preserve">likelihood-ratio </w:t>
      </w:r>
      <w:r w:rsidRPr="00214483">
        <w:rPr>
          <w:rFonts w:ascii="Times New Roman" w:eastAsia="Times New Roman" w:hAnsi="Times New Roman" w:cs="Times New Roman"/>
        </w:rPr>
        <w:t xml:space="preserve">chi-squared tests, and overall model fit was measured through pseudo R-squared values and F-test. Residual deviance was compared to residual degrees of freedom to ensure that the data did not exhibit </w:t>
      </w:r>
      <w:proofErr w:type="spellStart"/>
      <w:r w:rsidRPr="00214483">
        <w:rPr>
          <w:rFonts w:ascii="Times New Roman" w:eastAsia="Times New Roman" w:hAnsi="Times New Roman" w:cs="Times New Roman"/>
        </w:rPr>
        <w:t>overdispersion</w:t>
      </w:r>
      <w:proofErr w:type="spellEnd"/>
      <w:r w:rsidRPr="00214483">
        <w:rPr>
          <w:rFonts w:ascii="Times New Roman" w:eastAsia="Times New Roman" w:hAnsi="Times New Roman" w:cs="Times New Roman"/>
        </w:rPr>
        <w:t xml:space="preserve">. </w:t>
      </w:r>
    </w:p>
    <w:p w14:paraId="04F4B6EF" w14:textId="77777777" w:rsidR="003F204A" w:rsidRPr="00214483" w:rsidRDefault="003F204A" w:rsidP="007A1EE6">
      <w:pPr>
        <w:spacing w:line="480" w:lineRule="auto"/>
        <w:rPr>
          <w:rFonts w:ascii="Times New Roman" w:hAnsi="Times New Roman" w:cs="Times New Roman"/>
        </w:rPr>
      </w:pPr>
    </w:p>
    <w:p w14:paraId="4C6BE917" w14:textId="24A3225A" w:rsidR="00A04393" w:rsidRDefault="002B7069" w:rsidP="00B12506">
      <w:pPr>
        <w:spacing w:line="480" w:lineRule="auto"/>
        <w:rPr>
          <w:rFonts w:ascii="Times New Roman" w:hAnsi="Times New Roman" w:cs="Times New Roman"/>
          <w:b/>
        </w:rPr>
      </w:pPr>
      <w:r w:rsidRPr="00214483">
        <w:rPr>
          <w:rFonts w:ascii="Times New Roman" w:hAnsi="Times New Roman" w:cs="Times New Roman"/>
          <w:b/>
        </w:rPr>
        <w:t>RESULTS</w:t>
      </w:r>
      <w:r w:rsidR="00A42690" w:rsidRPr="00214483">
        <w:rPr>
          <w:rFonts w:ascii="Times New Roman" w:hAnsi="Times New Roman" w:cs="Times New Roman"/>
          <w:b/>
        </w:rPr>
        <w:t>:</w:t>
      </w:r>
    </w:p>
    <w:p w14:paraId="6D339912" w14:textId="2A78325F" w:rsidR="00F92D21" w:rsidRPr="00214483" w:rsidRDefault="00F92D21" w:rsidP="00B12506">
      <w:pPr>
        <w:spacing w:line="480" w:lineRule="auto"/>
        <w:rPr>
          <w:rFonts w:ascii="Times New Roman" w:hAnsi="Times New Roman" w:cs="Times New Roman"/>
          <w:b/>
        </w:rPr>
      </w:pPr>
      <w:r w:rsidRPr="00515A93">
        <w:rPr>
          <w:rFonts w:ascii="Times New Roman" w:hAnsi="Times New Roman" w:cs="Times New Roman"/>
        </w:rPr>
        <w:t>The overall MPXV prevalence level for either MPXV amplicon was 9.0% (93/1038</w:t>
      </w:r>
      <w:r>
        <w:rPr>
          <w:rFonts w:ascii="Times New Roman" w:hAnsi="Times New Roman" w:cs="Times New Roman"/>
        </w:rPr>
        <w:t>, Table 1</w:t>
      </w:r>
      <w:r w:rsidRPr="00515A93">
        <w:rPr>
          <w:rFonts w:ascii="Times New Roman" w:hAnsi="Times New Roman" w:cs="Times New Roman"/>
        </w:rPr>
        <w:t>). When broken down by amplicon, the prevalence rates for MPXV DNA were overall 3.4% (35/1038) for the G2R_G amplicon and 6.9% (72/1038) for the G2R_WA amplicon (Figure S</w:t>
      </w:r>
      <w:r>
        <w:rPr>
          <w:rFonts w:ascii="Times New Roman" w:hAnsi="Times New Roman" w:cs="Times New Roman"/>
        </w:rPr>
        <w:t>1</w:t>
      </w:r>
      <w:r w:rsidRPr="00515A93">
        <w:rPr>
          <w:rFonts w:ascii="Times New Roman" w:hAnsi="Times New Roman" w:cs="Times New Roman"/>
        </w:rPr>
        <w:t xml:space="preserve">, Table 1). </w:t>
      </w:r>
    </w:p>
    <w:p w14:paraId="3033B64D" w14:textId="5343FE02" w:rsidR="00BD1DDF" w:rsidRPr="00214483" w:rsidRDefault="006E3E2A" w:rsidP="00BD1DDF">
      <w:pPr>
        <w:spacing w:line="480" w:lineRule="auto"/>
        <w:rPr>
          <w:rFonts w:ascii="Times New Roman" w:hAnsi="Times New Roman" w:cs="Times New Roman"/>
          <w:b/>
          <w:i/>
        </w:rPr>
      </w:pPr>
      <w:r>
        <w:rPr>
          <w:rFonts w:ascii="Times New Roman" w:hAnsi="Times New Roman" w:cs="Times New Roman"/>
          <w:b/>
        </w:rPr>
        <w:t>(a</w:t>
      </w:r>
      <w:r w:rsidR="00BD1DDF" w:rsidRPr="00214483">
        <w:rPr>
          <w:rFonts w:ascii="Times New Roman" w:hAnsi="Times New Roman" w:cs="Times New Roman"/>
          <w:b/>
        </w:rPr>
        <w:t>)</w:t>
      </w:r>
      <w:r w:rsidR="00BD1DDF" w:rsidRPr="00214483">
        <w:rPr>
          <w:rFonts w:ascii="Times New Roman" w:hAnsi="Times New Roman" w:cs="Times New Roman"/>
          <w:b/>
          <w:i/>
        </w:rPr>
        <w:t xml:space="preserve"> Museum collection differences </w:t>
      </w:r>
      <w:bookmarkStart w:id="0" w:name="_GoBack"/>
      <w:bookmarkEnd w:id="0"/>
    </w:p>
    <w:p w14:paraId="4AE563FD" w14:textId="58827BB9" w:rsidR="00BD1DDF" w:rsidRPr="00214483" w:rsidRDefault="00BD1DDF" w:rsidP="00BD1DDF">
      <w:pPr>
        <w:spacing w:line="480" w:lineRule="auto"/>
        <w:rPr>
          <w:rFonts w:ascii="Times New Roman" w:hAnsi="Times New Roman" w:cs="Times New Roman"/>
        </w:rPr>
      </w:pPr>
      <w:r w:rsidRPr="00214483">
        <w:rPr>
          <w:rFonts w:ascii="Times New Roman" w:hAnsi="Times New Roman" w:cs="Times New Roman"/>
        </w:rPr>
        <w:t xml:space="preserve">The significant difference in MPXV outcome seen in specimens based on museum of origin was further explored. The geographic distribution of samples varied widely by museum and overlap of RMCA and AMNH samples occurred primarily in the DRC. To ensure that this museum effect was not confounded by spatial representation, the data was constrained to the administrative areas where museums overlap. A mixed effects Poisson regression model fit to MPXV counts with </w:t>
      </w:r>
      <w:r w:rsidR="002A2605">
        <w:rPr>
          <w:rFonts w:ascii="Times New Roman" w:hAnsi="Times New Roman" w:cs="Times New Roman"/>
        </w:rPr>
        <w:t>collection year bin</w:t>
      </w:r>
      <w:r w:rsidRPr="00214483">
        <w:rPr>
          <w:rFonts w:ascii="Times New Roman" w:hAnsi="Times New Roman" w:cs="Times New Roman"/>
        </w:rPr>
        <w:t xml:space="preserve"> as a random effect and museum as a fixed variable was significant in </w:t>
      </w:r>
      <w:r w:rsidRPr="00214483">
        <w:rPr>
          <w:rFonts w:ascii="Times New Roman" w:hAnsi="Times New Roman" w:cs="Times New Roman"/>
          <w:i/>
        </w:rPr>
        <w:t>F. anerythrus</w:t>
      </w:r>
      <w:r w:rsidRPr="00214483">
        <w:rPr>
          <w:rFonts w:ascii="Times New Roman" w:hAnsi="Times New Roman" w:cs="Times New Roman"/>
        </w:rPr>
        <w:t xml:space="preserve"> (</w:t>
      </w:r>
      <w:r w:rsidRPr="00214483">
        <w:rPr>
          <w:rFonts w:ascii="Times New Roman" w:hAnsi="Times New Roman" w:cs="Times New Roman"/>
          <w:i/>
        </w:rPr>
        <w:t>p</w:t>
      </w:r>
      <w:r w:rsidRPr="00214483">
        <w:rPr>
          <w:rFonts w:ascii="Times New Roman" w:hAnsi="Times New Roman" w:cs="Times New Roman"/>
        </w:rPr>
        <w:t xml:space="preserve">=0.0015,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=10.05)</w:t>
      </w:r>
      <w:r w:rsidRPr="00214483">
        <w:rPr>
          <w:rFonts w:ascii="Times New Roman" w:hAnsi="Times New Roman" w:cs="Times New Roman"/>
          <w:i/>
        </w:rPr>
        <w:t xml:space="preserve"> </w:t>
      </w:r>
      <w:r w:rsidRPr="00214483">
        <w:rPr>
          <w:rFonts w:ascii="Times New Roman" w:hAnsi="Times New Roman" w:cs="Times New Roman"/>
        </w:rPr>
        <w:t xml:space="preserve">and </w:t>
      </w:r>
      <w:r w:rsidRPr="00214483">
        <w:rPr>
          <w:rFonts w:ascii="Times New Roman" w:hAnsi="Times New Roman" w:cs="Times New Roman"/>
          <w:i/>
        </w:rPr>
        <w:t>F. congicus</w:t>
      </w:r>
      <w:r w:rsidRPr="00214483">
        <w:rPr>
          <w:rFonts w:ascii="Times New Roman" w:hAnsi="Times New Roman" w:cs="Times New Roman"/>
        </w:rPr>
        <w:t xml:space="preserve"> (</w:t>
      </w:r>
      <w:r w:rsidRPr="00214483">
        <w:rPr>
          <w:rFonts w:ascii="Times New Roman" w:hAnsi="Times New Roman" w:cs="Times New Roman"/>
          <w:i/>
        </w:rPr>
        <w:t>p</w:t>
      </w:r>
      <w:r w:rsidRPr="00214483">
        <w:rPr>
          <w:rFonts w:ascii="Times New Roman" w:hAnsi="Times New Roman" w:cs="Times New Roman"/>
        </w:rPr>
        <w:t xml:space="preserve">=0.046,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=3.97). Both saw a higher likelihood of MPXV positives for the RMCA specimens. Additionally, the concentration of DNA extracted from specimens was correlated to the museum origin. In a significant linear regression model fitted to the concentration of DNA</w:t>
      </w:r>
      <w:r w:rsidR="00F25E06">
        <w:rPr>
          <w:rFonts w:ascii="Times New Roman" w:hAnsi="Times New Roman" w:cs="Times New Roman"/>
        </w:rPr>
        <w:t xml:space="preserve">, </w:t>
      </w:r>
      <w:r w:rsidRPr="00214483">
        <w:rPr>
          <w:rFonts w:ascii="Times New Roman" w:hAnsi="Times New Roman" w:cs="Times New Roman"/>
        </w:rPr>
        <w:t xml:space="preserve">DNA concentration of the RMCA was </w:t>
      </w:r>
      <w:r w:rsidR="00F25E06">
        <w:rPr>
          <w:rFonts w:ascii="Times New Roman" w:hAnsi="Times New Roman" w:cs="Times New Roman"/>
        </w:rPr>
        <w:t>15.504</w:t>
      </w:r>
      <w:r w:rsidRPr="00214483">
        <w:rPr>
          <w:rFonts w:ascii="Times New Roman" w:hAnsi="Times New Roman" w:cs="Times New Roman"/>
        </w:rPr>
        <w:t xml:space="preserve"> ng/</w:t>
      </w:r>
      <w:proofErr w:type="spellStart"/>
      <w:r w:rsidRPr="00214483">
        <w:rPr>
          <w:rFonts w:ascii="Times New Roman" w:eastAsia="Times New Roman" w:hAnsi="Times New Roman" w:cs="Times New Roman"/>
        </w:rPr>
        <w:t>μl</w:t>
      </w:r>
      <w:proofErr w:type="spellEnd"/>
      <w:r w:rsidRPr="00214483">
        <w:rPr>
          <w:rFonts w:ascii="Times New Roman" w:hAnsi="Times New Roman" w:cs="Times New Roman"/>
        </w:rPr>
        <w:t xml:space="preserve"> </w:t>
      </w:r>
      <w:r w:rsidR="00F25E06" w:rsidRPr="00214483">
        <w:rPr>
          <w:rFonts w:ascii="Times New Roman" w:hAnsi="Times New Roman" w:cs="Times New Roman"/>
        </w:rPr>
        <w:t>(</w:t>
      </w:r>
      <w:r w:rsidR="00F25E06" w:rsidRPr="00214483">
        <w:rPr>
          <w:rFonts w:ascii="Times New Roman" w:hAnsi="Times New Roman" w:cs="Times New Roman"/>
          <w:i/>
        </w:rPr>
        <w:t>p</w:t>
      </w:r>
      <w:r w:rsidR="00F25E06">
        <w:rPr>
          <w:rFonts w:ascii="Times New Roman" w:hAnsi="Times New Roman" w:cs="Times New Roman"/>
        </w:rPr>
        <w:t>=0.082</w:t>
      </w:r>
      <w:r w:rsidR="00F25E06" w:rsidRPr="00214483">
        <w:rPr>
          <w:rFonts w:ascii="Times New Roman" w:hAnsi="Times New Roman" w:cs="Times New Roman"/>
        </w:rPr>
        <w:t xml:space="preserve">, </w:t>
      </w:r>
      <w:r w:rsidR="00F25E06">
        <w:rPr>
          <w:rFonts w:ascii="Times New Roman" w:hAnsi="Times New Roman" w:cs="Times New Roman"/>
          <w:i/>
        </w:rPr>
        <w:t xml:space="preserve">SE = </w:t>
      </w:r>
      <w:r w:rsidR="00F25E06">
        <w:rPr>
          <w:rFonts w:ascii="Times New Roman" w:hAnsi="Times New Roman" w:cs="Times New Roman"/>
        </w:rPr>
        <w:t>5.9</w:t>
      </w:r>
      <w:r w:rsidR="00F25E06" w:rsidRPr="00214483">
        <w:rPr>
          <w:rFonts w:ascii="Times New Roman" w:hAnsi="Times New Roman" w:cs="Times New Roman"/>
        </w:rPr>
        <w:t xml:space="preserve">, </w:t>
      </w:r>
      <w:r w:rsidR="00F25E06">
        <w:rPr>
          <w:rFonts w:ascii="Times New Roman" w:hAnsi="Times New Roman" w:cs="Times New Roman"/>
          <w:i/>
        </w:rPr>
        <w:t>n</w:t>
      </w:r>
      <w:r w:rsidR="00F25E06" w:rsidRPr="00214483">
        <w:rPr>
          <w:rFonts w:ascii="Times New Roman" w:hAnsi="Times New Roman" w:cs="Times New Roman"/>
        </w:rPr>
        <w:t xml:space="preserve"> = </w:t>
      </w:r>
      <w:r w:rsidR="00F25E06">
        <w:rPr>
          <w:rFonts w:ascii="Times New Roman" w:hAnsi="Times New Roman" w:cs="Times New Roman"/>
        </w:rPr>
        <w:t xml:space="preserve">945) </w:t>
      </w:r>
      <w:r w:rsidRPr="00214483">
        <w:rPr>
          <w:rFonts w:ascii="Times New Roman" w:hAnsi="Times New Roman" w:cs="Times New Roman"/>
        </w:rPr>
        <w:t xml:space="preserve">higher than that of the AMNH specimens. Likewise, a linear model examining the relationship of DNA quality (260/280 ratio from the </w:t>
      </w:r>
      <w:proofErr w:type="spellStart"/>
      <w:r w:rsidRPr="00214483">
        <w:rPr>
          <w:rFonts w:ascii="Times New Roman" w:hAnsi="Times New Roman" w:cs="Times New Roman"/>
        </w:rPr>
        <w:t>Nanodrop</w:t>
      </w:r>
      <w:proofErr w:type="spellEnd"/>
      <w:r w:rsidRPr="00214483">
        <w:rPr>
          <w:rFonts w:ascii="Times New Roman" w:hAnsi="Times New Roman" w:cs="Times New Roman"/>
        </w:rPr>
        <w:t>) showed a slightly significant association with slightly higher quality in the RMCA samples (</w:t>
      </w:r>
      <w:r w:rsidRPr="00214483">
        <w:rPr>
          <w:rFonts w:ascii="Times New Roman" w:hAnsi="Times New Roman" w:cs="Times New Roman"/>
          <w:i/>
        </w:rPr>
        <w:t>β</w:t>
      </w:r>
      <w:r w:rsidR="00C965F7">
        <w:rPr>
          <w:rFonts w:ascii="Times New Roman" w:hAnsi="Times New Roman" w:cs="Times New Roman"/>
        </w:rPr>
        <w:t xml:space="preserve"> = 0.045</w:t>
      </w:r>
      <w:r w:rsidR="00F25E06">
        <w:rPr>
          <w:rFonts w:ascii="Times New Roman" w:hAnsi="Times New Roman" w:cs="Times New Roman"/>
        </w:rPr>
        <w:t xml:space="preserve">, </w:t>
      </w:r>
      <w:r w:rsidR="00F25E06" w:rsidRPr="00214483">
        <w:rPr>
          <w:rFonts w:ascii="Times New Roman" w:hAnsi="Times New Roman" w:cs="Times New Roman"/>
          <w:i/>
        </w:rPr>
        <w:t>p</w:t>
      </w:r>
      <w:r w:rsidR="00F25E06">
        <w:rPr>
          <w:rFonts w:ascii="Times New Roman" w:hAnsi="Times New Roman" w:cs="Times New Roman"/>
        </w:rPr>
        <w:t>=0.052</w:t>
      </w:r>
      <w:r w:rsidR="00F25E06" w:rsidRPr="00214483">
        <w:rPr>
          <w:rFonts w:ascii="Times New Roman" w:hAnsi="Times New Roman" w:cs="Times New Roman"/>
        </w:rPr>
        <w:t xml:space="preserve">, </w:t>
      </w:r>
      <w:r w:rsidR="00F25E06">
        <w:rPr>
          <w:rFonts w:ascii="Times New Roman" w:hAnsi="Times New Roman" w:cs="Times New Roman"/>
          <w:i/>
        </w:rPr>
        <w:t xml:space="preserve">SE </w:t>
      </w:r>
      <w:r w:rsidR="00F25E06">
        <w:rPr>
          <w:rFonts w:ascii="Times New Roman" w:hAnsi="Times New Roman" w:cs="Times New Roman"/>
        </w:rPr>
        <w:t>= 0.023</w:t>
      </w:r>
      <w:r w:rsidR="00F25E06" w:rsidRPr="00214483">
        <w:rPr>
          <w:rFonts w:ascii="Times New Roman" w:hAnsi="Times New Roman" w:cs="Times New Roman"/>
        </w:rPr>
        <w:t xml:space="preserve">, </w:t>
      </w:r>
      <w:r w:rsidR="00F25E06">
        <w:rPr>
          <w:rFonts w:ascii="Times New Roman" w:hAnsi="Times New Roman" w:cs="Times New Roman"/>
          <w:i/>
        </w:rPr>
        <w:t>n</w:t>
      </w:r>
      <w:r w:rsidR="00F25E06">
        <w:rPr>
          <w:rFonts w:ascii="Times New Roman" w:hAnsi="Times New Roman" w:cs="Times New Roman"/>
        </w:rPr>
        <w:t xml:space="preserve"> = 945</w:t>
      </w:r>
      <w:r w:rsidR="00F25E06" w:rsidRPr="00214483">
        <w:rPr>
          <w:rFonts w:ascii="Times New Roman" w:hAnsi="Times New Roman" w:cs="Times New Roman"/>
        </w:rPr>
        <w:t>)</w:t>
      </w:r>
      <w:r w:rsidRPr="00214483">
        <w:rPr>
          <w:rFonts w:ascii="Times New Roman" w:hAnsi="Times New Roman" w:cs="Times New Roman"/>
        </w:rPr>
        <w:t>).</w:t>
      </w:r>
    </w:p>
    <w:p w14:paraId="2F5D52F7" w14:textId="77777777" w:rsidR="00396F4A" w:rsidRPr="00214483" w:rsidRDefault="00396F4A" w:rsidP="00396F4A">
      <w:pPr>
        <w:spacing w:line="480" w:lineRule="auto"/>
        <w:rPr>
          <w:rFonts w:ascii="Times New Roman" w:hAnsi="Times New Roman" w:cs="Times New Roman"/>
        </w:rPr>
      </w:pPr>
    </w:p>
    <w:p w14:paraId="50929211" w14:textId="2C52EE8B" w:rsidR="00D01583" w:rsidRPr="006E3E2A" w:rsidRDefault="006E3E2A" w:rsidP="006E3E2A">
      <w:pPr>
        <w:spacing w:line="480" w:lineRule="auto"/>
        <w:rPr>
          <w:rFonts w:ascii="Times New Roman" w:hAnsi="Times New Roman" w:cs="Times New Roman"/>
          <w:b/>
        </w:rPr>
      </w:pPr>
      <w:r>
        <w:rPr>
          <w:rFonts w:ascii="Times New Roman" w:hAnsi="Times New Roman" w:cs="Times New Roman"/>
          <w:b/>
        </w:rPr>
        <w:t xml:space="preserve">(b) </w:t>
      </w:r>
      <w:r w:rsidR="002B7069" w:rsidRPr="006E3E2A">
        <w:rPr>
          <w:rFonts w:ascii="Times New Roman" w:hAnsi="Times New Roman" w:cs="Times New Roman"/>
          <w:b/>
          <w:i/>
        </w:rPr>
        <w:t>Host community results</w:t>
      </w:r>
    </w:p>
    <w:p w14:paraId="05C6A258" w14:textId="212E51D3" w:rsidR="002B7069" w:rsidRPr="00214483" w:rsidRDefault="002B7069" w:rsidP="002B7069">
      <w:pPr>
        <w:spacing w:line="480" w:lineRule="auto"/>
        <w:rPr>
          <w:rFonts w:ascii="Times New Roman" w:hAnsi="Times New Roman" w:cs="Times New Roman"/>
        </w:rPr>
      </w:pPr>
      <w:r w:rsidRPr="00214483">
        <w:rPr>
          <w:rFonts w:ascii="Times New Roman" w:hAnsi="Times New Roman" w:cs="Times New Roman"/>
        </w:rPr>
        <w:t xml:space="preserve">When museum was not included as a </w:t>
      </w:r>
      <w:r w:rsidR="006352BC">
        <w:rPr>
          <w:rFonts w:ascii="Times New Roman" w:hAnsi="Times New Roman" w:cs="Times New Roman"/>
        </w:rPr>
        <w:t>random</w:t>
      </w:r>
      <w:r w:rsidRPr="00214483">
        <w:rPr>
          <w:rFonts w:ascii="Times New Roman" w:hAnsi="Times New Roman" w:cs="Times New Roman"/>
        </w:rPr>
        <w:t xml:space="preserve"> effect in the mixed effects Poisson regression model, the presence/absence of </w:t>
      </w:r>
      <w:r w:rsidRPr="00214483">
        <w:rPr>
          <w:rFonts w:ascii="Times New Roman" w:hAnsi="Times New Roman" w:cs="Times New Roman"/>
          <w:i/>
        </w:rPr>
        <w:t>anerythrus</w:t>
      </w:r>
      <w:r w:rsidRPr="00214483">
        <w:rPr>
          <w:rFonts w:ascii="Times New Roman" w:hAnsi="Times New Roman" w:cs="Times New Roman"/>
        </w:rPr>
        <w:t xml:space="preserve"> was significantly correlated to MPXV positive counts for </w:t>
      </w:r>
      <w:r w:rsidRPr="00214483">
        <w:rPr>
          <w:rFonts w:ascii="Times New Roman" w:hAnsi="Times New Roman" w:cs="Times New Roman"/>
          <w:i/>
        </w:rPr>
        <w:t>congicus</w:t>
      </w:r>
      <w:r w:rsidRPr="00214483">
        <w:rPr>
          <w:rFonts w:ascii="Times New Roman" w:hAnsi="Times New Roman" w:cs="Times New Roman"/>
        </w:rPr>
        <w:t xml:space="preserve">. 10 of the 11 top models using various species richness indices when ranked by AIC value included the presence/absence of </w:t>
      </w:r>
      <w:r w:rsidRPr="00214483">
        <w:rPr>
          <w:rFonts w:ascii="Times New Roman" w:hAnsi="Times New Roman" w:cs="Times New Roman"/>
          <w:i/>
        </w:rPr>
        <w:t xml:space="preserve">anerythrus. </w:t>
      </w:r>
      <w:r w:rsidRPr="00214483">
        <w:rPr>
          <w:rFonts w:ascii="Times New Roman" w:hAnsi="Times New Roman" w:cs="Times New Roman"/>
        </w:rPr>
        <w:t xml:space="preserve">Additionally, the top ranked model included the presence/absence of </w:t>
      </w:r>
      <w:r w:rsidRPr="00214483">
        <w:rPr>
          <w:rFonts w:ascii="Times New Roman" w:hAnsi="Times New Roman" w:cs="Times New Roman"/>
          <w:i/>
        </w:rPr>
        <w:t xml:space="preserve">anerythrus </w:t>
      </w:r>
      <w:r w:rsidRPr="00214483">
        <w:rPr>
          <w:rFonts w:ascii="Times New Roman" w:hAnsi="Times New Roman" w:cs="Times New Roman"/>
        </w:rPr>
        <w:t>as its only independent fixed variable. In this top model, the overall model was significant (</w:t>
      </w:r>
      <w:r w:rsidRPr="00214483">
        <w:rPr>
          <w:rFonts w:ascii="Times New Roman" w:hAnsi="Times New Roman" w:cs="Times New Roman"/>
          <w:i/>
        </w:rPr>
        <w:t>R</w:t>
      </w:r>
      <w:r w:rsidRPr="00214483">
        <w:rPr>
          <w:rFonts w:ascii="Times New Roman" w:hAnsi="Times New Roman" w:cs="Times New Roman"/>
          <w:i/>
          <w:vertAlign w:val="superscript"/>
        </w:rPr>
        <w:t>2</w:t>
      </w:r>
      <w:r w:rsidRPr="00214483">
        <w:rPr>
          <w:rFonts w:ascii="Times New Roman" w:hAnsi="Times New Roman" w:cs="Times New Roman"/>
        </w:rPr>
        <w:t xml:space="preserve">=0.4306, </w:t>
      </w:r>
      <w:r w:rsidRPr="00214483">
        <w:rPr>
          <w:rFonts w:ascii="Times New Roman" w:hAnsi="Times New Roman" w:cs="Times New Roman"/>
          <w:i/>
        </w:rPr>
        <w:t>p</w:t>
      </w:r>
      <w:r w:rsidRPr="00214483">
        <w:rPr>
          <w:rFonts w:ascii="Times New Roman" w:hAnsi="Times New Roman" w:cs="Times New Roman"/>
        </w:rPr>
        <w:t xml:space="preserve">=7.6E-5, </w:t>
      </w:r>
      <w:r w:rsidRPr="00214483">
        <w:rPr>
          <w:rFonts w:ascii="Times New Roman" w:hAnsi="Times New Roman" w:cs="Times New Roman"/>
          <w:i/>
        </w:rPr>
        <w:t>F-value</w:t>
      </w:r>
      <w:r w:rsidRPr="00214483">
        <w:rPr>
          <w:rFonts w:ascii="Times New Roman" w:hAnsi="Times New Roman" w:cs="Times New Roman"/>
        </w:rPr>
        <w:t xml:space="preserve"> =16, </w:t>
      </w:r>
      <w:r w:rsidRPr="00214483">
        <w:rPr>
          <w:rFonts w:ascii="Times New Roman" w:hAnsi="Times New Roman" w:cs="Times New Roman"/>
          <w:i/>
        </w:rPr>
        <w:t>df</w:t>
      </w:r>
      <w:r w:rsidRPr="00214483">
        <w:rPr>
          <w:rFonts w:ascii="Times New Roman" w:hAnsi="Times New Roman" w:cs="Times New Roman"/>
        </w:rPr>
        <w:t xml:space="preserve"> = 1, 57) and the fixed variable of </w:t>
      </w:r>
      <w:r w:rsidRPr="00214483">
        <w:rPr>
          <w:rFonts w:ascii="Times New Roman" w:hAnsi="Times New Roman" w:cs="Times New Roman"/>
          <w:i/>
        </w:rPr>
        <w:t>anerythrus</w:t>
      </w:r>
      <w:r w:rsidRPr="00214483">
        <w:rPr>
          <w:rFonts w:ascii="Times New Roman" w:hAnsi="Times New Roman" w:cs="Times New Roman"/>
        </w:rPr>
        <w:t xml:space="preserve"> presence/absence was significant in the model (</w:t>
      </w:r>
      <w:r w:rsidRPr="00214483">
        <w:rPr>
          <w:rFonts w:ascii="Times New Roman" w:hAnsi="Times New Roman" w:cs="Times New Roman"/>
          <w:i/>
        </w:rPr>
        <w:t>p</w:t>
      </w:r>
      <w:r w:rsidRPr="00214483">
        <w:rPr>
          <w:rFonts w:ascii="Times New Roman" w:hAnsi="Times New Roman" w:cs="Times New Roman"/>
        </w:rPr>
        <w:t xml:space="preserve">=3.41E-6,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=21.57, </w:t>
      </w:r>
      <w:r w:rsidRPr="00214483">
        <w:rPr>
          <w:rFonts w:ascii="Times New Roman" w:hAnsi="Times New Roman" w:cs="Times New Roman"/>
          <w:i/>
        </w:rPr>
        <w:t>df</w:t>
      </w:r>
      <w:r w:rsidRPr="00214483">
        <w:rPr>
          <w:rFonts w:ascii="Times New Roman" w:hAnsi="Times New Roman" w:cs="Times New Roman"/>
        </w:rPr>
        <w:t xml:space="preserve"> = 1). The positive coefficient of 2.91 (</w:t>
      </w:r>
      <w:r w:rsidRPr="00214483">
        <w:rPr>
          <w:rFonts w:ascii="Times New Roman" w:hAnsi="Times New Roman" w:cs="Times New Roman"/>
          <w:i/>
        </w:rPr>
        <w:t>SE</w:t>
      </w:r>
      <w:r w:rsidRPr="00214483">
        <w:rPr>
          <w:rFonts w:ascii="Times New Roman" w:hAnsi="Times New Roman" w:cs="Times New Roman"/>
        </w:rPr>
        <w:t xml:space="preserve">= 0.86, </w:t>
      </w:r>
      <w:r w:rsidRPr="00214483">
        <w:rPr>
          <w:rFonts w:ascii="Times New Roman" w:hAnsi="Times New Roman" w:cs="Times New Roman"/>
          <w:i/>
        </w:rPr>
        <w:t>z-value</w:t>
      </w:r>
      <w:r w:rsidRPr="00214483">
        <w:rPr>
          <w:rFonts w:ascii="Times New Roman" w:hAnsi="Times New Roman" w:cs="Times New Roman"/>
        </w:rPr>
        <w:t xml:space="preserve"> = 3.93, </w:t>
      </w:r>
      <w:r w:rsidRPr="00214483">
        <w:rPr>
          <w:rFonts w:ascii="Times New Roman" w:hAnsi="Times New Roman" w:cs="Times New Roman"/>
          <w:i/>
        </w:rPr>
        <w:t>p=</w:t>
      </w:r>
      <w:r w:rsidRPr="00214483">
        <w:rPr>
          <w:rFonts w:ascii="Times New Roman" w:hAnsi="Times New Roman" w:cs="Times New Roman"/>
        </w:rPr>
        <w:t>0.00069) for the</w:t>
      </w:r>
      <w:r w:rsidRPr="00214483">
        <w:rPr>
          <w:rFonts w:ascii="Times New Roman" w:hAnsi="Times New Roman" w:cs="Times New Roman"/>
          <w:i/>
        </w:rPr>
        <w:t xml:space="preserve"> anerythrus</w:t>
      </w:r>
      <w:r w:rsidRPr="00214483">
        <w:rPr>
          <w:rFonts w:ascii="Times New Roman" w:hAnsi="Times New Roman" w:cs="Times New Roman"/>
        </w:rPr>
        <w:t xml:space="preserve"> presence/absence variable suggests that the presence of</w:t>
      </w:r>
      <w:r w:rsidRPr="00214483">
        <w:rPr>
          <w:rFonts w:ascii="Times New Roman" w:hAnsi="Times New Roman" w:cs="Times New Roman"/>
          <w:i/>
        </w:rPr>
        <w:t xml:space="preserve"> anerythrus</w:t>
      </w:r>
      <w:r w:rsidRPr="00214483">
        <w:rPr>
          <w:rFonts w:ascii="Times New Roman" w:hAnsi="Times New Roman" w:cs="Times New Roman"/>
        </w:rPr>
        <w:t xml:space="preserve"> in the same administration area results in an 18.41 fold increase of MPXV positives in </w:t>
      </w:r>
      <w:r w:rsidRPr="00214483">
        <w:rPr>
          <w:rFonts w:ascii="Times New Roman" w:hAnsi="Times New Roman" w:cs="Times New Roman"/>
          <w:i/>
        </w:rPr>
        <w:t>congicus</w:t>
      </w:r>
      <w:r w:rsidRPr="00214483">
        <w:rPr>
          <w:rFonts w:ascii="Times New Roman" w:hAnsi="Times New Roman" w:cs="Times New Roman"/>
        </w:rPr>
        <w:t xml:space="preserve">. </w:t>
      </w:r>
      <w:r w:rsidR="00D01583" w:rsidRPr="00214483">
        <w:rPr>
          <w:rFonts w:ascii="Times New Roman" w:hAnsi="Times New Roman" w:cs="Times New Roman"/>
        </w:rPr>
        <w:t xml:space="preserve">This highlights the pattern seen in MPXV prevalence across </w:t>
      </w:r>
      <w:r w:rsidR="00D01583" w:rsidRPr="00214483">
        <w:rPr>
          <w:rFonts w:ascii="Times New Roman" w:hAnsi="Times New Roman" w:cs="Times New Roman"/>
          <w:i/>
        </w:rPr>
        <w:t>congicus’</w:t>
      </w:r>
      <w:r w:rsidR="00D01583" w:rsidRPr="00214483">
        <w:rPr>
          <w:rFonts w:ascii="Times New Roman" w:hAnsi="Times New Roman" w:cs="Times New Roman"/>
        </w:rPr>
        <w:t xml:space="preserve"> range: All MPXV-positive counts of </w:t>
      </w:r>
      <w:r w:rsidR="00D01583" w:rsidRPr="00214483">
        <w:rPr>
          <w:rFonts w:ascii="Times New Roman" w:hAnsi="Times New Roman" w:cs="Times New Roman"/>
          <w:i/>
        </w:rPr>
        <w:t>congicus</w:t>
      </w:r>
      <w:r w:rsidR="00D01583" w:rsidRPr="00214483">
        <w:rPr>
          <w:rFonts w:ascii="Times New Roman" w:hAnsi="Times New Roman" w:cs="Times New Roman"/>
        </w:rPr>
        <w:t xml:space="preserve"> were found in the DRC (overlap with </w:t>
      </w:r>
      <w:r w:rsidR="00D01583" w:rsidRPr="00214483">
        <w:rPr>
          <w:rFonts w:ascii="Times New Roman" w:hAnsi="Times New Roman" w:cs="Times New Roman"/>
          <w:i/>
        </w:rPr>
        <w:t>anerythrus</w:t>
      </w:r>
      <w:r w:rsidR="00D01583" w:rsidRPr="00214483">
        <w:rPr>
          <w:rFonts w:ascii="Times New Roman" w:hAnsi="Times New Roman" w:cs="Times New Roman"/>
        </w:rPr>
        <w:t xml:space="preserve">) whereas all Angola </w:t>
      </w:r>
      <w:r w:rsidR="00D01583" w:rsidRPr="00214483">
        <w:rPr>
          <w:rFonts w:ascii="Times New Roman" w:hAnsi="Times New Roman" w:cs="Times New Roman"/>
          <w:i/>
        </w:rPr>
        <w:t xml:space="preserve">congicus </w:t>
      </w:r>
      <w:r w:rsidR="00D01583" w:rsidRPr="00214483">
        <w:rPr>
          <w:rFonts w:ascii="Times New Roman" w:hAnsi="Times New Roman" w:cs="Times New Roman"/>
        </w:rPr>
        <w:t xml:space="preserve">samples were MPXV-negative (no overlap with </w:t>
      </w:r>
      <w:r w:rsidR="00D01583" w:rsidRPr="00214483">
        <w:rPr>
          <w:rFonts w:ascii="Times New Roman" w:hAnsi="Times New Roman" w:cs="Times New Roman"/>
          <w:i/>
        </w:rPr>
        <w:t>anerythrus</w:t>
      </w:r>
      <w:r w:rsidR="00D01583" w:rsidRPr="00214483">
        <w:rPr>
          <w:rFonts w:ascii="Times New Roman" w:hAnsi="Times New Roman" w:cs="Times New Roman"/>
        </w:rPr>
        <w:t xml:space="preserve">). </w:t>
      </w:r>
      <w:r w:rsidRPr="00214483">
        <w:rPr>
          <w:rFonts w:ascii="Times New Roman" w:hAnsi="Times New Roman" w:cs="Times New Roman"/>
        </w:rPr>
        <w:t xml:space="preserve">The reverse effect of the presence/absence </w:t>
      </w:r>
      <w:r w:rsidRPr="00214483">
        <w:rPr>
          <w:rFonts w:ascii="Times New Roman" w:hAnsi="Times New Roman" w:cs="Times New Roman"/>
          <w:i/>
        </w:rPr>
        <w:t>congicus</w:t>
      </w:r>
      <w:r w:rsidRPr="00214483">
        <w:rPr>
          <w:rFonts w:ascii="Times New Roman" w:hAnsi="Times New Roman" w:cs="Times New Roman"/>
        </w:rPr>
        <w:t xml:space="preserve"> on </w:t>
      </w:r>
      <w:r w:rsidRPr="00214483">
        <w:rPr>
          <w:rFonts w:ascii="Times New Roman" w:hAnsi="Times New Roman" w:cs="Times New Roman"/>
          <w:i/>
        </w:rPr>
        <w:t>anerythrus</w:t>
      </w:r>
      <w:r w:rsidRPr="00214483">
        <w:rPr>
          <w:rFonts w:ascii="Times New Roman" w:hAnsi="Times New Roman" w:cs="Times New Roman"/>
        </w:rPr>
        <w:t xml:space="preserve"> was not seen; the model using </w:t>
      </w:r>
      <w:r w:rsidRPr="00214483">
        <w:rPr>
          <w:rFonts w:ascii="Times New Roman" w:hAnsi="Times New Roman" w:cs="Times New Roman"/>
          <w:i/>
        </w:rPr>
        <w:t>congicus</w:t>
      </w:r>
      <w:r w:rsidRPr="00214483">
        <w:rPr>
          <w:rFonts w:ascii="Times New Roman" w:hAnsi="Times New Roman" w:cs="Times New Roman"/>
        </w:rPr>
        <w:t xml:space="preserve"> co-occurrence as the explanatory variable did not significantly predict </w:t>
      </w:r>
      <w:r w:rsidRPr="00214483">
        <w:rPr>
          <w:rFonts w:ascii="Times New Roman" w:hAnsi="Times New Roman" w:cs="Times New Roman"/>
          <w:i/>
        </w:rPr>
        <w:t>anerythrus</w:t>
      </w:r>
      <w:r w:rsidRPr="00214483">
        <w:rPr>
          <w:rFonts w:ascii="Times New Roman" w:hAnsi="Times New Roman" w:cs="Times New Roman"/>
        </w:rPr>
        <w:t xml:space="preserve"> MPXV positive counts (</w:t>
      </w:r>
      <w:r w:rsidRPr="00214483">
        <w:rPr>
          <w:rFonts w:ascii="Times New Roman" w:hAnsi="Times New Roman" w:cs="Times New Roman"/>
          <w:i/>
        </w:rPr>
        <w:t>p</w:t>
      </w:r>
      <w:r w:rsidRPr="00214483">
        <w:rPr>
          <w:rFonts w:ascii="Times New Roman" w:hAnsi="Times New Roman" w:cs="Times New Roman"/>
        </w:rPr>
        <w:t xml:space="preserve">=0.93, </w:t>
      </w:r>
      <w:r w:rsidRPr="00214483">
        <w:rPr>
          <w:rFonts w:ascii="Times New Roman" w:hAnsi="Times New Roman" w:cs="Times New Roman"/>
          <w:i/>
        </w:rPr>
        <w:t>LR χ</w:t>
      </w:r>
      <w:r w:rsidRPr="00214483">
        <w:rPr>
          <w:rFonts w:ascii="Times New Roman" w:hAnsi="Times New Roman" w:cs="Times New Roman"/>
          <w:i/>
          <w:vertAlign w:val="superscript"/>
        </w:rPr>
        <w:t>2</w:t>
      </w:r>
      <w:r w:rsidRPr="00214483">
        <w:rPr>
          <w:rFonts w:ascii="Times New Roman" w:hAnsi="Times New Roman" w:cs="Times New Roman"/>
        </w:rPr>
        <w:t xml:space="preserve"> =0.0086, </w:t>
      </w:r>
      <w:r w:rsidRPr="00214483">
        <w:rPr>
          <w:rFonts w:ascii="Times New Roman" w:hAnsi="Times New Roman" w:cs="Times New Roman"/>
          <w:i/>
        </w:rPr>
        <w:t>df</w:t>
      </w:r>
      <w:r w:rsidRPr="00214483">
        <w:rPr>
          <w:rFonts w:ascii="Times New Roman" w:hAnsi="Times New Roman" w:cs="Times New Roman"/>
        </w:rPr>
        <w:t xml:space="preserve"> = 1). This may underscore the importance of </w:t>
      </w:r>
      <w:r w:rsidRPr="00214483">
        <w:rPr>
          <w:rFonts w:ascii="Times New Roman" w:hAnsi="Times New Roman" w:cs="Times New Roman"/>
          <w:i/>
        </w:rPr>
        <w:t>anerythrus</w:t>
      </w:r>
      <w:r w:rsidRPr="00214483">
        <w:rPr>
          <w:rFonts w:ascii="Times New Roman" w:hAnsi="Times New Roman" w:cs="Times New Roman"/>
        </w:rPr>
        <w:t xml:space="preserve"> within interspecific transmission in MPXV dynamics or it may also be indicative of underlying environmental or host constraints that may limit what host-environment is suitable for MPXV survival to the range of</w:t>
      </w:r>
      <w:r w:rsidRPr="00214483">
        <w:rPr>
          <w:rFonts w:ascii="Times New Roman" w:hAnsi="Times New Roman" w:cs="Times New Roman"/>
          <w:i/>
        </w:rPr>
        <w:t xml:space="preserve"> anerythrus</w:t>
      </w:r>
      <w:r w:rsidRPr="00214483">
        <w:rPr>
          <w:rFonts w:ascii="Times New Roman" w:hAnsi="Times New Roman" w:cs="Times New Roman"/>
        </w:rPr>
        <w:t xml:space="preserve">. </w:t>
      </w:r>
      <w:r w:rsidR="00462F04" w:rsidRPr="00214483">
        <w:rPr>
          <w:rFonts w:ascii="Times New Roman" w:hAnsi="Times New Roman" w:cs="Times New Roman"/>
        </w:rPr>
        <w:t xml:space="preserve">Unfortunately all Angola samples originated from the AMNH, and it was hard to determine if this lack of positives in this part of </w:t>
      </w:r>
      <w:r w:rsidR="00462F04" w:rsidRPr="00214483">
        <w:rPr>
          <w:rFonts w:ascii="Times New Roman" w:hAnsi="Times New Roman" w:cs="Times New Roman"/>
          <w:i/>
        </w:rPr>
        <w:t xml:space="preserve">congicus’ </w:t>
      </w:r>
      <w:r w:rsidR="00462F04" w:rsidRPr="00214483">
        <w:rPr>
          <w:rFonts w:ascii="Times New Roman" w:hAnsi="Times New Roman" w:cs="Times New Roman"/>
        </w:rPr>
        <w:t xml:space="preserve">range was due to an actual geographical difference in prevalence levels or a museum effect. </w:t>
      </w:r>
    </w:p>
    <w:p w14:paraId="2C276FDE" w14:textId="77777777" w:rsidR="00462F04" w:rsidRPr="00214483" w:rsidRDefault="00462F04" w:rsidP="002B7069">
      <w:pPr>
        <w:spacing w:line="480" w:lineRule="auto"/>
        <w:rPr>
          <w:rFonts w:ascii="Times New Roman" w:hAnsi="Times New Roman" w:cs="Times New Roman"/>
          <w:b/>
        </w:rPr>
      </w:pPr>
    </w:p>
    <w:p w14:paraId="4CEC9388" w14:textId="27723A64" w:rsidR="00440038" w:rsidRPr="00214483" w:rsidRDefault="00440038" w:rsidP="002B7069">
      <w:pPr>
        <w:spacing w:line="480" w:lineRule="auto"/>
        <w:rPr>
          <w:rFonts w:ascii="Times New Roman" w:hAnsi="Times New Roman" w:cs="Times New Roman"/>
          <w:b/>
        </w:rPr>
      </w:pPr>
      <w:r w:rsidRPr="00214483">
        <w:rPr>
          <w:rFonts w:ascii="Times New Roman" w:hAnsi="Times New Roman" w:cs="Times New Roman"/>
          <w:b/>
        </w:rPr>
        <w:t>DISCUSSION</w:t>
      </w:r>
    </w:p>
    <w:p w14:paraId="5CB7019B" w14:textId="77777777" w:rsidR="00440038" w:rsidRPr="006E3E2A" w:rsidRDefault="00440038" w:rsidP="006E3E2A">
      <w:pPr>
        <w:spacing w:line="480" w:lineRule="auto"/>
        <w:rPr>
          <w:rFonts w:ascii="Times New Roman" w:hAnsi="Times New Roman" w:cs="Times New Roman"/>
          <w:b/>
          <w:i/>
        </w:rPr>
      </w:pPr>
      <w:r w:rsidRPr="006E3E2A">
        <w:rPr>
          <w:rFonts w:ascii="Times New Roman" w:hAnsi="Times New Roman" w:cs="Times New Roman"/>
          <w:b/>
          <w:i/>
        </w:rPr>
        <w:t xml:space="preserve">Potential of using museum skin specimens for surveying MPXV prevalence </w:t>
      </w:r>
    </w:p>
    <w:p w14:paraId="78B508F0" w14:textId="77777777"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Museum collections offer valuable resources for the study of disease, however prevalence levels estimated from the use of museum samples should be interpreted with caution. Museum studies often fall victim to sampling bias and suffer from limitations in DNA amplification, spatial resolution/coverage, and contamination prevention. Uneven sampling effort was evident in our study; samples appear to originate from locations that were more accessible in the field, and 83.1% (789/949) of our DRC samples were collected prior to the independence of Belgian Congo in 1961 when governmental status and stability affected collecting surveys. Unfortunately, sampling coverage in more recent years is poor, likely due to political unrest and dangerous field conditions, making it difficult to examine temporal changes in MPXV infection in host species within the context of smallpox eradication and waning smallpox vaccination cross-immunity.  </w:t>
      </w:r>
    </w:p>
    <w:p w14:paraId="250B178B" w14:textId="77777777" w:rsidR="00440038" w:rsidRPr="00214483" w:rsidRDefault="00440038" w:rsidP="00440038">
      <w:pPr>
        <w:spacing w:line="480" w:lineRule="auto"/>
        <w:rPr>
          <w:rFonts w:ascii="Times New Roman" w:hAnsi="Times New Roman" w:cs="Times New Roman"/>
        </w:rPr>
      </w:pPr>
    </w:p>
    <w:p w14:paraId="41EDE8AC" w14:textId="40308CA7"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In our study, MPXV prevalence varied greatly based on the museum of origin. This could be due to inconsistencies between museums related to specimen preparation, preservation, and sample collection which may dramatically affect DNA extraction and amplification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"id" : "ITEM-2", "itemData" : { "ISBN" : "0736-6205 (Print)\\r0736-6205 (Linking)", "ISSN" : "07366205", "PMID" : "9149877", "abstract" : "Enzyme inhibition is commonly encountered when using molecular biological techniques on museum-prepared animal skin samples, and this problem is exacerbated by a lack of information on how particular skins have been prepared for preservation. This report: (i) demonstrates that while some methods of museum preparation inhibit both proteinase K digestion and the PCR, others do not; (ii) describes a change in buffer conditions that reduces proteinase K enzyme inhibition during tissue digestion: and (iii) uses electron-dispersive X-ray microanalysis (EDXA) to show that the preparation methods for museum-preserved skin are often more complex than the treatment description provided with samples and also suggests that some of these descriptions are incorrect.", "author" : [ { "dropping-particle" : "", "family" : "Hall", "given" : "L. Malcolm", "non-dropping-particle" : "", "parse-names" : false, "suffix" : "" }, { "dropping-particle" : "", "family" : "Willcox", "given" : "Mark S.", "non-dropping-particle" : "", "parse-names" : false, "suffix" : "" }, { "dropping-particle" : "", "family" : "Jones", "given" : "David S.", "non-dropping-particle" : "", "parse-names" : false, "suffix" : "" } ], "container-title" : "BioTechniques", "id" : "ITEM-2", "issue" : "5", "issued" : { "date-parts" : [ [ "1997" ] ] }, "page" : "928-934", "title" : "Association of enzyme inhibition with methods of museum skin preparation", "type" : "article-journal", "volume" : "22" }, "uris" : [ "http://www.mendeley.com/documents/?uuid=49c6a5c6-2eb5-4cba-859e-826bc84979a1" ] }, { "id" : "ITEM-3", "itemData" : { "ISSN" : "0021-9258", "PMID" : "2656708", "abstract" : "Molecular evolution is a historic process through which genes accumulate changes due to stochastic events as well as selective processes. Students of molecular evolution suffer from the frustration of trying to reconstruct this historic process from only a knowledge of the present-day structure of genes. Until recently, there has been no hope of escaping this time trap. However, advances in molecular biological techniques have enabled us to retrieve and study ancient DNA molecules and thus to catch evolution red-handed. In consequence, we can now study the genealogical relationships of extinct species and vanished populations. In addition, it seems likely that we shall be able to monitor fast genetic processes such as recombinational events. Our review dis- cusses older attempts to obtain molecular genetic data from archaeological remains as well as recent achievements and emerging vistas.", "author" : [ { "dropping-particle" : "", "family" : "Paabo", "given" : "Svante", "non-dropping-particle" : "", "parse-names" : false, "suffix" : "" }, { "dropping-particle" : "", "family" : "Higuchi", "given" : "Russell G", "non-dropping-particle" : "", "parse-names" : false, "suffix" : "" }, { "dropping-particle" : "", "family" : "Wilson", "given" : "Allan C", "non-dropping-particle" : "", "parse-names" : false, "suffix" : "" } ], "container-title" : "Journal of Biological Chemistry", "id" : "ITEM-3", "issue" : "17", "issued" : { "date-parts" : [ [ "1989" ] ] }, "page" : "9709-9712", "title" : "Ancient DNA and the Polymerase Chain Reaction: The Emerging Field of Molecular Archaeology", "type" : "article-journal", "volume" : "264" }, "uris" : [ "http://www.mendeley.com/documents/?uuid=ebcd00ef-99f0-4d39-83e1-d7deb08fc300" ] }, { "id" : "ITEM-4", "itemData" : { "DOI" : "10.1038/35072071", "ISBN" : "1471-0056 (Print)\\n1471-0056 (Linking)", "ISSN" : "1471-0056", "PMID" : "11331901", "abstract" : "DNA that has been recovered from archaeological and palaeontological remains makes it possible to go back in time and study the genetic relationships of extinct organisms to their contemporary relatives. This provides a new perspective on the evolution of organisms and DNA sequences. However, the field is fraught with technical pitfalls and needs stringent criteria to ensure the reliability of results, particularly when human remains are studied.", "author" : [ { "dropping-particle" : "", "family" : "Hofreiter", "given" : "M", "non-dropping-particle" : "", "parse-names" : false, "suffix" : "" }, { "dropping-particle" : "", "family" : "Serre", "given" : "D", "non-dropping-particle" : "", "parse-names" : false, "suffix" : "" }, { "dropping-particle" : "", "family" : "Poinar", "given" : "H N", "non-dropping-particle" : "", "parse-names" : false, "suffix" : "" }, { "dropping-particle" : "", "family" : "Kuch", "given" : "M", "non-dropping-particle" : "", "parse-names" : false, "suffix" : "" }, { "dropping-particle" : "", "family" : "P\u00e4\u00e4bo", "given" : "S", "non-dropping-particle" : "", "parse-names" : false, "suffix" : "" } ], "container-title" : "Nature reviews. Genetics", "id" : "ITEM-4", "issue" : "5", "issued" : { "date-parts" : [ [ "2001" ] ] }, "page" : "353-359", "title" : "Ancient DNA.", "type" : "article-journal", "volume" : "2" }, "uris" : [ "http://www.mendeley.com/documents/?uuid=9b6960c8-f05f-44e2-b812-8cd07d26ad42" ] } ], "mendeley" : { "formattedCitation" : "(7,17,6,18)", "plainTextFormattedCitation" : "(7,17,6,18)", "previouslyFormattedCitation" : "(9,55\u201357)"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(7,17,6,18)</w:t>
      </w:r>
      <w:r w:rsidRPr="00214483">
        <w:rPr>
          <w:rFonts w:ascii="Times New Roman" w:hAnsi="Times New Roman" w:cs="Times New Roman"/>
        </w:rPr>
        <w:fldChar w:fldCharType="end"/>
      </w:r>
      <w:r w:rsidRPr="00214483">
        <w:rPr>
          <w:rFonts w:ascii="Times New Roman" w:hAnsi="Times New Roman" w:cs="Times New Roman"/>
        </w:rPr>
        <w:t xml:space="preserve">. Museum collectors and museums used various and sometimes unsystematic methods for specimen preparation, preservation, and storage over the years, including chemical treatments with arsenic that may inhibit both the enzymes used in DNA extraction and PCR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"ISBN" : "0736-6205 (Print)\\r0736-6205 (Linking)", "ISSN" : "07366205", "PMID" : "9149877", "abstract" : "Enzyme inhibition is commonly encountered when using molecular biological techniques on museum-prepared animal skin samples, and this problem is exacerbated by a lack of information on how particular skins have been prepared for preservation. This report: (i) demonstrates that while some methods of museum preparation inhibit both proteinase K digestion and the PCR, others do not; (ii) describes a change in buffer conditions that reduces proteinase K enzyme inhibition during tissue digestion: and (iii) uses electron-dispersive X-ray microanalysis (EDXA) to show that the preparation methods for museum-preserved skin are often more complex than the treatment description provided with samples and also suggests that some of these descriptions are incorrect.", "author" : [ { "dropping-particle" : "", "family" : "Hall", "given" : "L. Malcolm", "non-dropping-particle" : "", "parse-names" : false, "suffix" : "" }, { "dropping-particle" : "", "family" : "Willcox", "given" : "Mark S.", "non-dropping-particle" : "", "parse-names" : false, "suffix" : "" }, { "dropping-particle" : "", "family" : "Jones", "given" : "David S.", "non-dropping-particle" : "", "parse-names" : false, "suffix" : "" } ], "container-title" : "BioTechniques", "id" : "ITEM-1", "issue" : "5", "issued" : { "date-parts" : [ [ "1997" ] ] }, "page" : "928-934", "title" : "Association of enzyme inhibition with methods of museum skin preparation", "type" : "article-journal", "volume" : "22" }, "uris" : [ "http://www.mendeley.com/documents/?uuid=49c6a5c6-2eb5-4cba-859e-826bc84979a1" ] } ], "mendeley" : { "formattedCitation" : "(17)", "plainTextFormattedCitation" : "(17)", "previouslyFormattedCitation" : "(55)"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(17)</w:t>
      </w:r>
      <w:r w:rsidRPr="00214483">
        <w:rPr>
          <w:rFonts w:ascii="Times New Roman" w:hAnsi="Times New Roman" w:cs="Times New Roman"/>
        </w:rPr>
        <w:fldChar w:fldCharType="end"/>
      </w:r>
      <w:r w:rsidRPr="00214483">
        <w:rPr>
          <w:rFonts w:ascii="Times New Roman" w:hAnsi="Times New Roman" w:cs="Times New Roman"/>
        </w:rPr>
        <w:t xml:space="preserve">. </w:t>
      </w:r>
    </w:p>
    <w:p w14:paraId="58CB7895" w14:textId="77777777" w:rsidR="00440038" w:rsidRPr="00214483" w:rsidRDefault="00440038" w:rsidP="00440038">
      <w:pPr>
        <w:spacing w:line="480" w:lineRule="auto"/>
        <w:rPr>
          <w:rFonts w:ascii="Times New Roman" w:hAnsi="Times New Roman" w:cs="Times New Roman"/>
        </w:rPr>
      </w:pPr>
    </w:p>
    <w:p w14:paraId="7941A917" w14:textId="7C79030C"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Other factors may have also influenced the MPXV screening in specimens and prevalence levels.  Skin tissue has proved to be fairly useful for DNA amplification for various animals infected by the West African strain of MPXV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"(7)", "plainTextFormattedCitation" : "(7)",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(7)</w:t>
      </w:r>
      <w:r w:rsidRPr="00214483">
        <w:rPr>
          <w:rFonts w:ascii="Times New Roman" w:hAnsi="Times New Roman" w:cs="Times New Roman"/>
        </w:rPr>
        <w:fldChar w:fldCharType="end"/>
      </w:r>
      <w:r w:rsidRPr="00214483">
        <w:rPr>
          <w:rFonts w:ascii="Times New Roman" w:hAnsi="Times New Roman" w:cs="Times New Roman"/>
        </w:rPr>
        <w:t xml:space="preserve">, however viral DNA may be differentially sequestered in the host body depending on the species, transmission pathway, specific immunological host response, or viral targeting of host cells, especially in orthopoxviruses generally characterized by various forms of generalized vesiculopustular rashes and skin lesions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"10.1177/0300985810378649", "ISBN" : "1544-2217 (Electronic)\\r0300-9858 (Linking)", "ISSN" : "0300-9858", "PMID" : "20682806", "abstract" : "Smallpox was one of the most devastating diseases known to humanity. Although smallpox was eradicated through a historically successful vaccination campaign, there is concern in the global community that either Variola virus (VARV), the causative agent of smallpox, or another species of Orthopoxvirus could be used as agents of bioterrorism. Therefore, development of countermeasures to Orthopoxvirus infection is a crucial focus in biodefense research, and these efforts rely on the use of various animal models. Smallpox typically presented as a generalized pustular rash with 30 to 40% mortality, and although smallpox-like syndromes can be induced in cynomolgus macaques with VARV, research with this virus is highly restricted; therefore, animal models with other orthopoxviruses have been investigated. Monkeypox virus causes a generalized vesiculopustular rash in rhesus and cynomolgus macaques and induces fatal systemic disease in several rodent species. Ectromelia virus has been extensively studied in mice as a model of orthopoxviral infection in its natural host. Intranasal inoculation of mice with some strains of vaccinia virus produces fatal bronchopneumonia, as does aerosol or intranasal inoculation of mice with cowpox virus. Rabbitpox virus causes pneumonia and fatal systemic infections in rabbits and can be naturally transmitted between rabbits by an aerosol route similar to that of VARV in humans. No single animal model recapitulates all known aspects of human Orthopoxvirus infections, and each model has its advantages and disadvantages. This article provides a brief review of the Orthopoxvirus diseases of humans and the key pathologic features of animal models of Orthopoxvirus infections.", "author" : [ { "dropping-particle" : "", "family" : "Chapman", "given" : "J L", "non-dropping-particle" : "", "parse-names" : false, "suffix" : "" }, { "dropping-particle" : "", "family" : "Nichols", "given" : "D K", "non-dropping-particle" : "", "parse-names" : false, "suffix" : "" }, { "dropping-particle" : "", "family" : "Martinez", "given" : "M J", "non-dropping-particle" : "", "parse-names" : false, "suffix" : "" }, { "dropping-particle" : "", "family" : "Raymond", "given" : "J W", "non-dropping-particle" : "", "parse-names" : false, "suffix" : "" } ], "container-title" : "Veterinary pathology", "id" : "ITEM-1", "issue" : "5", "issued" : { "date-parts" : [ [ "2010" ] ] }, "page" : "852-870", "title" : "Animal models of orthopoxvirus infection.", "type" : "article-journal", "volume" : "47" }, "uris" : [ "http://www.mendeley.com/documents/?uuid=a62fd699-7906-48e9-bd3f-5fc62899c9a4" ] } ], "mendeley" : { "formattedCitation" : "(19)", "plainTextFormattedCitation" : "(19)", "previouslyFormattedCitation" : "(58)"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(19)</w:t>
      </w:r>
      <w:r w:rsidRPr="00214483">
        <w:rPr>
          <w:rFonts w:ascii="Times New Roman" w:hAnsi="Times New Roman" w:cs="Times New Roman"/>
        </w:rPr>
        <w:fldChar w:fldCharType="end"/>
      </w:r>
      <w:r w:rsidRPr="00214483">
        <w:rPr>
          <w:rFonts w:ascii="Times New Roman" w:hAnsi="Times New Roman" w:cs="Times New Roman"/>
        </w:rPr>
        <w:t xml:space="preserve">. Furthermore, little is understood about how long viral DNA persists in the skin after MPXV infection; the presence of viral DNA within the skin may be indicative of active infections or could be a measure of past infection. In an acute infection such as MPXV, it is unlikely that our high prevalence levels represent active infections. Additionally, our samples were not always taken from the same parts of the skin and this may affect ability to detect MPXV. </w:t>
      </w:r>
    </w:p>
    <w:p w14:paraId="0FA278AD" w14:textId="77777777" w:rsidR="00440038" w:rsidRPr="00214483" w:rsidRDefault="00440038" w:rsidP="00440038">
      <w:pPr>
        <w:spacing w:line="480" w:lineRule="auto"/>
        <w:rPr>
          <w:rFonts w:ascii="Times New Roman" w:hAnsi="Times New Roman" w:cs="Times New Roman"/>
        </w:rPr>
      </w:pPr>
    </w:p>
    <w:p w14:paraId="10DDCD04" w14:textId="63B40DEE" w:rsidR="00440038" w:rsidRPr="00214483" w:rsidRDefault="00440038" w:rsidP="00440038">
      <w:pPr>
        <w:spacing w:line="480" w:lineRule="auto"/>
        <w:rPr>
          <w:rFonts w:ascii="Times New Roman" w:hAnsi="Times New Roman" w:cs="Times New Roman"/>
        </w:rPr>
      </w:pPr>
      <w:r w:rsidRPr="00214483">
        <w:rPr>
          <w:rFonts w:ascii="Times New Roman" w:hAnsi="Times New Roman" w:cs="Times New Roman"/>
        </w:rPr>
        <w:t xml:space="preserve">Our study is also limited by the current genetic knowledge of MPXV. The MPXV amplicons created by Li </w:t>
      </w:r>
      <w:r w:rsidRPr="00214483">
        <w:rPr>
          <w:rFonts w:ascii="Times New Roman" w:hAnsi="Times New Roman" w:cs="Times New Roman"/>
          <w:i/>
        </w:rPr>
        <w:t>et al.</w:t>
      </w:r>
      <w:r w:rsidRPr="00214483">
        <w:rPr>
          <w:rFonts w:ascii="Times New Roman" w:hAnsi="Times New Roman" w:cs="Times New Roman"/>
        </w:rPr>
        <w:t xml:space="preserve">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"10.1016/j.jviromet.2010.07.012", "author" : [ { "dropping-particle" : "", "family" : "Li", "given" : "Yu", "non-dropping-particle" : "", "parse-names" : false, "suffix" : "" }, { "dropping-particle" : "", "family" : "Zhao", "given" : "Hui", "non-dropping-particle" : "", "parse-names" : false, "suffix" : "" }, { "dropping-particle" : "", "family" : "Wilkins", "given" : "Kimberly", "non-dropping-particle" : "", "parse-names" : false, "suffix" : "" }, { "dropping-particle" : "", "family" : "Hughes", "given" : "Christine", "non-dropping-particle" : "", "parse-names" : false, "suffix" : "" }, { "dropping-particle" : "", "family" : "Damon", "given" : "Inger K", "non-dropping-particle" : "", "parse-names" : false, "suffix" : "" } ], "container-title" : "Journal of virological methods", "id" : "ITEM-1", "issued" : { "date-parts" : [ [ "2010" ] ] }, "page" : "223-227", "title" : "Real-time PCR assays for the specific detection of monkeypox virus West African and Congo Basin strain DNA", "type" : "article-journal", "volume" : "169" }, "uris" : [ "http://www.mendeley.com/documents/?uuid=9a0134b0-13ad-482b-b681-3a4689ddfd88" ] } ], "mendeley" : { "formattedCitation" : "(1)", "plainTextFormattedCitation" : "(1)", "previouslyFormattedCitation" : "(36)"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(1)</w:t>
      </w:r>
      <w:r w:rsidRPr="00214483">
        <w:rPr>
          <w:rFonts w:ascii="Times New Roman" w:hAnsi="Times New Roman" w:cs="Times New Roman"/>
        </w:rPr>
        <w:fldChar w:fldCharType="end"/>
      </w:r>
      <w:r w:rsidRPr="00214483">
        <w:rPr>
          <w:rFonts w:ascii="Times New Roman" w:hAnsi="Times New Roman" w:cs="Times New Roman"/>
        </w:rPr>
        <w:t xml:space="preserve"> are based on all available human orthopoxvirus genomes, presenting the possibility that the amplified region may actually be more diverse within host species and our primers may not efficiently anneal to areas with disparities in sequence. If this is the case, we could be systematically missing strains that vary across space for which there are no human isolates. For example, our lack of positives in Angola may be attributed to the lack of human isolates for these areas and a systematic bias in our method of detection. Finally, our conservative measure of verifying positives through sequencing means that we could be missing many putative positives. In general, the low copy number of pathogen DNA in comparison to host DNA complicates the process of amplifying MPXV DNA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"(7)", "plainTextFormattedCitation" : "(7)",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(7)</w:t>
      </w:r>
      <w:r w:rsidRPr="00214483">
        <w:rPr>
          <w:rFonts w:ascii="Times New Roman" w:hAnsi="Times New Roman" w:cs="Times New Roman"/>
        </w:rPr>
        <w:fldChar w:fldCharType="end"/>
      </w:r>
      <w:r w:rsidRPr="00214483">
        <w:rPr>
          <w:rFonts w:ascii="Times New Roman" w:hAnsi="Times New Roman" w:cs="Times New Roman"/>
        </w:rPr>
        <w:t xml:space="preserve">. </w:t>
      </w:r>
    </w:p>
    <w:p w14:paraId="280EC09C" w14:textId="77777777" w:rsidR="00440038" w:rsidRPr="00214483" w:rsidRDefault="00440038" w:rsidP="00440038">
      <w:pPr>
        <w:spacing w:line="480" w:lineRule="auto"/>
        <w:rPr>
          <w:rFonts w:ascii="Times New Roman" w:hAnsi="Times New Roman" w:cs="Times New Roman"/>
        </w:rPr>
      </w:pPr>
    </w:p>
    <w:p w14:paraId="3E7CD904" w14:textId="53546124" w:rsidR="00095B5D" w:rsidRDefault="00440038" w:rsidP="00317DF9">
      <w:pPr>
        <w:spacing w:line="480" w:lineRule="auto"/>
        <w:rPr>
          <w:rFonts w:ascii="Times New Roman" w:hAnsi="Times New Roman" w:cs="Times New Roman"/>
        </w:rPr>
      </w:pPr>
      <w:r w:rsidRPr="00214483">
        <w:rPr>
          <w:rFonts w:ascii="Times New Roman" w:hAnsi="Times New Roman" w:cs="Times New Roman"/>
        </w:rPr>
        <w:t xml:space="preserve">We have taken multiple measures to avoid contamination; however there is the possibility that some positives in our study result from wild or PCR contamination. Following five of Cooper and </w:t>
      </w:r>
      <w:proofErr w:type="spellStart"/>
      <w:r w:rsidRPr="00214483">
        <w:rPr>
          <w:rFonts w:ascii="Times New Roman" w:hAnsi="Times New Roman" w:cs="Times New Roman"/>
        </w:rPr>
        <w:t>Poinar’s</w:t>
      </w:r>
      <w:proofErr w:type="spellEnd"/>
      <w:r w:rsidRPr="00214483">
        <w:rPr>
          <w:rFonts w:ascii="Times New Roman" w:hAnsi="Times New Roman" w:cs="Times New Roman"/>
        </w:rPr>
        <w:t xml:space="preserve"> “nine criteria of authenticity”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"author" : [ { "dropping-particle" : "", "family" : "Cooper", "given" : "Alan", "non-dropping-particle" : "", "parse-names" : false, "suffix" : "" }, { "dropping-particle" : "", "family" : "Poinar", "given" : "Hendrik N.", "non-dropping-particle" : "", "parse-names" : false, "suffix" : "" } ], "container-title" : "Science Letters", "id" : "ITEM-1", "issued" : { "date-parts" : [ [ "2000" ] ] }, "title" : "Ancient DNA: Do It Right or Not at All", "type" : "article-journal" }, "uris" : [ "http://www.mendeley.com/documents/?uuid=09a3b89a-c7b5-4996-b13b-d24f9ad29620" ] }, { "id" : "ITEM-2", "itemData" : { "DOI" : "10.1016/j.tree.2005.07.005", "ISSN" : "0169-5347", "PMID" : "16701432", "abstract" : "The study of ancient DNA has the potential to make significant and unique contributions to ecology and evolution. However, the techniques used contain inherent problems, particularly with regards to the generation of authentic and useful data. The solution currently advocated to reduce contamination and artefactual results is to adopt criteria for authentication. Nevertheless, these criteria are not foolproof, and we believe that they have, in practice, replaced the use of thought and prudence when designing and executing ancient DNA studies. We argue here that researchers in this field must take a more cognitive and self-critical approach. Specifically, in place of checking criteria off lists, researchers must explain, in sufficient enough detail to dispel doubt, how the data were obtained, and why they should be believed to be authentic.", "author" : [ { "dropping-particle" : "", "family" : "Gilbert", "given" : "M Thomas P", "non-dropping-particle" : "", "parse-names" : false, "suffix" : "" }, { "dropping-particle" : "", "family" : "Bandelt", "given" : "Hans-J\u00fcrgen", "non-dropping-particle" : "", "parse-names" : false, "suffix" : "" }, { "dropping-particle" : "", "family" : "Hofreiter", "given" : "Michael", "non-dropping-particle" : "", "parse-names" : false, "suffix" : "" }, { "dropping-particle" : "", "family" : "Barnes", "given" : "Ian", "non-dropping-particle" : "", "parse-names" : false, "suffix" : "" } ], "container-title" : "Trends in ecology &amp; evolution", "id" : "ITEM-2", "issue" : "10", "issued" : { "date-parts" : [ [ "2005" ] ] }, "page" : "541-4", "title" : "Assessing ancient DNA studies.", "type" : "article-journal", "volume" : "20" }, "uris" : [ "http://www.mendeley.com/documents/?uuid=03b9375a-2a4a-4293-a49d-f875cb77d16f" ] } ], "mendeley" : { "formattedCitation" : "(4,5)", "plainTextFormattedCitation" : "(4,5)", "previouslyFormattedCitation" : "(38,39)"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(4,5)</w:t>
      </w:r>
      <w:r w:rsidRPr="00214483">
        <w:rPr>
          <w:rFonts w:ascii="Times New Roman" w:hAnsi="Times New Roman" w:cs="Times New Roman"/>
        </w:rPr>
        <w:fldChar w:fldCharType="end"/>
      </w:r>
      <w:r w:rsidRPr="00214483">
        <w:rPr>
          <w:rFonts w:ascii="Times New Roman" w:hAnsi="Times New Roman" w:cs="Times New Roman"/>
        </w:rPr>
        <w:t xml:space="preserve"> does not exclude the possibility of cross-contamination from museum specimens while in storage prior to analyses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"10.1016/j.aanat.2011.04.003", "ISSN" : "1618-0402", "PMID" : "21641784", "abstract" : "Molecular studies of archival and fossil samples have traditionally focused on the nucleic acids derived from the host species. However, there has recently been an increase in ancient DNA research on the identification and characterization of infectious agents within the hosts. The study of pathogens from the past provides great opportunities for discovering the causes of historical infection events, characterizing host-microorganism co-evolution and directly investigating the evolution of specific pathogens. Several research teams have been able to isolate and characterize a variety of different bacterial, parasite and viral microorganisms. However, this emerging field is not without obstacles. The diagenetic processes that make ancient DNA research generally difficult are also impediments to ancient pathogen research and perhaps more so given that their DNA may represent an even rarer proportion of the remaining nucleic acids in a fossil sample than host DNA. However, studies performed under controlled conditions and following stringent ancient DNA protocols can and have yielded reliable and often surprising results. This article reviews the advantages, problems, and failures of ancient microbiological research.", "author" : [ { "dropping-particle" : "", "family" : "Tsangaras", "given" : "Kyriakos", "non-dropping-particle" : "", "parse-names" : false, "suffix" : "" }, { "dropping-particle" : "", "family" : "Greenwood", "given" : "Alex D", "non-dropping-particle" : "", "parse-names" : false, "suffix" : "" } ], "container-title" : "Annals of anatomy = Anatomischer Anzeiger : official organ of the Anatomische Gesellschaft", "id" : "ITEM-1", "issue" : "1", "issued" : { "date-parts" : [ [ "2012" ] ] }, "page" : "58-73", "publisher" : "Elsevier GmbH.", "title" : "Museums and disease: using tissue archive and museum samples to study pathogens.", "type" : "article-journal", "volume" : "194" }, "uris" : [ "http://www.mendeley.com/documents/?uuid=a7794246-02a1-4d19-b54e-d120497a8bff" ] } ], "mendeley" : { "formattedCitation" : "(7)", "plainTextFormattedCitation" : "(7)", "previouslyFormattedCitation" : "(9)"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(7)</w:t>
      </w:r>
      <w:r w:rsidRPr="00214483">
        <w:rPr>
          <w:rFonts w:ascii="Times New Roman" w:hAnsi="Times New Roman" w:cs="Times New Roman"/>
        </w:rPr>
        <w:fldChar w:fldCharType="end"/>
      </w:r>
      <w:r w:rsidRPr="00214483">
        <w:rPr>
          <w:rFonts w:ascii="Times New Roman" w:hAnsi="Times New Roman" w:cs="Times New Roman"/>
        </w:rPr>
        <w:t>. However the detection of wild contamination is unlikely as the low copy number of viral DNA will be further diluted, making it more difficult to PCR amplify and also sequen</w:t>
      </w:r>
      <w:r w:rsidR="00E01C02">
        <w:rPr>
          <w:rFonts w:ascii="Times New Roman" w:hAnsi="Times New Roman" w:cs="Times New Roman"/>
        </w:rPr>
        <w:t>ce these contaminants (Figure S3</w:t>
      </w:r>
      <w:r w:rsidRPr="00214483">
        <w:rPr>
          <w:rFonts w:ascii="Times New Roman" w:hAnsi="Times New Roman" w:cs="Times New Roman"/>
        </w:rPr>
        <w:t xml:space="preserve">). As expected, the amplification of G2R_WA (101-bp) resulted in higher MPXV prevalence rates because its length was shorter than the other amplicon G2R_F (123-bp). Our </w:t>
      </w:r>
      <w:proofErr w:type="spellStart"/>
      <w:r w:rsidRPr="00214483">
        <w:rPr>
          <w:rFonts w:ascii="Times New Roman" w:hAnsi="Times New Roman" w:cs="Times New Roman"/>
        </w:rPr>
        <w:t>Bioanalyzer</w:t>
      </w:r>
      <w:proofErr w:type="spellEnd"/>
      <w:r w:rsidRPr="00214483">
        <w:rPr>
          <w:rFonts w:ascii="Times New Roman" w:hAnsi="Times New Roman" w:cs="Times New Roman"/>
        </w:rPr>
        <w:t xml:space="preserve"> results estimated that the concentration of a 100-bp amplicon was about 6.2% higher than that of a 125-bp amplicon. The ratio of viral DNA to host DNA likely further exacerbates this concentration difference between amplicons, resulting in a further gap in MPXV detection due to low copy number. Furthermore, stochastic effects in real-time PCR reactions are observed when less than 10 copies of the target DNA are present in the reaction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"ISBN" : "0736-6205", "ISSN" : "07366205", "PMID" : "9631186", "abstract" : "Continuous fluorescence observation of amplifying DNA allows rapid and accurate quantification of initial transcript copy number. A simple and generic method for monitoring product synthesis with the double-stranded DNA dye, SYBR Green I provides initial template copy number estimation limited only by stochastic effects. To reach this degree of sensitivity, two methods were used. First, specific products generally have a higher melting temperature than nonspecific products, and therefore, specific product formation was monitored by fluorescence acquisition at temperatures at which only specific products are double-stranded. Second, anti-Taq antibodies were used to reduce nonspecific product generation. The log-linear portion of the fluorescence vs. cycle plot was extended to determine a fractional cycle number at which a threshold fluorescence was obtained. These fractional cycle numbers were plotted against the log of starting template copies to give linear standard curves from purified PCR products, allowing easy estimation of cDNA unknowns over a 10(6)-fold range. A single template molecule per reaction could be distinguished from the absence of template, although stochastic effects increased the variance of concentration estimates below 10 copies. Above 10 copies per reaction, typical replicate coefficients of variation were 6%-37%, with better precision at higher copy numbers.", "author" : [ { "dropping-particle" : "", "family" : "Morrison", "given" : "Tom B.", "non-dropping-particle" : "", "parse-names" : false, "suffix" : "" }, { "dropping-particle" : "", "family" : "Weis", "given" : "Janis J.", "non-dropping-particle" : "", "parse-names" : false, "suffix" : "" }, { "dropping-particle" : "", "family" : "Wittwer", "given" : "Carl T.", "non-dropping-particle" : "", "parse-names" : false, "suffix" : "" } ], "container-title" : "BioTechniques", "id" : "ITEM-1", "issue" : "6", "issued" : { "date-parts" : [ [ "1998" ] ] }, "page" : "954-962", "title" : "Quantification of lowcopy transcripts by continuous SYBR\u00ae green I monitoring during amplification", "type" : "article", "volume" : "24" }, "uris" : [ "http://www.mendeley.com/documents/?uuid=e4b0ced2-e42c-41f4-9656-075ce8670493" ] } ], "mendeley" : { "formattedCitation" : "(20)", "plainTextFormattedCitation" : "(20)", "previouslyFormattedCitation" : "(35)"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(20)</w:t>
      </w:r>
      <w:r w:rsidRPr="00214483">
        <w:rPr>
          <w:rFonts w:ascii="Times New Roman" w:hAnsi="Times New Roman" w:cs="Times New Roman"/>
        </w:rPr>
        <w:fldChar w:fldCharType="end"/>
      </w:r>
      <w:r w:rsidRPr="00214483">
        <w:rPr>
          <w:rFonts w:ascii="Times New Roman" w:hAnsi="Times New Roman" w:cs="Times New Roman"/>
        </w:rPr>
        <w:t xml:space="preserve"> and could vary dramatically depending on infection level or state of animal at death. Estimates of MPXV prevalence in skin specimens could be higher than seen if any contamination did occur or lower than in reality if our detection method was not sensitive enough. </w:t>
      </w:r>
    </w:p>
    <w:p w14:paraId="130E61D6" w14:textId="77777777" w:rsidR="00317DF9" w:rsidRDefault="00317DF9" w:rsidP="00317DF9">
      <w:pPr>
        <w:spacing w:line="480" w:lineRule="auto"/>
        <w:rPr>
          <w:rFonts w:ascii="Times New Roman" w:hAnsi="Times New Roman" w:cs="Times New Roman"/>
          <w:color w:val="FF0000"/>
        </w:rPr>
      </w:pPr>
    </w:p>
    <w:p w14:paraId="2B88D0C7" w14:textId="77777777" w:rsidR="00317DF9" w:rsidRDefault="00317DF9" w:rsidP="00317DF9">
      <w:pPr>
        <w:spacing w:line="480" w:lineRule="auto"/>
        <w:rPr>
          <w:rFonts w:ascii="Times New Roman" w:hAnsi="Times New Roman" w:cs="Times New Roman"/>
          <w:color w:val="FF0000"/>
        </w:rPr>
      </w:pPr>
    </w:p>
    <w:p w14:paraId="27428CA6" w14:textId="77777777" w:rsidR="00317DF9" w:rsidRDefault="00317DF9" w:rsidP="00317DF9">
      <w:pPr>
        <w:spacing w:line="480" w:lineRule="auto"/>
        <w:rPr>
          <w:rFonts w:ascii="Times New Roman" w:hAnsi="Times New Roman" w:cs="Times New Roman"/>
          <w:color w:val="FF0000"/>
        </w:rPr>
      </w:pPr>
    </w:p>
    <w:p w14:paraId="4FD0B49C" w14:textId="77777777" w:rsidR="00317DF9" w:rsidRDefault="00317DF9" w:rsidP="00317DF9">
      <w:pPr>
        <w:spacing w:line="480" w:lineRule="auto"/>
        <w:rPr>
          <w:rFonts w:ascii="Times New Roman" w:hAnsi="Times New Roman" w:cs="Times New Roman"/>
          <w:color w:val="FF0000"/>
        </w:rPr>
      </w:pPr>
    </w:p>
    <w:p w14:paraId="2E8B4B38" w14:textId="77777777" w:rsidR="00317DF9" w:rsidRDefault="00317DF9" w:rsidP="00317DF9">
      <w:pPr>
        <w:spacing w:line="480" w:lineRule="auto"/>
        <w:rPr>
          <w:rFonts w:ascii="Times New Roman" w:hAnsi="Times New Roman" w:cs="Times New Roman"/>
          <w:color w:val="FF0000"/>
        </w:rPr>
      </w:pPr>
    </w:p>
    <w:p w14:paraId="3C25E1E0" w14:textId="77777777" w:rsidR="00317DF9" w:rsidRPr="006E3E2A" w:rsidRDefault="00317DF9" w:rsidP="00317DF9">
      <w:pPr>
        <w:spacing w:line="480" w:lineRule="auto"/>
        <w:rPr>
          <w:rFonts w:ascii="Times New Roman" w:hAnsi="Times New Roman" w:cs="Times New Roman"/>
          <w:color w:val="FF0000"/>
        </w:rPr>
      </w:pPr>
    </w:p>
    <w:p w14:paraId="0F6EF956" w14:textId="474BB573" w:rsidR="00095B5D" w:rsidRPr="00214483" w:rsidRDefault="00095B5D" w:rsidP="00317DF9">
      <w:pPr>
        <w:spacing w:line="480" w:lineRule="auto"/>
        <w:rPr>
          <w:rFonts w:ascii="Times New Roman" w:hAnsi="Times New Roman" w:cs="Times New Roman"/>
        </w:rPr>
      </w:pPr>
      <w:r w:rsidRPr="00214483">
        <w:rPr>
          <w:rFonts w:ascii="Times New Roman" w:hAnsi="Times New Roman" w:cs="Times New Roman"/>
        </w:rPr>
        <w:t>SUPPLEMENTAL REFERENCES</w:t>
      </w:r>
    </w:p>
    <w:p w14:paraId="19AB9862" w14:textId="16E90170" w:rsidR="007B6F2D" w:rsidRPr="007B6F2D" w:rsidRDefault="00095B5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214483">
        <w:rPr>
          <w:rFonts w:ascii="Times New Roman" w:hAnsi="Times New Roman"/>
          <w:sz w:val="20"/>
          <w:szCs w:val="20"/>
        </w:rPr>
        <w:fldChar w:fldCharType="begin" w:fldLock="1"/>
      </w:r>
      <w:r w:rsidRPr="00214483">
        <w:rPr>
          <w:rFonts w:ascii="Times New Roman" w:hAnsi="Times New Roman"/>
        </w:rPr>
        <w:instrText xml:space="preserve">ADDIN Mendeley Bibliography CSL_BIBLIOGRAPHY </w:instrText>
      </w:r>
      <w:r w:rsidRPr="00214483">
        <w:rPr>
          <w:rFonts w:ascii="Times New Roman" w:hAnsi="Times New Roman"/>
          <w:sz w:val="20"/>
          <w:szCs w:val="20"/>
        </w:rPr>
        <w:fldChar w:fldCharType="separate"/>
      </w:r>
      <w:r w:rsidR="007B6F2D" w:rsidRPr="007B6F2D">
        <w:rPr>
          <w:rFonts w:ascii="Times New Roman" w:hAnsi="Times New Roman" w:cs="Times New Roman"/>
          <w:noProof/>
        </w:rPr>
        <w:t xml:space="preserve">1. </w:t>
      </w:r>
      <w:r w:rsidR="007B6F2D" w:rsidRPr="007B6F2D">
        <w:rPr>
          <w:rFonts w:ascii="Times New Roman" w:hAnsi="Times New Roman" w:cs="Times New Roman"/>
          <w:noProof/>
        </w:rPr>
        <w:tab/>
        <w:t xml:space="preserve">Li Y, Zhao H, Wilkins K, Hughes C, Damon IK. Real-time PCR assays for the specific detection of monkeypox virus West African and Congo Basin strain DNA. J Virol Methods. 2010;169:223–7. </w:t>
      </w:r>
    </w:p>
    <w:p w14:paraId="670198C1"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2. </w:t>
      </w:r>
      <w:r w:rsidRPr="007B6F2D">
        <w:rPr>
          <w:rFonts w:ascii="Times New Roman" w:hAnsi="Times New Roman" w:cs="Times New Roman"/>
          <w:noProof/>
        </w:rPr>
        <w:tab/>
        <w:t xml:space="preserve">Untergasser A, Cutcutache I, Koressaar T, Ye J, Faircloth BC, Remm M, et al. Primer3-new capabilities and interfaces. Nucleic Acids Res. 2012;40(15):1–12. </w:t>
      </w:r>
    </w:p>
    <w:p w14:paraId="434E03F2"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3. </w:t>
      </w:r>
      <w:r w:rsidRPr="007B6F2D">
        <w:rPr>
          <w:rFonts w:ascii="Times New Roman" w:hAnsi="Times New Roman" w:cs="Times New Roman"/>
          <w:noProof/>
        </w:rPr>
        <w:tab/>
        <w:t xml:space="preserve">Koressaar T, Remm M. Enhancements and modifications of primer design program Primer3. Bioinformatics. 2007;23(10):1289–91. </w:t>
      </w:r>
    </w:p>
    <w:p w14:paraId="22FA40F8"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4. </w:t>
      </w:r>
      <w:r w:rsidRPr="007B6F2D">
        <w:rPr>
          <w:rFonts w:ascii="Times New Roman" w:hAnsi="Times New Roman" w:cs="Times New Roman"/>
          <w:noProof/>
        </w:rPr>
        <w:tab/>
        <w:t xml:space="preserve">Cooper A, Poinar HN. Ancient DNA: Do It Right or Not at All. Sci Lett. 2000; </w:t>
      </w:r>
    </w:p>
    <w:p w14:paraId="759B2CB4"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5. </w:t>
      </w:r>
      <w:r w:rsidRPr="007B6F2D">
        <w:rPr>
          <w:rFonts w:ascii="Times New Roman" w:hAnsi="Times New Roman" w:cs="Times New Roman"/>
          <w:noProof/>
        </w:rPr>
        <w:tab/>
        <w:t xml:space="preserve">Gilbert MTP, Bandelt H-J, Hofreiter M, Barnes I. Assessing ancient DNA studies. Trends Ecol Evol. 2005;20(10):541–4. </w:t>
      </w:r>
    </w:p>
    <w:p w14:paraId="5D0EE196"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6. </w:t>
      </w:r>
      <w:r w:rsidRPr="007B6F2D">
        <w:rPr>
          <w:rFonts w:ascii="Times New Roman" w:hAnsi="Times New Roman" w:cs="Times New Roman"/>
          <w:noProof/>
        </w:rPr>
        <w:tab/>
        <w:t xml:space="preserve">Paabo S, Higuchi RG, Wilson AC. Ancient DNA and the Polymerase Chain Reaction: The Emerging Field of Molecular Archaeology. J Biol Chem. 1989;264(17):9709–12. </w:t>
      </w:r>
    </w:p>
    <w:p w14:paraId="1EF11C6C"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7. </w:t>
      </w:r>
      <w:r w:rsidRPr="007B6F2D">
        <w:rPr>
          <w:rFonts w:ascii="Times New Roman" w:hAnsi="Times New Roman" w:cs="Times New Roman"/>
          <w:noProof/>
        </w:rPr>
        <w:tab/>
        <w:t xml:space="preserve">Tsangaras K, Greenwood AD. Museums and disease: using tissue archive and museum samples to study pathogens. Ann Anat. Elsevier GmbH.; 2012;194(1):58–73. </w:t>
      </w:r>
    </w:p>
    <w:p w14:paraId="22DC286A"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8. </w:t>
      </w:r>
      <w:r w:rsidRPr="007B6F2D">
        <w:rPr>
          <w:rFonts w:ascii="Times New Roman" w:hAnsi="Times New Roman" w:cs="Times New Roman"/>
          <w:noProof/>
        </w:rPr>
        <w:tab/>
        <w:t>National Geospatial-Intelligence Agency. GEOnet Names Server database [Internet]. 2015 [cited 2015 Jan 1]. Available from: http://geonames.nga.mil/namesgaz/</w:t>
      </w:r>
    </w:p>
    <w:p w14:paraId="7307216D"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9. </w:t>
      </w:r>
      <w:r w:rsidRPr="007B6F2D">
        <w:rPr>
          <w:rFonts w:ascii="Times New Roman" w:hAnsi="Times New Roman" w:cs="Times New Roman"/>
          <w:noProof/>
        </w:rPr>
        <w:tab/>
        <w:t>IUCN. IUCN Red List of Threatened Species [Internet]. 2012. Report No.: 2012.2. Available from: http://www.iucnredlist.org</w:t>
      </w:r>
    </w:p>
    <w:p w14:paraId="739A5844"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10. </w:t>
      </w:r>
      <w:r w:rsidRPr="007B6F2D">
        <w:rPr>
          <w:rFonts w:ascii="Times New Roman" w:hAnsi="Times New Roman" w:cs="Times New Roman"/>
          <w:noProof/>
        </w:rPr>
        <w:tab/>
        <w:t>QGIS Development Team. QGIS Geographic Information System [Internet]. 2014. Available from: http://qgis.osgeo.org</w:t>
      </w:r>
    </w:p>
    <w:p w14:paraId="03392AB5"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11. </w:t>
      </w:r>
      <w:r w:rsidRPr="007B6F2D">
        <w:rPr>
          <w:rFonts w:ascii="Times New Roman" w:hAnsi="Times New Roman" w:cs="Times New Roman"/>
          <w:noProof/>
        </w:rPr>
        <w:tab/>
        <w:t>RStudio. RStudio: Integrated development environment for R [Internet]. Boston, MA; 2012. Available from: http://www.rstudio.org</w:t>
      </w:r>
    </w:p>
    <w:p w14:paraId="43281AED"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12. </w:t>
      </w:r>
      <w:r w:rsidRPr="007B6F2D">
        <w:rPr>
          <w:rFonts w:ascii="Times New Roman" w:hAnsi="Times New Roman" w:cs="Times New Roman"/>
          <w:noProof/>
        </w:rPr>
        <w:tab/>
        <w:t xml:space="preserve">R Core Team. R: A language and environment for statistical computing. Vienna, Austria: R Foundation for Statistical Computing; 2013. </w:t>
      </w:r>
    </w:p>
    <w:p w14:paraId="749DC047"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13. </w:t>
      </w:r>
      <w:r w:rsidRPr="007B6F2D">
        <w:rPr>
          <w:rFonts w:ascii="Times New Roman" w:hAnsi="Times New Roman" w:cs="Times New Roman"/>
          <w:noProof/>
        </w:rPr>
        <w:tab/>
        <w:t>Hijmans RJ. raster: Geographic data analysis and modeling [Internet]. 2014. Available from: http://cran.r-project.org/package=raster</w:t>
      </w:r>
    </w:p>
    <w:p w14:paraId="62E64DE4"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14. </w:t>
      </w:r>
      <w:r w:rsidRPr="007B6F2D">
        <w:rPr>
          <w:rFonts w:ascii="Times New Roman" w:hAnsi="Times New Roman" w:cs="Times New Roman"/>
          <w:noProof/>
        </w:rPr>
        <w:tab/>
        <w:t>Bivand R, Keitt T, Rowlingson B. rgdal: Bindings for the Geospatial Data Abstraction Library [Internet]. 2014. Available from: http://cran.r-project.org/package=rgdal</w:t>
      </w:r>
    </w:p>
    <w:p w14:paraId="38470576"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15. </w:t>
      </w:r>
      <w:r w:rsidRPr="007B6F2D">
        <w:rPr>
          <w:rFonts w:ascii="Times New Roman" w:hAnsi="Times New Roman" w:cs="Times New Roman"/>
          <w:noProof/>
        </w:rPr>
        <w:tab/>
        <w:t>Bates D, Maechler M, Bolker B, Walker S. lme4: Linear mixed-effects models using Eigen and S4 [Internet]. 2014. Available from: http://cran.r-project.org/package=lme4/</w:t>
      </w:r>
    </w:p>
    <w:p w14:paraId="17A94D59"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16. </w:t>
      </w:r>
      <w:r w:rsidRPr="007B6F2D">
        <w:rPr>
          <w:rFonts w:ascii="Times New Roman" w:hAnsi="Times New Roman" w:cs="Times New Roman"/>
          <w:noProof/>
        </w:rPr>
        <w:tab/>
        <w:t>Bartoń K. MuMIn: Multi-Model Inference [Internet]. 2015. Available from: http://cran.r-project.org/package=MuMIn</w:t>
      </w:r>
    </w:p>
    <w:p w14:paraId="5508FBC3"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17. </w:t>
      </w:r>
      <w:r w:rsidRPr="007B6F2D">
        <w:rPr>
          <w:rFonts w:ascii="Times New Roman" w:hAnsi="Times New Roman" w:cs="Times New Roman"/>
          <w:noProof/>
        </w:rPr>
        <w:tab/>
        <w:t xml:space="preserve">Hall LM, Willcox MS, Jones DS. Association of enzyme inhibition with methods of museum skin preparation. Biotechniques. 1997;22(5):928–34. </w:t>
      </w:r>
    </w:p>
    <w:p w14:paraId="54AF5D07"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18. </w:t>
      </w:r>
      <w:r w:rsidRPr="007B6F2D">
        <w:rPr>
          <w:rFonts w:ascii="Times New Roman" w:hAnsi="Times New Roman" w:cs="Times New Roman"/>
          <w:noProof/>
        </w:rPr>
        <w:tab/>
        <w:t xml:space="preserve">Hofreiter M, Serre D, Poinar HN, Kuch M, Pääbo S. Ancient DNA. Nat Rev Genet. 2001;2(5):353–9. </w:t>
      </w:r>
    </w:p>
    <w:p w14:paraId="6690B2AD"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19. </w:t>
      </w:r>
      <w:r w:rsidRPr="007B6F2D">
        <w:rPr>
          <w:rFonts w:ascii="Times New Roman" w:hAnsi="Times New Roman" w:cs="Times New Roman"/>
          <w:noProof/>
        </w:rPr>
        <w:tab/>
        <w:t xml:space="preserve">Chapman JL, Nichols DK, Martinez MJ, Raymond JW. Animal models of orthopoxvirus infection. Vet Pathol. 2010;47(5):852–70. </w:t>
      </w:r>
    </w:p>
    <w:p w14:paraId="58238E95"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20. </w:t>
      </w:r>
      <w:r w:rsidRPr="007B6F2D">
        <w:rPr>
          <w:rFonts w:ascii="Times New Roman" w:hAnsi="Times New Roman" w:cs="Times New Roman"/>
          <w:noProof/>
        </w:rPr>
        <w:tab/>
        <w:t xml:space="preserve">Morrison TB, Weis JJ, Wittwer CT. Quantification of lowcopy transcripts by continuous SYBR® green I monitoring during amplification. Vol. 24, BioTechniques. 1998. p. 954–62. </w:t>
      </w:r>
    </w:p>
    <w:p w14:paraId="6721CE02" w14:textId="77777777" w:rsidR="007B6F2D" w:rsidRPr="007B6F2D" w:rsidRDefault="007B6F2D" w:rsidP="007B6F2D">
      <w:pPr>
        <w:widowControl w:val="0"/>
        <w:autoSpaceDE w:val="0"/>
        <w:autoSpaceDN w:val="0"/>
        <w:adjustRightInd w:val="0"/>
        <w:spacing w:before="100" w:after="100" w:line="480" w:lineRule="auto"/>
        <w:ind w:left="640" w:hanging="640"/>
        <w:rPr>
          <w:rFonts w:ascii="Times New Roman" w:hAnsi="Times New Roman" w:cs="Times New Roman"/>
          <w:noProof/>
        </w:rPr>
      </w:pPr>
      <w:r w:rsidRPr="007B6F2D">
        <w:rPr>
          <w:rFonts w:ascii="Times New Roman" w:hAnsi="Times New Roman" w:cs="Times New Roman"/>
          <w:noProof/>
        </w:rPr>
        <w:t xml:space="preserve">21. </w:t>
      </w:r>
      <w:r w:rsidRPr="007B6F2D">
        <w:rPr>
          <w:rFonts w:ascii="Times New Roman" w:hAnsi="Times New Roman" w:cs="Times New Roman"/>
          <w:noProof/>
        </w:rPr>
        <w:tab/>
        <w:t>Zhou L, Palais R a., Paxton CN, Geiersbach KB, Wittwer CT. Copy Number Assessment by Competitive PCR with Limiting Deoxynucleotide Triphosphates and High-Resolution Melting. Clin Chem [Internet]. 2015;61(5):724–33. Available from: http://www.clinchem.org/cgi/doi/10.1373/clinchem.2014.236208</w:t>
      </w:r>
    </w:p>
    <w:p w14:paraId="3CF69FD4" w14:textId="671F84FB" w:rsidR="00317DF9" w:rsidRPr="00214483" w:rsidRDefault="00095B5D" w:rsidP="007B6F2D">
      <w:pPr>
        <w:pStyle w:val="NormalWeb"/>
        <w:spacing w:line="480" w:lineRule="auto"/>
        <w:ind w:left="640" w:hanging="640"/>
        <w:divId w:val="1780251391"/>
        <w:rPr>
          <w:rFonts w:ascii="Times New Roman" w:hAnsi="Times New Roman"/>
        </w:rPr>
      </w:pPr>
      <w:r w:rsidRPr="00214483">
        <w:rPr>
          <w:rFonts w:ascii="Times New Roman" w:hAnsi="Times New Roman"/>
        </w:rPr>
        <w:fldChar w:fldCharType="end"/>
      </w:r>
    </w:p>
    <w:p w14:paraId="5749B9B5" w14:textId="7B051D62" w:rsidR="00DD3D54" w:rsidRPr="00605DD4" w:rsidRDefault="00856DB2" w:rsidP="00317DF9">
      <w:pPr>
        <w:spacing w:line="480" w:lineRule="auto"/>
        <w:jc w:val="center"/>
        <w:rPr>
          <w:rFonts w:ascii="Times New Roman" w:hAnsi="Times New Roman" w:cs="Times New Roman"/>
          <w:b/>
        </w:rPr>
      </w:pPr>
      <w:r w:rsidRPr="00605DD4">
        <w:rPr>
          <w:rFonts w:ascii="Times New Roman" w:hAnsi="Times New Roman" w:cs="Times New Roman"/>
          <w:b/>
        </w:rPr>
        <w:t>SUPPL</w:t>
      </w:r>
      <w:r w:rsidR="0091160E">
        <w:rPr>
          <w:rFonts w:ascii="Times New Roman" w:hAnsi="Times New Roman" w:cs="Times New Roman"/>
          <w:b/>
        </w:rPr>
        <w:t>E</w:t>
      </w:r>
      <w:r w:rsidRPr="00605DD4">
        <w:rPr>
          <w:rFonts w:ascii="Times New Roman" w:hAnsi="Times New Roman" w:cs="Times New Roman"/>
          <w:b/>
        </w:rPr>
        <w:t>MENTAL FIGURE AND TABLE CAPTIONS</w:t>
      </w:r>
    </w:p>
    <w:p w14:paraId="4E65F49E" w14:textId="435A40A5" w:rsidR="00856DB2" w:rsidRPr="00214483" w:rsidRDefault="002F5E18" w:rsidP="00317DF9">
      <w:pPr>
        <w:spacing w:line="480" w:lineRule="auto"/>
        <w:rPr>
          <w:rFonts w:ascii="Times New Roman" w:hAnsi="Times New Roman" w:cs="Times New Roman"/>
          <w:b/>
        </w:rPr>
      </w:pPr>
      <w:r w:rsidRPr="00214483">
        <w:rPr>
          <w:rFonts w:ascii="Times New Roman" w:hAnsi="Times New Roman" w:cs="Times New Roman"/>
          <w:b/>
        </w:rPr>
        <w:t>Fig</w:t>
      </w:r>
      <w:r w:rsidR="007C3339" w:rsidRPr="00214483">
        <w:rPr>
          <w:rFonts w:ascii="Times New Roman" w:hAnsi="Times New Roman" w:cs="Times New Roman"/>
          <w:b/>
        </w:rPr>
        <w:t>ure</w:t>
      </w:r>
      <w:r w:rsidR="003F204A" w:rsidRPr="00214483">
        <w:rPr>
          <w:rFonts w:ascii="Times New Roman" w:hAnsi="Times New Roman" w:cs="Times New Roman"/>
          <w:b/>
        </w:rPr>
        <w:t xml:space="preserve"> S1</w:t>
      </w:r>
      <w:r w:rsidR="00856DB2" w:rsidRPr="00214483">
        <w:rPr>
          <w:rFonts w:ascii="Times New Roman" w:hAnsi="Times New Roman" w:cs="Times New Roman"/>
          <w:b/>
        </w:rPr>
        <w:t>. Comparison of MPXV prevalence among skin specimens for both amplicons</w:t>
      </w:r>
    </w:p>
    <w:p w14:paraId="38662758" w14:textId="1A780A44" w:rsidR="00856DB2" w:rsidRPr="00214483" w:rsidRDefault="00856DB2" w:rsidP="00317DF9">
      <w:pPr>
        <w:spacing w:line="480" w:lineRule="auto"/>
        <w:rPr>
          <w:rFonts w:ascii="Times New Roman" w:hAnsi="Times New Roman" w:cs="Times New Roman"/>
        </w:rPr>
      </w:pPr>
      <w:r w:rsidRPr="00214483">
        <w:rPr>
          <w:rFonts w:ascii="Times New Roman" w:hAnsi="Times New Roman" w:cs="Times New Roman"/>
        </w:rPr>
        <w:t xml:space="preserve"> MPXV prevalence levels and their </w:t>
      </w:r>
      <w:proofErr w:type="spellStart"/>
      <w:r w:rsidRPr="00214483">
        <w:rPr>
          <w:rFonts w:ascii="Times New Roman" w:hAnsi="Times New Roman" w:cs="Times New Roman"/>
        </w:rPr>
        <w:t>Clopper</w:t>
      </w:r>
      <w:proofErr w:type="spellEnd"/>
      <w:r w:rsidRPr="00214483">
        <w:rPr>
          <w:rFonts w:ascii="Times New Roman" w:hAnsi="Times New Roman" w:cs="Times New Roman"/>
        </w:rPr>
        <w:t>-Pearson exact 95% confidence intervals are shown for the (</w:t>
      </w:r>
      <w:proofErr w:type="spellStart"/>
      <w:r w:rsidRPr="00214483">
        <w:rPr>
          <w:rFonts w:ascii="Times New Roman" w:hAnsi="Times New Roman" w:cs="Times New Roman"/>
        </w:rPr>
        <w:t>i</w:t>
      </w:r>
      <w:proofErr w:type="spellEnd"/>
      <w:r w:rsidRPr="00214483">
        <w:rPr>
          <w:rFonts w:ascii="Times New Roman" w:hAnsi="Times New Roman" w:cs="Times New Roman"/>
        </w:rPr>
        <w:t xml:space="preserve">) G2R_G amplicon (red), (ii) G2R_WA amplicon (green), and (iii) either amplicon (blue). MPXV prevalence levels are given overall and for the five MPXV positive species: </w:t>
      </w:r>
      <w:r w:rsidRPr="00214483">
        <w:rPr>
          <w:rFonts w:ascii="Times New Roman" w:hAnsi="Times New Roman" w:cs="Times New Roman"/>
          <w:i/>
        </w:rPr>
        <w:t>Funisciurus anerythrus</w:t>
      </w:r>
      <w:r w:rsidRPr="00214483">
        <w:rPr>
          <w:rFonts w:ascii="Times New Roman" w:hAnsi="Times New Roman" w:cs="Times New Roman"/>
        </w:rPr>
        <w:t xml:space="preserve">, </w:t>
      </w:r>
      <w:r w:rsidRPr="00214483">
        <w:rPr>
          <w:rFonts w:ascii="Times New Roman" w:hAnsi="Times New Roman" w:cs="Times New Roman"/>
          <w:i/>
        </w:rPr>
        <w:t>F. carruthersi</w:t>
      </w:r>
      <w:r w:rsidRPr="00214483">
        <w:rPr>
          <w:rFonts w:ascii="Times New Roman" w:hAnsi="Times New Roman" w:cs="Times New Roman"/>
        </w:rPr>
        <w:t xml:space="preserve">, </w:t>
      </w:r>
      <w:r w:rsidRPr="00214483">
        <w:rPr>
          <w:rFonts w:ascii="Times New Roman" w:hAnsi="Times New Roman" w:cs="Times New Roman"/>
          <w:i/>
        </w:rPr>
        <w:t>F. congicus</w:t>
      </w:r>
      <w:r w:rsidRPr="00214483">
        <w:rPr>
          <w:rFonts w:ascii="Times New Roman" w:hAnsi="Times New Roman" w:cs="Times New Roman"/>
        </w:rPr>
        <w:t xml:space="preserve">, </w:t>
      </w:r>
      <w:r w:rsidRPr="00214483">
        <w:rPr>
          <w:rFonts w:ascii="Times New Roman" w:hAnsi="Times New Roman" w:cs="Times New Roman"/>
          <w:i/>
        </w:rPr>
        <w:t>F. lemniscatus</w:t>
      </w:r>
      <w:r w:rsidRPr="00214483">
        <w:rPr>
          <w:rFonts w:ascii="Times New Roman" w:hAnsi="Times New Roman" w:cs="Times New Roman"/>
        </w:rPr>
        <w:t xml:space="preserve">, and </w:t>
      </w:r>
      <w:r w:rsidRPr="00214483">
        <w:rPr>
          <w:rFonts w:ascii="Times New Roman" w:hAnsi="Times New Roman" w:cs="Times New Roman"/>
          <w:i/>
        </w:rPr>
        <w:t>F. pyrropus</w:t>
      </w:r>
      <w:r w:rsidRPr="00214483">
        <w:rPr>
          <w:rFonts w:ascii="Times New Roman" w:hAnsi="Times New Roman" w:cs="Times New Roman"/>
        </w:rPr>
        <w:t xml:space="preserve">. </w:t>
      </w:r>
    </w:p>
    <w:p w14:paraId="4DDDFB32" w14:textId="77777777" w:rsidR="003F204A" w:rsidRPr="00214483" w:rsidRDefault="003F204A" w:rsidP="00317DF9">
      <w:pPr>
        <w:spacing w:line="480" w:lineRule="auto"/>
        <w:rPr>
          <w:rFonts w:ascii="Times New Roman" w:hAnsi="Times New Roman" w:cs="Times New Roman"/>
        </w:rPr>
      </w:pPr>
    </w:p>
    <w:p w14:paraId="41452118" w14:textId="6B110AA0" w:rsidR="003F204A" w:rsidRPr="00214483" w:rsidRDefault="003F204A" w:rsidP="00317DF9">
      <w:pPr>
        <w:spacing w:line="480" w:lineRule="auto"/>
        <w:rPr>
          <w:rFonts w:ascii="Times New Roman" w:hAnsi="Times New Roman" w:cs="Times New Roman"/>
        </w:rPr>
      </w:pPr>
      <w:r w:rsidRPr="00214483">
        <w:rPr>
          <w:rFonts w:ascii="Times New Roman" w:hAnsi="Times New Roman" w:cs="Times New Roman"/>
          <w:b/>
        </w:rPr>
        <w:t>Figure S2. MPXV Prevalence by month of collection for all years and species</w:t>
      </w:r>
    </w:p>
    <w:p w14:paraId="14137E06" w14:textId="77777777" w:rsidR="003F204A" w:rsidRPr="00214483" w:rsidRDefault="003F204A" w:rsidP="00317DF9">
      <w:pPr>
        <w:spacing w:line="480" w:lineRule="auto"/>
        <w:rPr>
          <w:rFonts w:ascii="Times New Roman" w:hAnsi="Times New Roman" w:cs="Times New Roman"/>
        </w:rPr>
      </w:pPr>
      <w:r w:rsidRPr="00214483">
        <w:rPr>
          <w:rFonts w:ascii="Times New Roman" w:hAnsi="Times New Roman" w:cs="Times New Roman"/>
        </w:rPr>
        <w:t xml:space="preserve">MPXV prevalence rates are given by month of collection for all years and species. All samples without a collection month were dropped from the dataset. Error bars are the </w:t>
      </w:r>
      <w:proofErr w:type="spellStart"/>
      <w:r w:rsidRPr="00214483">
        <w:rPr>
          <w:rFonts w:ascii="Times New Roman" w:hAnsi="Times New Roman" w:cs="Times New Roman"/>
        </w:rPr>
        <w:t>Clopper</w:t>
      </w:r>
      <w:proofErr w:type="spellEnd"/>
      <w:r w:rsidRPr="00214483">
        <w:rPr>
          <w:rFonts w:ascii="Times New Roman" w:hAnsi="Times New Roman" w:cs="Times New Roman"/>
        </w:rPr>
        <w:t>-Pearson exact 95% confidence intervals.</w:t>
      </w:r>
    </w:p>
    <w:p w14:paraId="57FA8820" w14:textId="77777777" w:rsidR="003F204A" w:rsidRDefault="003F204A" w:rsidP="00317DF9">
      <w:pPr>
        <w:spacing w:line="480" w:lineRule="auto"/>
        <w:rPr>
          <w:rFonts w:ascii="Times New Roman" w:hAnsi="Times New Roman" w:cs="Times New Roman"/>
        </w:rPr>
      </w:pPr>
    </w:p>
    <w:p w14:paraId="411EA763" w14:textId="6368BAA5" w:rsidR="003F204A" w:rsidRPr="00214483" w:rsidRDefault="003F204A" w:rsidP="00317DF9">
      <w:pPr>
        <w:spacing w:line="480" w:lineRule="auto"/>
        <w:rPr>
          <w:rFonts w:ascii="Times New Roman" w:hAnsi="Times New Roman" w:cs="Times New Roman"/>
        </w:rPr>
      </w:pPr>
      <w:r w:rsidRPr="00214483">
        <w:rPr>
          <w:rFonts w:ascii="Times New Roman" w:hAnsi="Times New Roman" w:cs="Times New Roman"/>
          <w:b/>
        </w:rPr>
        <w:t>Fig</w:t>
      </w:r>
      <w:r w:rsidR="00317DF9">
        <w:rPr>
          <w:rFonts w:ascii="Times New Roman" w:hAnsi="Times New Roman" w:cs="Times New Roman"/>
          <w:b/>
        </w:rPr>
        <w:t>ure</w:t>
      </w:r>
      <w:r w:rsidRPr="00214483">
        <w:rPr>
          <w:rFonts w:ascii="Times New Roman" w:hAnsi="Times New Roman" w:cs="Times New Roman"/>
          <w:b/>
        </w:rPr>
        <w:t xml:space="preserve"> S3.</w:t>
      </w:r>
      <w:r w:rsidRPr="00214483">
        <w:rPr>
          <w:rFonts w:ascii="Times New Roman" w:hAnsi="Times New Roman" w:cs="Times New Roman"/>
        </w:rPr>
        <w:t xml:space="preserve"> </w:t>
      </w:r>
      <w:r w:rsidRPr="00214483">
        <w:rPr>
          <w:rFonts w:ascii="Times New Roman" w:hAnsi="Times New Roman" w:cs="Times New Roman"/>
          <w:b/>
        </w:rPr>
        <w:t>Comparison of Sanger sequencing verification results to fluorescence levels of HRM putative positives</w:t>
      </w:r>
    </w:p>
    <w:p w14:paraId="7A4D328F" w14:textId="5EA1AA60" w:rsidR="00905B33" w:rsidRDefault="003F204A" w:rsidP="00905B33">
      <w:pPr>
        <w:spacing w:line="480" w:lineRule="auto"/>
        <w:rPr>
          <w:rFonts w:ascii="Times New Roman" w:hAnsi="Times New Roman" w:cs="Times New Roman"/>
        </w:rPr>
      </w:pPr>
      <w:r w:rsidRPr="00214483">
        <w:rPr>
          <w:rFonts w:ascii="Times New Roman" w:hAnsi="Times New Roman" w:cs="Times New Roman"/>
        </w:rPr>
        <w:t>Rate of fluorescence or the intensity of the T</w:t>
      </w:r>
      <w:r w:rsidRPr="00214483">
        <w:rPr>
          <w:rFonts w:ascii="Times New Roman" w:hAnsi="Times New Roman" w:cs="Times New Roman"/>
          <w:vertAlign w:val="subscript"/>
        </w:rPr>
        <w:t>m</w:t>
      </w:r>
      <w:r w:rsidRPr="00214483">
        <w:rPr>
          <w:rFonts w:ascii="Times New Roman" w:hAnsi="Times New Roman" w:cs="Times New Roman"/>
        </w:rPr>
        <w:t xml:space="preserve"> peak as calculated through analysis of HRM melting curves acts as a proxy for copy number of PCR product </w:t>
      </w:r>
      <w:r w:rsidRPr="00214483">
        <w:rPr>
          <w:rFonts w:ascii="Times New Roman" w:hAnsi="Times New Roman" w:cs="Times New Roman"/>
        </w:rPr>
        <w:fldChar w:fldCharType="begin" w:fldLock="1"/>
      </w:r>
      <w:r w:rsidR="007B6F2D">
        <w:rPr>
          <w:rFonts w:ascii="Times New Roman" w:hAnsi="Times New Roman" w:cs="Times New Roman"/>
        </w:rPr>
        <w:instrText>ADDIN CSL_CITATION { "citationItems" : [ { "id" : "ITEM-1", "itemData" : { "DOI" : "10.1373/clinchem.2014.236208", "ISSN" : "0009-9147", "author" : [ { "dropping-particle" : "", "family" : "Zhou", "given" : "L.", "non-dropping-particle" : "", "parse-names" : false, "suffix" : "" }, { "dropping-particle" : "", "family" : "Palais", "given" : "R. a.", "non-dropping-particle" : "", "parse-names" : false, "suffix" : "" }, { "dropping-particle" : "", "family" : "Paxton", "given" : "C. N.", "non-dropping-particle" : "", "parse-names" : false, "suffix" : "" }, { "dropping-particle" : "", "family" : "Geiersbach", "given" : "K. B.", "non-dropping-particle" : "", "parse-names" : false, "suffix" : "" }, { "dropping-particle" : "", "family" : "Wittwer", "given" : "C. T.", "non-dropping-particle" : "", "parse-names" : false, "suffix" : "" } ], "container-title" : "Clinical Chemistry", "id" : "ITEM-1", "issue" : "5", "issued" : { "date-parts" : [ [ "2015" ] ] }, "page" : "724-733", "title" : "Copy Number Assessment by Competitive PCR with Limiting Deoxynucleotide Triphosphates and High-Resolution Melting", "type" : "article-journal", "volume" : "61" }, "uris" : [ "http://www.mendeley.com/documents/?uuid=cc08a900-ecdc-4628-8527-6cfd0e082ebc" ] } ], "mendeley" : { "formattedCitation" : "(21)", "plainTextFormattedCitation" : "(21)", "previouslyFormattedCitation" : "(14)" }, "properties" : { "noteIndex" : 0 }, "schema" : "https://github.com/citation-style-language/schema/raw/master/csl-citation.json" }</w:instrText>
      </w:r>
      <w:r w:rsidRPr="00214483">
        <w:rPr>
          <w:rFonts w:ascii="Times New Roman" w:hAnsi="Times New Roman" w:cs="Times New Roman"/>
        </w:rPr>
        <w:fldChar w:fldCharType="separate"/>
      </w:r>
      <w:r w:rsidR="007B6F2D" w:rsidRPr="007B6F2D">
        <w:rPr>
          <w:rFonts w:ascii="Times New Roman" w:hAnsi="Times New Roman" w:cs="Times New Roman"/>
          <w:noProof/>
        </w:rPr>
        <w:t>(21)</w:t>
      </w:r>
      <w:r w:rsidRPr="00214483">
        <w:rPr>
          <w:rFonts w:ascii="Times New Roman" w:hAnsi="Times New Roman" w:cs="Times New Roman"/>
        </w:rPr>
        <w:fldChar w:fldCharType="end"/>
      </w:r>
      <w:r w:rsidRPr="00214483">
        <w:rPr>
          <w:rFonts w:ascii="Times New Roman" w:hAnsi="Times New Roman" w:cs="Times New Roman"/>
        </w:rPr>
        <w:t>. Black circles correspond to the G2R_G amplicon and red points to the G2R_WA amplicon. This figure compares the sensitivity of HRM to that of Sanger sequencing. HRM putative positives melting in the correct melting range are more likely to be verified by Sanger-sequencing if the copy number is higher. This restricts the positives to those that occur in higher copy number, avoiding wild contamination. An ANOVA rejects the null hypothesis that the mean T</w:t>
      </w:r>
      <w:r w:rsidRPr="00214483">
        <w:rPr>
          <w:rFonts w:ascii="Times New Roman" w:hAnsi="Times New Roman" w:cs="Times New Roman"/>
          <w:vertAlign w:val="subscript"/>
        </w:rPr>
        <w:t>m</w:t>
      </w:r>
      <w:r w:rsidRPr="00214483">
        <w:rPr>
          <w:rFonts w:ascii="Times New Roman" w:hAnsi="Times New Roman" w:cs="Times New Roman"/>
        </w:rPr>
        <w:t xml:space="preserve"> peak intensity of fluorescence for Sanger-sequenced positives is equal to the mean for Sanger-sequenced negatives (</w:t>
      </w:r>
      <w:r w:rsidRPr="00214483">
        <w:rPr>
          <w:rFonts w:ascii="Times New Roman" w:hAnsi="Times New Roman" w:cs="Times New Roman"/>
          <w:i/>
        </w:rPr>
        <w:t>p</w:t>
      </w:r>
      <w:r w:rsidRPr="00214483">
        <w:rPr>
          <w:rFonts w:ascii="Times New Roman" w:hAnsi="Times New Roman" w:cs="Times New Roman"/>
        </w:rPr>
        <w:t xml:space="preserve"> &lt; 2.2E-16, </w:t>
      </w:r>
      <w:r w:rsidRPr="00214483">
        <w:rPr>
          <w:rFonts w:ascii="Times New Roman" w:hAnsi="Times New Roman" w:cs="Times New Roman"/>
          <w:i/>
        </w:rPr>
        <w:t xml:space="preserve">F </w:t>
      </w:r>
      <w:r w:rsidRPr="00214483">
        <w:rPr>
          <w:rFonts w:ascii="Times New Roman" w:hAnsi="Times New Roman" w:cs="Times New Roman"/>
        </w:rPr>
        <w:t xml:space="preserve">= 190.7, </w:t>
      </w:r>
      <w:r w:rsidRPr="00214483">
        <w:rPr>
          <w:rFonts w:ascii="Times New Roman" w:hAnsi="Times New Roman" w:cs="Times New Roman"/>
          <w:i/>
        </w:rPr>
        <w:t xml:space="preserve">df </w:t>
      </w:r>
      <w:r w:rsidRPr="00214483">
        <w:rPr>
          <w:rFonts w:ascii="Times New Roman" w:hAnsi="Times New Roman" w:cs="Times New Roman"/>
        </w:rPr>
        <w:t>= 1).</w:t>
      </w:r>
    </w:p>
    <w:p w14:paraId="5547BFEB" w14:textId="77777777" w:rsidR="00905B33" w:rsidRDefault="00905B33" w:rsidP="00905B33">
      <w:pPr>
        <w:spacing w:line="480" w:lineRule="auto"/>
        <w:rPr>
          <w:rFonts w:ascii="Times New Roman" w:hAnsi="Times New Roman" w:cs="Times New Roman"/>
        </w:rPr>
      </w:pPr>
    </w:p>
    <w:p w14:paraId="79E5FD70" w14:textId="3DA4A998" w:rsidR="00905B33" w:rsidRPr="00905B33" w:rsidRDefault="00905B33" w:rsidP="00905B33">
      <w:pPr>
        <w:spacing w:line="480" w:lineRule="auto"/>
        <w:rPr>
          <w:rFonts w:ascii="Times New Roman" w:hAnsi="Times New Roman" w:cs="Times New Roman"/>
          <w:b/>
        </w:rPr>
      </w:pPr>
      <w:r w:rsidRPr="00214483">
        <w:rPr>
          <w:rFonts w:ascii="Times New Roman" w:hAnsi="Times New Roman" w:cs="Times New Roman"/>
          <w:b/>
        </w:rPr>
        <w:t xml:space="preserve">Table S1. Number of </w:t>
      </w:r>
      <w:r w:rsidRPr="00214483">
        <w:rPr>
          <w:rFonts w:ascii="Times New Roman" w:hAnsi="Times New Roman" w:cs="Times New Roman"/>
          <w:b/>
          <w:i/>
        </w:rPr>
        <w:t>Funisciurus</w:t>
      </w:r>
      <w:r w:rsidRPr="00214483">
        <w:rPr>
          <w:rFonts w:ascii="Times New Roman" w:hAnsi="Times New Roman" w:cs="Times New Roman"/>
          <w:b/>
        </w:rPr>
        <w:t xml:space="preserve"> samples screened for MPX viral DNA based on country of origin and species</w:t>
      </w:r>
    </w:p>
    <w:p w14:paraId="7F998343" w14:textId="77777777" w:rsidR="00905B33" w:rsidRDefault="00905B33" w:rsidP="00905B33">
      <w:pPr>
        <w:spacing w:line="480" w:lineRule="auto"/>
        <w:rPr>
          <w:rFonts w:ascii="Times New Roman" w:hAnsi="Times New Roman" w:cs="Times New Roman"/>
        </w:rPr>
      </w:pPr>
    </w:p>
    <w:p w14:paraId="4A42A972" w14:textId="77777777" w:rsidR="00905B33" w:rsidRPr="00214483" w:rsidRDefault="00905B33" w:rsidP="00905B33">
      <w:pPr>
        <w:spacing w:line="480" w:lineRule="auto"/>
        <w:rPr>
          <w:rFonts w:ascii="Times New Roman" w:hAnsi="Times New Roman" w:cs="Times New Roman"/>
          <w:b/>
        </w:rPr>
      </w:pPr>
      <w:r w:rsidRPr="00214483">
        <w:rPr>
          <w:rFonts w:ascii="Times New Roman" w:hAnsi="Times New Roman" w:cs="Times New Roman"/>
          <w:b/>
        </w:rPr>
        <w:t>Table S2. Binomial logistic regression model analysis of MP</w:t>
      </w:r>
      <w:r>
        <w:rPr>
          <w:rFonts w:ascii="Times New Roman" w:hAnsi="Times New Roman" w:cs="Times New Roman"/>
          <w:b/>
        </w:rPr>
        <w:t>X</w:t>
      </w:r>
      <w:r w:rsidRPr="00214483">
        <w:rPr>
          <w:rFonts w:ascii="Times New Roman" w:hAnsi="Times New Roman" w:cs="Times New Roman"/>
          <w:b/>
        </w:rPr>
        <w:t>V positive/negative outcome data based on AIC value</w:t>
      </w:r>
    </w:p>
    <w:p w14:paraId="169BC6A7" w14:textId="15D80E32" w:rsidR="00905B33" w:rsidRPr="00905B33" w:rsidRDefault="00905B33" w:rsidP="00905B33">
      <w:pPr>
        <w:spacing w:line="480" w:lineRule="auto"/>
        <w:rPr>
          <w:rFonts w:ascii="Times New Roman" w:hAnsi="Times New Roman" w:cs="Times New Roman"/>
        </w:rPr>
        <w:sectPr w:rsidR="00905B33" w:rsidRPr="00905B33" w:rsidSect="00DE797C">
          <w:pgSz w:w="12240" w:h="15840"/>
          <w:pgMar w:top="1440" w:right="1440" w:bottom="1440" w:left="1440" w:header="720" w:footer="720" w:gutter="0"/>
          <w:lnNumType w:countBy="1" w:restart="continuous"/>
          <w:cols w:space="720"/>
          <w:docGrid w:linePitch="360"/>
        </w:sectPr>
      </w:pPr>
      <w:r w:rsidRPr="00214483">
        <w:rPr>
          <w:rFonts w:ascii="Times New Roman" w:hAnsi="Times New Roman" w:cs="Times New Roman"/>
        </w:rPr>
        <w:t>The best model based on AIC value (AIC = 352.85) included museum of origin, species, month of collection, collection period, sex, and age of specimen as significant variables predicting MPXV infection outcome. Significance was determined by likelihood ratio tests comparing the model with an</w:t>
      </w:r>
      <w:r>
        <w:rPr>
          <w:rFonts w:ascii="Times New Roman" w:hAnsi="Times New Roman" w:cs="Times New Roman"/>
        </w:rPr>
        <w:t>d without a particular variabl</w:t>
      </w:r>
      <w:r w:rsidR="00DE797C">
        <w:rPr>
          <w:rFonts w:ascii="Times New Roman" w:hAnsi="Times New Roman" w:cs="Times New Roman"/>
        </w:rPr>
        <w:t>e</w:t>
      </w:r>
    </w:p>
    <w:p w14:paraId="08F2AE8B" w14:textId="185771E5" w:rsidR="00A04393" w:rsidRPr="008C114A" w:rsidRDefault="00A04393" w:rsidP="00856DB2">
      <w:pPr>
        <w:spacing w:line="480" w:lineRule="auto"/>
        <w:rPr>
          <w:rFonts w:ascii="Times New Roman" w:hAnsi="Times New Roman" w:cs="Times New Roman"/>
        </w:rPr>
      </w:pPr>
    </w:p>
    <w:sectPr w:rsidR="00A04393" w:rsidRPr="008C114A" w:rsidSect="00DE797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3F77"/>
    <w:multiLevelType w:val="hybridMultilevel"/>
    <w:tmpl w:val="DBE452CE"/>
    <w:lvl w:ilvl="0" w:tplc="03E6D8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2232E7"/>
    <w:multiLevelType w:val="hybridMultilevel"/>
    <w:tmpl w:val="03FE9DDE"/>
    <w:lvl w:ilvl="0" w:tplc="E2E2AB5A">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E26FD6"/>
    <w:multiLevelType w:val="hybridMultilevel"/>
    <w:tmpl w:val="E2A0D7FE"/>
    <w:lvl w:ilvl="0" w:tplc="8EA02912">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03"/>
    <w:rsid w:val="0007633F"/>
    <w:rsid w:val="00076870"/>
    <w:rsid w:val="00076E85"/>
    <w:rsid w:val="00081F69"/>
    <w:rsid w:val="00083E2B"/>
    <w:rsid w:val="00095B5D"/>
    <w:rsid w:val="00104AF9"/>
    <w:rsid w:val="0013183D"/>
    <w:rsid w:val="001D4BFB"/>
    <w:rsid w:val="00214483"/>
    <w:rsid w:val="00271A68"/>
    <w:rsid w:val="002A2605"/>
    <w:rsid w:val="002B7069"/>
    <w:rsid w:val="002E414C"/>
    <w:rsid w:val="002F3994"/>
    <w:rsid w:val="002F5E18"/>
    <w:rsid w:val="00317DF9"/>
    <w:rsid w:val="0034384F"/>
    <w:rsid w:val="00347CA7"/>
    <w:rsid w:val="003548FB"/>
    <w:rsid w:val="00370C79"/>
    <w:rsid w:val="003767BD"/>
    <w:rsid w:val="00396F4A"/>
    <w:rsid w:val="003A4270"/>
    <w:rsid w:val="003F204A"/>
    <w:rsid w:val="00404AF5"/>
    <w:rsid w:val="004200C2"/>
    <w:rsid w:val="00440038"/>
    <w:rsid w:val="00460A58"/>
    <w:rsid w:val="00462F04"/>
    <w:rsid w:val="004F2EF4"/>
    <w:rsid w:val="005110A0"/>
    <w:rsid w:val="00536687"/>
    <w:rsid w:val="00553762"/>
    <w:rsid w:val="005612FA"/>
    <w:rsid w:val="00597361"/>
    <w:rsid w:val="005F1259"/>
    <w:rsid w:val="00605DD4"/>
    <w:rsid w:val="0061257C"/>
    <w:rsid w:val="006352BC"/>
    <w:rsid w:val="00656C83"/>
    <w:rsid w:val="006658A0"/>
    <w:rsid w:val="00680821"/>
    <w:rsid w:val="00683BBC"/>
    <w:rsid w:val="006C2861"/>
    <w:rsid w:val="006E3E2A"/>
    <w:rsid w:val="006F0393"/>
    <w:rsid w:val="006F4571"/>
    <w:rsid w:val="006F5DA6"/>
    <w:rsid w:val="00724CC0"/>
    <w:rsid w:val="0079069B"/>
    <w:rsid w:val="007A1EE6"/>
    <w:rsid w:val="007B2A2A"/>
    <w:rsid w:val="007B6F2D"/>
    <w:rsid w:val="007C3339"/>
    <w:rsid w:val="007E4385"/>
    <w:rsid w:val="008317AA"/>
    <w:rsid w:val="0083291E"/>
    <w:rsid w:val="00837E03"/>
    <w:rsid w:val="00856DB2"/>
    <w:rsid w:val="008676D6"/>
    <w:rsid w:val="008A5356"/>
    <w:rsid w:val="008C114A"/>
    <w:rsid w:val="00905B33"/>
    <w:rsid w:val="0091160E"/>
    <w:rsid w:val="00946819"/>
    <w:rsid w:val="009746A4"/>
    <w:rsid w:val="00A04393"/>
    <w:rsid w:val="00A42690"/>
    <w:rsid w:val="00A55EFB"/>
    <w:rsid w:val="00A72841"/>
    <w:rsid w:val="00AD120A"/>
    <w:rsid w:val="00AF2959"/>
    <w:rsid w:val="00B12506"/>
    <w:rsid w:val="00B572B0"/>
    <w:rsid w:val="00BB6059"/>
    <w:rsid w:val="00BD1DDF"/>
    <w:rsid w:val="00BE690F"/>
    <w:rsid w:val="00C33959"/>
    <w:rsid w:val="00C52AF8"/>
    <w:rsid w:val="00C65816"/>
    <w:rsid w:val="00C965F7"/>
    <w:rsid w:val="00C969B7"/>
    <w:rsid w:val="00CA64B8"/>
    <w:rsid w:val="00CD019D"/>
    <w:rsid w:val="00D01583"/>
    <w:rsid w:val="00D016F8"/>
    <w:rsid w:val="00D11748"/>
    <w:rsid w:val="00D306A0"/>
    <w:rsid w:val="00DB7D67"/>
    <w:rsid w:val="00DC4253"/>
    <w:rsid w:val="00DD3ADC"/>
    <w:rsid w:val="00DD3D54"/>
    <w:rsid w:val="00DE797C"/>
    <w:rsid w:val="00E01C02"/>
    <w:rsid w:val="00E063C7"/>
    <w:rsid w:val="00E33CB5"/>
    <w:rsid w:val="00E4660B"/>
    <w:rsid w:val="00E62F3E"/>
    <w:rsid w:val="00E86922"/>
    <w:rsid w:val="00E946E7"/>
    <w:rsid w:val="00EA06DB"/>
    <w:rsid w:val="00EA4290"/>
    <w:rsid w:val="00EB745F"/>
    <w:rsid w:val="00F1607D"/>
    <w:rsid w:val="00F25E06"/>
    <w:rsid w:val="00F92929"/>
    <w:rsid w:val="00F92D21"/>
    <w:rsid w:val="00FC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D9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F3E"/>
    <w:rPr>
      <w:sz w:val="18"/>
      <w:szCs w:val="18"/>
    </w:rPr>
  </w:style>
  <w:style w:type="paragraph" w:styleId="CommentText">
    <w:name w:val="annotation text"/>
    <w:basedOn w:val="Normal"/>
    <w:link w:val="CommentTextChar"/>
    <w:uiPriority w:val="99"/>
    <w:semiHidden/>
    <w:unhideWhenUsed/>
    <w:rsid w:val="00E62F3E"/>
  </w:style>
  <w:style w:type="character" w:customStyle="1" w:styleId="CommentTextChar">
    <w:name w:val="Comment Text Char"/>
    <w:basedOn w:val="DefaultParagraphFont"/>
    <w:link w:val="CommentText"/>
    <w:uiPriority w:val="99"/>
    <w:semiHidden/>
    <w:rsid w:val="00E62F3E"/>
  </w:style>
  <w:style w:type="paragraph" w:styleId="BalloonText">
    <w:name w:val="Balloon Text"/>
    <w:basedOn w:val="Normal"/>
    <w:link w:val="BalloonTextChar"/>
    <w:uiPriority w:val="99"/>
    <w:semiHidden/>
    <w:unhideWhenUsed/>
    <w:rsid w:val="00E62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3E"/>
    <w:rPr>
      <w:rFonts w:ascii="Lucida Grande" w:hAnsi="Lucida Grande" w:cs="Lucida Grande"/>
      <w:sz w:val="18"/>
      <w:szCs w:val="18"/>
    </w:rPr>
  </w:style>
  <w:style w:type="paragraph" w:styleId="ListParagraph">
    <w:name w:val="List Paragraph"/>
    <w:basedOn w:val="Normal"/>
    <w:uiPriority w:val="34"/>
    <w:qFormat/>
    <w:rsid w:val="00E62F3E"/>
    <w:pPr>
      <w:ind w:left="720"/>
      <w:contextualSpacing/>
    </w:pPr>
  </w:style>
  <w:style w:type="paragraph" w:styleId="NormalWeb">
    <w:name w:val="Normal (Web)"/>
    <w:basedOn w:val="Normal"/>
    <w:uiPriority w:val="99"/>
    <w:unhideWhenUsed/>
    <w:rsid w:val="00095B5D"/>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80821"/>
    <w:rPr>
      <w:b/>
      <w:bCs/>
      <w:sz w:val="20"/>
      <w:szCs w:val="20"/>
    </w:rPr>
  </w:style>
  <w:style w:type="character" w:customStyle="1" w:styleId="CommentSubjectChar">
    <w:name w:val="Comment Subject Char"/>
    <w:basedOn w:val="CommentTextChar"/>
    <w:link w:val="CommentSubject"/>
    <w:uiPriority w:val="99"/>
    <w:semiHidden/>
    <w:rsid w:val="00680821"/>
    <w:rPr>
      <w:b/>
      <w:bCs/>
      <w:sz w:val="20"/>
      <w:szCs w:val="20"/>
    </w:rPr>
  </w:style>
  <w:style w:type="table" w:styleId="TableGrid">
    <w:name w:val="Table Grid"/>
    <w:basedOn w:val="TableNormal"/>
    <w:uiPriority w:val="59"/>
    <w:rsid w:val="008C1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76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2F3E"/>
    <w:rPr>
      <w:sz w:val="18"/>
      <w:szCs w:val="18"/>
    </w:rPr>
  </w:style>
  <w:style w:type="paragraph" w:styleId="CommentText">
    <w:name w:val="annotation text"/>
    <w:basedOn w:val="Normal"/>
    <w:link w:val="CommentTextChar"/>
    <w:uiPriority w:val="99"/>
    <w:semiHidden/>
    <w:unhideWhenUsed/>
    <w:rsid w:val="00E62F3E"/>
  </w:style>
  <w:style w:type="character" w:customStyle="1" w:styleId="CommentTextChar">
    <w:name w:val="Comment Text Char"/>
    <w:basedOn w:val="DefaultParagraphFont"/>
    <w:link w:val="CommentText"/>
    <w:uiPriority w:val="99"/>
    <w:semiHidden/>
    <w:rsid w:val="00E62F3E"/>
  </w:style>
  <w:style w:type="paragraph" w:styleId="BalloonText">
    <w:name w:val="Balloon Text"/>
    <w:basedOn w:val="Normal"/>
    <w:link w:val="BalloonTextChar"/>
    <w:uiPriority w:val="99"/>
    <w:semiHidden/>
    <w:unhideWhenUsed/>
    <w:rsid w:val="00E62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3E"/>
    <w:rPr>
      <w:rFonts w:ascii="Lucida Grande" w:hAnsi="Lucida Grande" w:cs="Lucida Grande"/>
      <w:sz w:val="18"/>
      <w:szCs w:val="18"/>
    </w:rPr>
  </w:style>
  <w:style w:type="paragraph" w:styleId="ListParagraph">
    <w:name w:val="List Paragraph"/>
    <w:basedOn w:val="Normal"/>
    <w:uiPriority w:val="34"/>
    <w:qFormat/>
    <w:rsid w:val="00E62F3E"/>
    <w:pPr>
      <w:ind w:left="720"/>
      <w:contextualSpacing/>
    </w:pPr>
  </w:style>
  <w:style w:type="paragraph" w:styleId="NormalWeb">
    <w:name w:val="Normal (Web)"/>
    <w:basedOn w:val="Normal"/>
    <w:uiPriority w:val="99"/>
    <w:unhideWhenUsed/>
    <w:rsid w:val="00095B5D"/>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80821"/>
    <w:rPr>
      <w:b/>
      <w:bCs/>
      <w:sz w:val="20"/>
      <w:szCs w:val="20"/>
    </w:rPr>
  </w:style>
  <w:style w:type="character" w:customStyle="1" w:styleId="CommentSubjectChar">
    <w:name w:val="Comment Subject Char"/>
    <w:basedOn w:val="CommentTextChar"/>
    <w:link w:val="CommentSubject"/>
    <w:uiPriority w:val="99"/>
    <w:semiHidden/>
    <w:rsid w:val="00680821"/>
    <w:rPr>
      <w:b/>
      <w:bCs/>
      <w:sz w:val="20"/>
      <w:szCs w:val="20"/>
    </w:rPr>
  </w:style>
  <w:style w:type="table" w:styleId="TableGrid">
    <w:name w:val="Table Grid"/>
    <w:basedOn w:val="TableNormal"/>
    <w:uiPriority w:val="59"/>
    <w:rsid w:val="008C1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7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3086">
      <w:bodyDiv w:val="1"/>
      <w:marLeft w:val="0"/>
      <w:marRight w:val="0"/>
      <w:marTop w:val="0"/>
      <w:marBottom w:val="0"/>
      <w:divBdr>
        <w:top w:val="none" w:sz="0" w:space="0" w:color="auto"/>
        <w:left w:val="none" w:sz="0" w:space="0" w:color="auto"/>
        <w:bottom w:val="none" w:sz="0" w:space="0" w:color="auto"/>
        <w:right w:val="none" w:sz="0" w:space="0" w:color="auto"/>
      </w:divBdr>
    </w:div>
    <w:div w:id="406458533">
      <w:bodyDiv w:val="1"/>
      <w:marLeft w:val="0"/>
      <w:marRight w:val="0"/>
      <w:marTop w:val="0"/>
      <w:marBottom w:val="0"/>
      <w:divBdr>
        <w:top w:val="none" w:sz="0" w:space="0" w:color="auto"/>
        <w:left w:val="none" w:sz="0" w:space="0" w:color="auto"/>
        <w:bottom w:val="none" w:sz="0" w:space="0" w:color="auto"/>
        <w:right w:val="none" w:sz="0" w:space="0" w:color="auto"/>
      </w:divBdr>
    </w:div>
    <w:div w:id="539055669">
      <w:bodyDiv w:val="1"/>
      <w:marLeft w:val="0"/>
      <w:marRight w:val="0"/>
      <w:marTop w:val="0"/>
      <w:marBottom w:val="0"/>
      <w:divBdr>
        <w:top w:val="none" w:sz="0" w:space="0" w:color="auto"/>
        <w:left w:val="none" w:sz="0" w:space="0" w:color="auto"/>
        <w:bottom w:val="none" w:sz="0" w:space="0" w:color="auto"/>
        <w:right w:val="none" w:sz="0" w:space="0" w:color="auto"/>
      </w:divBdr>
    </w:div>
    <w:div w:id="1780251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3AD6-411E-CF45-9D58-DD496C0D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13211</Words>
  <Characters>75306</Characters>
  <Application>Microsoft Macintosh Word</Application>
  <DocSecurity>0</DocSecurity>
  <Lines>627</Lines>
  <Paragraphs>176</Paragraphs>
  <ScaleCrop>false</ScaleCrop>
  <Company>UCLA</Company>
  <LinksUpToDate>false</LinksUpToDate>
  <CharactersWithSpaces>88341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Tiee</dc:creator>
  <cp:keywords/>
  <dc:description/>
  <cp:lastModifiedBy>Madeline Tiee</cp:lastModifiedBy>
  <cp:revision>28</cp:revision>
  <dcterms:created xsi:type="dcterms:W3CDTF">2017-04-13T20:02:00Z</dcterms:created>
  <dcterms:modified xsi:type="dcterms:W3CDTF">2018-01-14T19:38:00Z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http://www.zotero.org/styles/plos-medicine</vt:lpwstr>
  </property>
  <property fmtid="{D5CDD505-2E9C-101B-9397-08002B2CF9AE}" pid="19" name="Mendeley Recent Style Name 7_1">
    <vt:lpwstr>PLOS Medicine</vt:lpwstr>
  </property>
  <property fmtid="{D5CDD505-2E9C-101B-9397-08002B2CF9AE}" pid="20" name="Mendeley Recent Style Id 8_1">
    <vt:lpwstr>http://www.zotero.org/styles/plos-neglected-tropical-diseases</vt:lpwstr>
  </property>
  <property fmtid="{D5CDD505-2E9C-101B-9397-08002B2CF9AE}" pid="21" name="Mendeley Recent Style Name 8_1">
    <vt:lpwstr>PLOS Neglected Tropical Diseases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6d29641d-a552-360d-8173-f2d096184104</vt:lpwstr>
  </property>
</Properties>
</file>