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9D1B" w14:textId="55DD0DDE" w:rsidR="00234DB9" w:rsidRDefault="00234DB9" w:rsidP="00234DB9">
      <w:pPr>
        <w:pStyle w:val="Heading1"/>
        <w:rPr>
          <w:noProof/>
        </w:rPr>
      </w:pPr>
      <w:r w:rsidRPr="00DA11AE">
        <w:rPr>
          <w:noProof/>
        </w:rPr>
        <w:t>Supplementary Information for ‘The narrow gap between norms and cooperative behaviour in a reindeer herding community’</w:t>
      </w:r>
    </w:p>
    <w:p w14:paraId="1C69D22C" w14:textId="5E2583E6" w:rsidR="00BB7D98" w:rsidRPr="00BB7D98" w:rsidRDefault="00BB7D98" w:rsidP="00BB7D98">
      <w:r w:rsidRPr="00EA76CD">
        <w:t xml:space="preserve">Matthew Gwynfryn Thomas, </w:t>
      </w:r>
      <w:proofErr w:type="spellStart"/>
      <w:r w:rsidRPr="00EA76CD">
        <w:t>B</w:t>
      </w:r>
      <w:r w:rsidRPr="00EA76CD">
        <w:t>å</w:t>
      </w:r>
      <w:r w:rsidRPr="00EA76CD">
        <w:t>rd-J</w:t>
      </w:r>
      <w:r w:rsidRPr="00EA76CD">
        <w:t>ø</w:t>
      </w:r>
      <w:r w:rsidRPr="00EA76CD">
        <w:t>rgen</w:t>
      </w:r>
      <w:proofErr w:type="spellEnd"/>
      <w:r w:rsidRPr="00EA76CD">
        <w:t xml:space="preserve"> </w:t>
      </w:r>
      <w:proofErr w:type="spellStart"/>
      <w:r w:rsidRPr="00EA76CD">
        <w:t>B</w:t>
      </w:r>
      <w:r w:rsidRPr="00EA76CD">
        <w:t>å</w:t>
      </w:r>
      <w:r w:rsidRPr="00EA76CD">
        <w:t>rdsen</w:t>
      </w:r>
      <w:proofErr w:type="spellEnd"/>
      <w:r w:rsidRPr="00EA76CD">
        <w:t xml:space="preserve">, Marius </w:t>
      </w:r>
      <w:proofErr w:type="spellStart"/>
      <w:r w:rsidRPr="00EA76CD">
        <w:t>Warg</w:t>
      </w:r>
      <w:proofErr w:type="spellEnd"/>
      <w:r w:rsidRPr="00EA76CD">
        <w:t xml:space="preserve"> </w:t>
      </w:r>
      <w:proofErr w:type="spellStart"/>
      <w:r w:rsidRPr="00EA76CD">
        <w:t>N</w:t>
      </w:r>
      <w:r w:rsidRPr="00EA76CD">
        <w:t>æ</w:t>
      </w:r>
      <w:r>
        <w:t>ss</w:t>
      </w:r>
      <w:proofErr w:type="spellEnd"/>
    </w:p>
    <w:p w14:paraId="7C87E91D" w14:textId="4943A15C" w:rsidR="004F0C99" w:rsidRPr="00DA11AE" w:rsidRDefault="00725A76" w:rsidP="00786B9E">
      <w:pPr>
        <w:pStyle w:val="Heading2"/>
        <w:rPr>
          <w:noProof/>
        </w:rPr>
      </w:pPr>
      <w:r w:rsidRPr="00DA11AE">
        <w:rPr>
          <w:noProof/>
        </w:rPr>
        <w:t>Overview of reindeer husbandry and the s</w:t>
      </w:r>
      <w:r w:rsidR="004F0C99" w:rsidRPr="00DA11AE">
        <w:rPr>
          <w:noProof/>
        </w:rPr>
        <w:t>t</w:t>
      </w:r>
      <w:bookmarkStart w:id="0" w:name="_GoBack"/>
      <w:bookmarkEnd w:id="0"/>
      <w:r w:rsidR="004F0C99" w:rsidRPr="00DA11AE">
        <w:rPr>
          <w:noProof/>
        </w:rPr>
        <w:t>udy site</w:t>
      </w:r>
    </w:p>
    <w:p w14:paraId="5D3FB822" w14:textId="51EFE823" w:rsidR="00323489" w:rsidRPr="00DA11AE" w:rsidRDefault="00F52093" w:rsidP="00323489">
      <w:pPr>
        <w:rPr>
          <w:noProof/>
        </w:rPr>
      </w:pPr>
      <w:r w:rsidRPr="00DA11AE">
        <w:rPr>
          <w:noProof/>
        </w:rPr>
        <w:t xml:space="preserve">Reindeer </w:t>
      </w:r>
      <w:r w:rsidR="001E20A8" w:rsidRPr="00DA11AE">
        <w:rPr>
          <w:noProof/>
        </w:rPr>
        <w:t>pastoralism</w:t>
      </w:r>
      <w:r w:rsidR="00EC1306" w:rsidRPr="00DA11AE">
        <w:rPr>
          <w:noProof/>
        </w:rPr>
        <w:t xml:space="preserve"> likely</w:t>
      </w:r>
      <w:r w:rsidR="001E20A8" w:rsidRPr="00DA11AE">
        <w:rPr>
          <w:noProof/>
        </w:rPr>
        <w:t xml:space="preserve"> began in the Arctic regions of Norway, Sweden, Finland and westernmost Russia at least 400 years ago</w:t>
      </w:r>
      <w:r w:rsidR="001E20A8" w:rsidRPr="00DA11AE">
        <w:rPr>
          <w:noProof/>
        </w:rPr>
        <w:fldChar w:fldCharType="begin" w:fldLock="1"/>
      </w:r>
      <w:r w:rsidR="00F139DC">
        <w:rPr>
          <w:noProof/>
        </w:rPr>
        <w:instrText>ADDIN CSL_CITATION { "citationItems" : [ { "id" : "ITEM-1", "itemData" : { "ISBN" : "9781560982715", "author" : [ { "dropping-particle" : "", "family" : "Paine", "given" : "Robert", "non-dropping-particle" : "", "parse-names" : false, "suffix" : "" } ], "id" : "ITEM-1", "issued" : { "date-parts" : [ [ "1994" ] ] }, "publisher" : "Smithsonian Institution Press", "publisher-place" : "London", "title" : "Herds of the Tundra: A Portrait of Saami Reindeer Pastoralism", "type" : "book" }, "uris" : [ "http://www.mendeley.com/documents/?uuid=958d8995-d162-4ce3-bc8b-5d4ffced2bfc" ] } ], "mendeley" : { "formattedCitation" : "&lt;sup&gt;1&lt;/sup&gt;", "plainTextFormattedCitation" : "1", "previouslyFormattedCitation" : "&lt;sup&gt;1&lt;/sup&gt;" }, "properties" : {  }, "schema" : "https://github.com/citation-style-language/schema/raw/master/csl-citation.json" }</w:instrText>
      </w:r>
      <w:r w:rsidR="001E20A8" w:rsidRPr="00DA11AE">
        <w:rPr>
          <w:noProof/>
        </w:rPr>
        <w:fldChar w:fldCharType="separate"/>
      </w:r>
      <w:r w:rsidR="001E20A8" w:rsidRPr="00DA11AE">
        <w:rPr>
          <w:noProof/>
          <w:vertAlign w:val="superscript"/>
        </w:rPr>
        <w:t>1</w:t>
      </w:r>
      <w:r w:rsidR="001E20A8" w:rsidRPr="00DA11AE">
        <w:rPr>
          <w:noProof/>
        </w:rPr>
        <w:fldChar w:fldCharType="end"/>
      </w:r>
      <w:r w:rsidR="00323489" w:rsidRPr="00DA11AE">
        <w:rPr>
          <w:noProof/>
        </w:rPr>
        <w:t>. Since the 1960s, the methods of production have been increasingly assisted by modern technologies (including snowmobiles, all-terrain vehicles, helicopte</w:t>
      </w:r>
      <w:r w:rsidR="003304C0" w:rsidRPr="00DA11AE">
        <w:rPr>
          <w:noProof/>
        </w:rPr>
        <w:t xml:space="preserve">rs, GPS, mobile phones, drones and </w:t>
      </w:r>
      <w:r w:rsidR="00323489" w:rsidRPr="00DA11AE">
        <w:rPr>
          <w:noProof/>
        </w:rPr>
        <w:t>social media</w:t>
      </w:r>
      <w:r w:rsidR="00985BD4">
        <w:rPr>
          <w:noProof/>
        </w:rPr>
        <w:t xml:space="preserve"> [e.g. using Facebook to share information and coordinate activities]</w:t>
      </w:r>
      <w:r w:rsidR="00323489" w:rsidRPr="00DA11AE">
        <w:rPr>
          <w:noProof/>
        </w:rPr>
        <w:t xml:space="preserve">) and </w:t>
      </w:r>
      <w:r w:rsidR="007B50CC" w:rsidRPr="00DA11AE">
        <w:rPr>
          <w:noProof/>
        </w:rPr>
        <w:t xml:space="preserve">the lifestyle has </w:t>
      </w:r>
      <w:r w:rsidR="00323489" w:rsidRPr="00DA11AE">
        <w:rPr>
          <w:noProof/>
        </w:rPr>
        <w:t>shifted to being a more market-oriented industry</w:t>
      </w:r>
      <w:r w:rsidR="00D41997" w:rsidRPr="00DA11AE">
        <w:rPr>
          <w:noProof/>
        </w:rPr>
        <w:t>, with concomitant sedentarisation for the herders</w:t>
      </w:r>
      <w:r w:rsidR="00323489" w:rsidRPr="00DA11AE">
        <w:rPr>
          <w:noProof/>
        </w:rPr>
        <w:t>. Today, Saami people</w:t>
      </w:r>
      <w:r w:rsidR="00323489" w:rsidRPr="00DA11AE">
        <w:rPr>
          <w:noProof/>
        </w:rPr>
        <w:t>—</w:t>
      </w:r>
      <w:r w:rsidR="00323489" w:rsidRPr="00DA11AE">
        <w:rPr>
          <w:noProof/>
        </w:rPr>
        <w:t>an ethnic group indigenous to the area</w:t>
      </w:r>
      <w:r w:rsidR="00323489" w:rsidRPr="00DA11AE">
        <w:rPr>
          <w:noProof/>
        </w:rPr>
        <w:t>—</w:t>
      </w:r>
      <w:r w:rsidR="00323489" w:rsidRPr="00DA11AE">
        <w:rPr>
          <w:noProof/>
        </w:rPr>
        <w:t>have the right to own and herd reindeer in Norway, and are afforded protection under the International Labour Organization</w:t>
      </w:r>
      <w:r w:rsidR="00323489" w:rsidRPr="00DA11AE">
        <w:rPr>
          <w:noProof/>
        </w:rPr>
        <w:t>’</w:t>
      </w:r>
      <w:r w:rsidR="00323489" w:rsidRPr="00DA11AE">
        <w:rPr>
          <w:noProof/>
        </w:rPr>
        <w:t>s Indigenous and Tribal Peoples Convention, 1989 (No. 169)</w:t>
      </w:r>
      <w:r w:rsidR="00323489" w:rsidRPr="00FC6630">
        <w:rPr>
          <w:rStyle w:val="FootnoteReference"/>
        </w:rPr>
        <w:footnoteReference w:id="1"/>
      </w:r>
      <w:r w:rsidR="00323489" w:rsidRPr="00DA11AE">
        <w:rPr>
          <w:noProof/>
        </w:rPr>
        <w:t>.</w:t>
      </w:r>
    </w:p>
    <w:p w14:paraId="5BCDDE99" w14:textId="6C6F06CD" w:rsidR="00F01EE8" w:rsidRPr="00DA11AE" w:rsidRDefault="00775DC3" w:rsidP="00323489">
      <w:pPr>
        <w:rPr>
          <w:noProof/>
        </w:rPr>
      </w:pPr>
      <w:r w:rsidRPr="00DA11AE">
        <w:rPr>
          <w:noProof/>
        </w:rPr>
        <w:t>Saami reindeer herders</w:t>
      </w:r>
      <w:r w:rsidRPr="00DA11AE">
        <w:rPr>
          <w:noProof/>
        </w:rPr>
        <w:t>’</w:t>
      </w:r>
      <w:r w:rsidRPr="00DA11AE">
        <w:rPr>
          <w:noProof/>
        </w:rPr>
        <w:t xml:space="preserve"> social organisation is comprised o</w:t>
      </w:r>
      <w:r w:rsidR="00B73F74" w:rsidRPr="00DA11AE">
        <w:rPr>
          <w:noProof/>
        </w:rPr>
        <w:t>f</w:t>
      </w:r>
      <w:r w:rsidRPr="00DA11AE">
        <w:rPr>
          <w:noProof/>
        </w:rPr>
        <w:t xml:space="preserve"> three layers. The basic unit is the </w:t>
      </w:r>
      <w:r w:rsidRPr="00DA11AE">
        <w:rPr>
          <w:noProof/>
        </w:rPr>
        <w:t>‘</w:t>
      </w:r>
      <w:r w:rsidRPr="00DA11AE">
        <w:rPr>
          <w:noProof/>
        </w:rPr>
        <w:t>siida share</w:t>
      </w:r>
      <w:r w:rsidRPr="00DA11AE">
        <w:rPr>
          <w:noProof/>
        </w:rPr>
        <w:t>’</w:t>
      </w:r>
      <w:r w:rsidRPr="00DA11AE">
        <w:rPr>
          <w:noProof/>
        </w:rPr>
        <w:t xml:space="preserve"> (Norwegian: </w:t>
      </w:r>
      <w:r w:rsidRPr="00DA11AE">
        <w:rPr>
          <w:i/>
          <w:noProof/>
        </w:rPr>
        <w:t>siidaandel</w:t>
      </w:r>
      <w:r w:rsidRPr="00DA11AE">
        <w:rPr>
          <w:noProof/>
        </w:rPr>
        <w:t>): a license granted by the government entitling the owner to manage a herd of reindeer within a designated area. (Henceforth, we will refer to siida shares as license owners.) One or more license owners belong to a</w:t>
      </w:r>
      <w:r w:rsidR="005278A1" w:rsidRPr="00DA11AE">
        <w:rPr>
          <w:noProof/>
        </w:rPr>
        <w:t>t least one</w:t>
      </w:r>
      <w:r w:rsidRPr="00DA11AE">
        <w:rPr>
          <w:noProof/>
        </w:rPr>
        <w:t xml:space="preserve"> </w:t>
      </w:r>
      <w:r w:rsidRPr="00DA11AE">
        <w:rPr>
          <w:i/>
          <w:noProof/>
        </w:rPr>
        <w:t>siida</w:t>
      </w:r>
      <w:r w:rsidRPr="00DA11AE">
        <w:rPr>
          <w:noProof/>
        </w:rPr>
        <w:t>, which is a cooperative herding group composed of households and traditionally organised around kinship (although today, siidas include non-kin). Siidas are grouped into districts: formal administration units defined by the government</w:t>
      </w:r>
      <w:r w:rsidRPr="00DA11AE">
        <w:rPr>
          <w:noProof/>
        </w:rPr>
        <w:fldChar w:fldCharType="begin" w:fldLock="1"/>
      </w:r>
      <w:r w:rsidR="00F139DC">
        <w:rPr>
          <w:noProof/>
        </w:rPr>
        <w:instrText>ADDIN CSL_CITATION { "citationItems" : [ { "id" : "ITEM-1", "itemData" : { "DOI" : "10.1007/s10745-016-9848-3", "ISSN" : "0300-7839", "author" : [ { "dropping-particle" : "", "family" : "Thomas", "given" : "Matthew Gwynfryn", "non-dropping-particle" : "", "parse-names" : false, "suffix" : "" }, { "dropping-particle" : "", "family" : "N\u00e6ss", "given" : "Marius Warg", "non-dropping-particle" : "", "parse-names" : false, "suffix" : "" }, { "dropping-particle" : "", "family" : "B\u00e5rdsen", "given" : "B\u00e5rd-J\u00f8rgen", "non-dropping-particle" : "", "parse-names" : false, "suffix" : "" }, { "dropping-particle" : "", "family" : "Mace", "given" : "Ruth", "non-dropping-particle" : "", "parse-names" : false, "suffix" : "" } ], "container-title" : "Human Ecology", "id" : "ITEM-1", "issue" : "5", "issued" : { "date-parts" : [ [ "2016" ] ] }, "page" : "633\u2013642", "publisher" : "Human Ecology", "title" : "Smaller Saami herding groups cooperate more in a public goods experiment", "type" : "article-journal", "volume" : "44" }, "uris" : [ "http://www.mendeley.com/documents/?uuid=9b37ddb1-debf-4816-bfca-55f843a177c1" ] } ], "mendeley" : { "formattedCitation" : "&lt;sup&gt;2&lt;/sup&gt;", "plainTextFormattedCitation" : "2", "previouslyFormattedCitation" : "&lt;sup&gt;2&lt;/sup&gt;" }, "properties" : {  }, "schema" : "https://github.com/citation-style-language/schema/raw/master/csl-citation.json" }</w:instrText>
      </w:r>
      <w:r w:rsidRPr="00DA11AE">
        <w:rPr>
          <w:noProof/>
        </w:rPr>
        <w:fldChar w:fldCharType="separate"/>
      </w:r>
      <w:r w:rsidRPr="00DA11AE">
        <w:rPr>
          <w:noProof/>
          <w:vertAlign w:val="superscript"/>
        </w:rPr>
        <w:t>2</w:t>
      </w:r>
      <w:r w:rsidRPr="00DA11AE">
        <w:rPr>
          <w:noProof/>
        </w:rPr>
        <w:fldChar w:fldCharType="end"/>
      </w:r>
      <w:r w:rsidRPr="00DA11AE">
        <w:rPr>
          <w:noProof/>
        </w:rPr>
        <w:t>.</w:t>
      </w:r>
    </w:p>
    <w:p w14:paraId="45613F6F" w14:textId="4EB433D6" w:rsidR="00F441AF" w:rsidRPr="00DA11AE" w:rsidRDefault="001A48BE" w:rsidP="004F0C99">
      <w:pPr>
        <w:rPr>
          <w:noProof/>
        </w:rPr>
      </w:pPr>
      <w:r w:rsidRPr="00DA11AE">
        <w:rPr>
          <w:noProof/>
        </w:rPr>
        <w:t xml:space="preserve">Our study focuses </w:t>
      </w:r>
      <w:r w:rsidR="00F441AF" w:rsidRPr="00DA11AE">
        <w:rPr>
          <w:noProof/>
        </w:rPr>
        <w:t>on Finnmark, the northernmost and largest reindeer herding area in Norway</w:t>
      </w:r>
      <w:r w:rsidR="0018301D" w:rsidRPr="00DA11AE">
        <w:rPr>
          <w:noProof/>
        </w:rPr>
        <w:t>,</w:t>
      </w:r>
      <w:r w:rsidR="00F441AF" w:rsidRPr="00DA11AE">
        <w:rPr>
          <w:noProof/>
        </w:rPr>
        <w:t xml:space="preserve"> in terms of land use, reindeer popu</w:t>
      </w:r>
      <w:r w:rsidR="00F7217D" w:rsidRPr="00DA11AE">
        <w:rPr>
          <w:noProof/>
        </w:rPr>
        <w:t xml:space="preserve">lations and number of herders. As of 2016, there were 2,398 </w:t>
      </w:r>
      <w:r w:rsidR="00502658" w:rsidRPr="00DA11AE">
        <w:rPr>
          <w:noProof/>
        </w:rPr>
        <w:t>rei</w:t>
      </w:r>
      <w:r w:rsidR="00424838" w:rsidRPr="00DA11AE">
        <w:rPr>
          <w:noProof/>
        </w:rPr>
        <w:t xml:space="preserve">ndeer herders and </w:t>
      </w:r>
      <w:r w:rsidR="00502658" w:rsidRPr="00DA11AE">
        <w:rPr>
          <w:noProof/>
        </w:rPr>
        <w:t xml:space="preserve">376 </w:t>
      </w:r>
      <w:r w:rsidR="00424838" w:rsidRPr="00DA11AE">
        <w:rPr>
          <w:noProof/>
        </w:rPr>
        <w:t>license owners in Finnmark</w:t>
      </w:r>
      <w:r w:rsidR="0028503B" w:rsidRPr="00DA11AE">
        <w:rPr>
          <w:noProof/>
        </w:rPr>
        <w:fldChar w:fldCharType="begin" w:fldLock="1"/>
      </w:r>
      <w:r w:rsidR="00F139DC">
        <w:rPr>
          <w:noProof/>
        </w:rPr>
        <w:instrText>ADDIN CSL_CITATION { "citationItems" : [ { "id" : "ITEM-1", "itemData" : { "author" : [ { "dropping-particle" : "", "family" : "Anonymous", "given" : "", "non-dropping-particle" : "", "parse-names" : false, "suffix" : "" } ], "id" : "ITEM-1", "issued" : { "date-parts" : [ [ "2016" ] ] }, "title" : "Ressursregnskap for Reindriftsn\u00e6ringen (Ecological statistics of reindeer husbandry)", "type" : "report" }, "uris" : [ "http://www.mendeley.com/documents/?uuid=b75637fe-f276-4c18-b69f-73c41656f645" ] } ], "mendeley" : { "formattedCitation" : "&lt;sup&gt;3&lt;/sup&gt;", "plainTextFormattedCitation" : "3", "previouslyFormattedCitation" : "&lt;sup&gt;3&lt;/sup&gt;" }, "properties" : {  }, "schema" : "https://github.com/citation-style-language/schema/raw/master/csl-citation.json" }</w:instrText>
      </w:r>
      <w:r w:rsidR="0028503B" w:rsidRPr="00DA11AE">
        <w:rPr>
          <w:noProof/>
        </w:rPr>
        <w:fldChar w:fldCharType="separate"/>
      </w:r>
      <w:r w:rsidR="00775DC3" w:rsidRPr="00DA11AE">
        <w:rPr>
          <w:noProof/>
          <w:vertAlign w:val="superscript"/>
        </w:rPr>
        <w:t>3</w:t>
      </w:r>
      <w:r w:rsidR="0028503B" w:rsidRPr="00DA11AE">
        <w:rPr>
          <w:noProof/>
        </w:rPr>
        <w:fldChar w:fldCharType="end"/>
      </w:r>
      <w:r w:rsidR="0028503B" w:rsidRPr="00DA11AE">
        <w:rPr>
          <w:noProof/>
        </w:rPr>
        <w:t>.</w:t>
      </w:r>
      <w:r w:rsidR="00DA1D3D" w:rsidRPr="00DA11AE">
        <w:rPr>
          <w:noProof/>
        </w:rPr>
        <w:t xml:space="preserve"> </w:t>
      </w:r>
      <w:r w:rsidR="003A7ECE">
        <w:rPr>
          <w:noProof/>
        </w:rPr>
        <w:t>In Finmark, r</w:t>
      </w:r>
      <w:r w:rsidR="00F441AF" w:rsidRPr="00DA11AE">
        <w:rPr>
          <w:noProof/>
        </w:rPr>
        <w:t xml:space="preserve">eindeer migrate seasonally, spending the summer months around the coastal areas or on outlying islands, then moving inland to spend winters on smaller pastures with higher population densities; calving areas </w:t>
      </w:r>
      <w:r w:rsidR="00D83A50">
        <w:rPr>
          <w:noProof/>
        </w:rPr>
        <w:t xml:space="preserve">are either located on the coast or </w:t>
      </w:r>
      <w:r w:rsidR="00F441AF" w:rsidRPr="00DA11AE">
        <w:rPr>
          <w:noProof/>
        </w:rPr>
        <w:t xml:space="preserve">lie </w:t>
      </w:r>
      <w:r w:rsidR="00D83A50" w:rsidRPr="00DA11AE">
        <w:rPr>
          <w:noProof/>
        </w:rPr>
        <w:t>in</w:t>
      </w:r>
      <w:r w:rsidR="00D83A50">
        <w:rPr>
          <w:noProof/>
        </w:rPr>
        <w:t>-</w:t>
      </w:r>
      <w:r w:rsidR="00F441AF" w:rsidRPr="00DA11AE">
        <w:rPr>
          <w:noProof/>
        </w:rPr>
        <w:t xml:space="preserve">between </w:t>
      </w:r>
      <w:r w:rsidR="00DA1D3D" w:rsidRPr="00DA11AE">
        <w:rPr>
          <w:noProof/>
        </w:rPr>
        <w:t>the summer and winter pastures</w:t>
      </w:r>
      <w:r w:rsidR="007F2A4A">
        <w:rPr>
          <w:noProof/>
        </w:rPr>
        <w:fldChar w:fldCharType="begin" w:fldLock="1"/>
      </w:r>
      <w:r w:rsidR="00F139DC">
        <w:rPr>
          <w:noProof/>
        </w:rPr>
        <w:instrText>ADDIN CSL_CITATION { "citationItems" : [ { "id" : "ITEM-1", "itemData" : { "DOI" : "10.1111/j.1365-2656.2011.01913.x", "ISSN" : "1365-2656", "PMID" : "21985598", "abstract" : "1. Recent studies have shown that optimal reproductive allocation depends on both climatic conditions and population density. We tested this hypothesis using six years of demographic data from eight reindeer (Rangifer tarandus) populations coupled with data on population abundance and vegetation greenness [measured using the Enhanced Vegetation Index (EVI)]. 2. Female spring body mass positively affected summer body mass gain, and lactating females were unable to compensate for harsh winters as efficiently as barren ones. Female spring body mass was highly sensitive to changes in population abundance and vegetation greenness and less dependent on previous autumn body mass and reproductive status. Lactating females were larger than barren females in the spring. Moreover, female autumn body mass was positively related to female autumn body mass and reproductive success and was not very sensitive to changes in vegetation greenness and population abundance. 3. Offspring autumn body mass was positively related to both maternal spring and autumn body mass, and as predicted from theory, offspring were more sensitive to changes in vegetation greenness and population abundance than adult females. A lagged cost of reproduction was present as larger females who were barren, the previous year produced larger offspring than equally sized females that successfully reproduced the previous year. 4. Reproductive success was negatively related to female autumn body mass and positively related to female spring body mass. Moreover, females who successfully reproduced the previous year experienced the highest reproductive success. The fact that negative density-dependence was only present for females that had successfully reproduced the previous year further support the hypothesis that reproduction is costly. 5. This study shows that female reindeer buffer their reproductive allocation according to expected winter conditions and that their buffering abilities were limited by population abundance and a lagged cost of reproduction and enhanced by vegetation greenness.", "author" : [ { "dropping-particle" : "", "family" : "B\u00e5rdsen", "given" : "B\u00e5rd-J\u00f8rgen", "non-dropping-particle" : "", "parse-names" : false, "suffix" : "" }, { "dropping-particle" : "", "family" : "Tveraa", "given" : "Torkild", "non-dropping-particle" : "", "parse-names" : false, "suffix" : "" } ], "container-title" : "The Journal of animal ecology", "id" : "ITEM-1", "issue" : "2", "issued" : { "date-parts" : [ [ "2012", "3" ] ] }, "page" : "364-76", "title" : "Density-dependence vs. density-independence - linking reproductive allocation to population abundance and vegetation greenness.", "type" : "article-journal", "volume" : "81" }, "uris" : [ "http://www.mendeley.com/documents/?uuid=5e191f42-0a09-4cd5-9ba4-e65ef17c9bf6" ] } ], "mendeley" : { "formattedCitation" : "&lt;sup&gt;4&lt;/sup&gt;", "plainTextFormattedCitation" : "4", "previouslyFormattedCitation" : "&lt;sup&gt;4&lt;/sup&gt;" }, "properties" : {  }, "schema" : "https://github.com/citation-style-language/schema/raw/master/csl-citation.json" }</w:instrText>
      </w:r>
      <w:r w:rsidR="007F2A4A">
        <w:rPr>
          <w:noProof/>
        </w:rPr>
        <w:fldChar w:fldCharType="separate"/>
      </w:r>
      <w:r w:rsidR="007F2A4A" w:rsidRPr="007F2A4A">
        <w:rPr>
          <w:noProof/>
          <w:vertAlign w:val="superscript"/>
        </w:rPr>
        <w:t>4</w:t>
      </w:r>
      <w:r w:rsidR="007F2A4A">
        <w:rPr>
          <w:noProof/>
        </w:rPr>
        <w:fldChar w:fldCharType="end"/>
      </w:r>
      <w:r w:rsidR="00DA1D3D" w:rsidRPr="00DA11AE">
        <w:rPr>
          <w:noProof/>
        </w:rPr>
        <w:t>.</w:t>
      </w:r>
    </w:p>
    <w:p w14:paraId="5B22EAEB" w14:textId="54919EE5" w:rsidR="00D5542E" w:rsidRPr="00DA11AE" w:rsidRDefault="00D5542E" w:rsidP="004F0C99">
      <w:pPr>
        <w:rPr>
          <w:noProof/>
        </w:rPr>
      </w:pPr>
      <w:r w:rsidRPr="00DA11AE">
        <w:rPr>
          <w:noProof/>
        </w:rPr>
        <w:t>These migrations to and from particular areas form the basis of the siida system: the nexus of collective action</w:t>
      </w:r>
      <w:r w:rsidRPr="00DA11AE">
        <w:rPr>
          <w:noProof/>
        </w:rPr>
        <w:fldChar w:fldCharType="begin" w:fldLock="1"/>
      </w:r>
      <w:r w:rsidR="00F139DC">
        <w:rPr>
          <w:noProof/>
        </w:rPr>
        <w:instrText>ADDIN CSL_CITATION { "citationItems" : [ { "id" : "ITEM-1", "itemData" : { "DOI" : "10.1093/beheco/arv106", "ISSN" : "1045-2249", "author" : [ { "dropping-particle" : "", "family" : "Thomas", "given" : "Matthew G.", "non-dropping-particle" : "", "parse-names" : false, "suffix" : "" }, { "dropping-particle" : "", "family" : "N\u00e6ss", "given" : "Marius Warg", "non-dropping-particle" : "", "parse-names" : false, "suffix" : "" }, { "dropping-particle" : "", "family" : "B\u00e5rdsen", "given" : "B\u00e5rd-J\u00f8rgen", "non-dropping-particle" : "", "parse-names" : false, "suffix" : "" }, { "dropping-particle" : "", "family" : "Mace", "given" : "Ruth", "non-dropping-particle" : "", "parse-names" : false, "suffix" : "" } ], "container-title" : "Behavioral Ecology", "id" : "ITEM-1", "issue" : "6", "issued" : { "date-parts" : [ [ "2015", "7", "7" ] ] }, "page" : "1495-1501", "title" : "Saami reindeer herders cooperate with social group members and genetic kin", "type" : "article-journal", "volume" : "26" }, "uris" : [ "http://www.mendeley.com/documents/?uuid=383ba134-9bb3-4ecf-9850-00cc44c52c07" ] }, { "id" : "ITEM-2", "itemData" : { "DOI" : "10.1007/s10745-016-9848-3", "ISSN" : "0300-7839", "author" : [ { "dropping-particle" : "", "family" : "Thomas", "given" : "Matthew Gwynfryn", "non-dropping-particle" : "", "parse-names" : false, "suffix" : "" }, { "dropping-particle" : "", "family" : "N\u00e6ss", "given" : "Marius Warg", "non-dropping-particle" : "", "parse-names" : false, "suffix" : "" }, { "dropping-particle" : "", "family" : "B\u00e5rdsen", "given" : "B\u00e5rd-J\u00f8rgen", "non-dropping-particle" : "", "parse-names" : false, "suffix" : "" }, { "dropping-particle" : "", "family" : "Mace", "given" : "Ruth", "non-dropping-particle" : "", "parse-names" : false, "suffix" : "" } ], "container-title" : "Human Ecology", "id" : "ITEM-2", "issue" : "5", "issued" : { "date-parts" : [ [ "2016" ] ] }, "page" : "633\u2013642", "publisher" : "Human Ecology", "title" : "Smaller Saami herding groups cooperate more in a public goods experiment", "type" : "article-journal", "volume" : "44" }, "uris" : [ "http://www.mendeley.com/documents/?uuid=9b37ddb1-debf-4816-bfca-55f843a177c1" ] }, { "id" : "ITEM-3", "itemData" : { "ISBN" : "9781560982715", "author" : [ { "dropping-particle" : "", "family" : "Paine", "given" : "Robert", "non-dropping-particle" : "", "parse-names" : false, "suffix" : "" } ], "id" : "ITEM-3", "issued" : { "date-parts" : [ [ "1994" ] ] }, "publisher" : "Smithsonian Institution Press", "publisher-place" : "London", "title" : "Herds of the Tundra: A Portrait of Saami Reindeer Pastoralism", "type" : "book" }, "uris" : [ "http://www.mendeley.com/documents/?uuid=958d8995-d162-4ce3-bc8b-5d4ffced2bfc" ] }, { "id" : "ITEM-4", "itemData" : { "author" : [ { "dropping-particle" : "", "family" : "Sara", "given" : "Mikkel Nils", "non-dropping-particle" : "", "parse-names" : false, "suffix" : "" } ], "container-title" : "Reindeer as a Keystone Species in the North", "editor" : [ { "dropping-particle" : "", "family" : "Soppela", "given" : "P\u00e4ivi", "non-dropping-particle" : "", "parse-names" : false, "suffix" : "" }, { "dropping-particle" : "", "family" : "Walther", "given" : "Ruth", "non-dropping-particle" : "", "parse-names" : false, "suffix" : "" }, { "dropping-particle" : "", "family" : "\u00c5hman", "given" : "Birgitta", "non-dropping-particle" : "", "parse-names" : false, "suffix" : "" }, { "dropping-particle" : "", "family" : "Riseth", "given" : "Jan \u00c5ge", "non-dropping-particle" : "", "parse-names" : false, "suffix" : "" } ], "id" : "ITEM-4", "issued" : { "date-parts" : [ [ "2002" ] ] }, "page" : "23-27", "publisher" : "University of Lapland, Arctic Centre", "publisher-place" : "Rovaniemi", "title" : "The Sami siida institution as a social and an ecological regulation system", "type" : "chapter" }, "uris" : [ "http://www.mendeley.com/documents/?uuid=998d2cb9-66be-474d-89d7-7338e02d545e" ] } ], "mendeley" : { "formattedCitation" : "&lt;sup&gt;1,2,5,6&lt;/sup&gt;", "plainTextFormattedCitation" : "1,2,5,6", "previouslyFormattedCitation" : "&lt;sup&gt;1,2,5,6&lt;/sup&gt;" }, "properties" : {  }, "schema" : "https://github.com/citation-style-language/schema/raw/master/csl-citation.json" }</w:instrText>
      </w:r>
      <w:r w:rsidRPr="00DA11AE">
        <w:rPr>
          <w:noProof/>
        </w:rPr>
        <w:fldChar w:fldCharType="separate"/>
      </w:r>
      <w:r w:rsidR="007F2A4A" w:rsidRPr="007F2A4A">
        <w:rPr>
          <w:noProof/>
          <w:vertAlign w:val="superscript"/>
        </w:rPr>
        <w:t>1,2,5,6</w:t>
      </w:r>
      <w:r w:rsidRPr="00DA11AE">
        <w:rPr>
          <w:noProof/>
        </w:rPr>
        <w:fldChar w:fldCharType="end"/>
      </w:r>
      <w:r w:rsidRPr="00DA11AE">
        <w:rPr>
          <w:noProof/>
        </w:rPr>
        <w:t>. Reindeer herders can belong to different siidas depending on the season. Every herder belongs to a summer siida (which is also a legal institution in Norway). These summer siidas typically split into smaller winter siidas based in the interior of the county. Some people also belong to spring/autumn siidas. Winter siidas are the focus of this study.</w:t>
      </w:r>
    </w:p>
    <w:p w14:paraId="2BC5A719" w14:textId="37644EC4" w:rsidR="00483C4F" w:rsidRPr="00DA11AE" w:rsidRDefault="00B5011E" w:rsidP="003005EF">
      <w:pPr>
        <w:rPr>
          <w:noProof/>
        </w:rPr>
      </w:pPr>
      <w:r w:rsidRPr="00DA11AE">
        <w:rPr>
          <w:noProof/>
        </w:rPr>
        <w:t xml:space="preserve">Pasture access </w:t>
      </w:r>
      <w:r w:rsidR="002C6B20">
        <w:rPr>
          <w:noProof/>
        </w:rPr>
        <w:t xml:space="preserve">in Finnmark </w:t>
      </w:r>
      <w:r w:rsidRPr="00DA11AE">
        <w:rPr>
          <w:noProof/>
        </w:rPr>
        <w:t xml:space="preserve">was historically organised around customary access; however, the 1978 Law on Reindeer Herding introduced a </w:t>
      </w:r>
      <w:r w:rsidRPr="00DA11AE">
        <w:rPr>
          <w:noProof/>
        </w:rPr>
        <w:t>‘</w:t>
      </w:r>
      <w:r w:rsidRPr="00DA11AE">
        <w:rPr>
          <w:noProof/>
        </w:rPr>
        <w:t>common</w:t>
      </w:r>
      <w:r w:rsidRPr="00DA11AE">
        <w:rPr>
          <w:noProof/>
        </w:rPr>
        <w:t>’</w:t>
      </w:r>
      <w:r w:rsidRPr="00DA11AE">
        <w:rPr>
          <w:noProof/>
        </w:rPr>
        <w:t xml:space="preserve"> (Norwegian: </w:t>
      </w:r>
      <w:r w:rsidRPr="00DA11AE">
        <w:rPr>
          <w:i/>
          <w:noProof/>
        </w:rPr>
        <w:t>felles</w:t>
      </w:r>
      <w:r w:rsidRPr="00DA11AE">
        <w:rPr>
          <w:noProof/>
        </w:rPr>
        <w:t xml:space="preserve">) land tenure system that arguably was interpreted by some to mean </w:t>
      </w:r>
      <w:r w:rsidRPr="00DA11AE">
        <w:rPr>
          <w:noProof/>
        </w:rPr>
        <w:t>‘</w:t>
      </w:r>
      <w:r w:rsidRPr="00DA11AE">
        <w:rPr>
          <w:noProof/>
        </w:rPr>
        <w:t>open access</w:t>
      </w:r>
      <w:r w:rsidRPr="00DA11AE">
        <w:rPr>
          <w:noProof/>
        </w:rPr>
        <w:t>’</w:t>
      </w:r>
      <w:r w:rsidRPr="00DA11AE">
        <w:rPr>
          <w:noProof/>
        </w:rPr>
        <w:t xml:space="preserve"> to pastures and led to competition for land use</w:t>
      </w:r>
      <w:r w:rsidRPr="00DA11AE">
        <w:rPr>
          <w:noProof/>
        </w:rPr>
        <w:fldChar w:fldCharType="begin" w:fldLock="1"/>
      </w:r>
      <w:r w:rsidR="00F139DC">
        <w:rPr>
          <w:noProof/>
        </w:rPr>
        <w:instrText>ADDIN CSL_CITATION { "citationItems" : [ { "id" : "ITEM-1", "itemData" : { "author" : [ { "dropping-particle" : "", "family" : "Marin", "given" : "Andrei", "non-dropping-particle" : "", "parse-names" : false, "suffix" : "" }, { "dropping-particle" : "", "family" : "Bj\u00f8rklund", "given" : "Ivar", "non-dropping-particle" : "", "parse-names" : false, "suffix" : "" } ], "container-title" : "International Journal of the Commons", "id" : "ITEM-1", "issue" : "1", "issued" : { "date-parts" : [ [ "2015" ] ] }, "page" : "19-40", "title" : "A tragedy of errors? Institutional dynamics and land tenure in Finnmark, Norway", "type" : "article-journal", "volume" : "9" }, "uris" : [ "http://www.mendeley.com/documents/?uuid=feebedd9-7e0b-4330-9fd8-01183b689798" ] } ], "mendeley" : { "formattedCitation" : "&lt;sup&gt;7&lt;/sup&gt;", "plainTextFormattedCitation" : "7", "previouslyFormattedCitation" : "&lt;sup&gt;7&lt;/sup&gt;" }, "properties" : {  }, "schema" : "https://github.com/citation-style-language/schema/raw/master/csl-citation.json" }</w:instrText>
      </w:r>
      <w:r w:rsidRPr="00DA11AE">
        <w:rPr>
          <w:noProof/>
        </w:rPr>
        <w:fldChar w:fldCharType="separate"/>
      </w:r>
      <w:r w:rsidR="00F139DC" w:rsidRPr="00F139DC">
        <w:rPr>
          <w:noProof/>
          <w:vertAlign w:val="superscript"/>
        </w:rPr>
        <w:t>7</w:t>
      </w:r>
      <w:r w:rsidRPr="00DA11AE">
        <w:rPr>
          <w:noProof/>
        </w:rPr>
        <w:fldChar w:fldCharType="end"/>
      </w:r>
      <w:r w:rsidRPr="00DA11AE">
        <w:rPr>
          <w:noProof/>
        </w:rPr>
        <w:t>. This competition might encourage herders to accumulate more livestock in order to secure grazing areas, at the same time potentially excluding others</w:t>
      </w:r>
      <w:r w:rsidRPr="00DA11AE">
        <w:rPr>
          <w:noProof/>
        </w:rPr>
        <w:fldChar w:fldCharType="begin" w:fldLock="1"/>
      </w:r>
      <w:r w:rsidR="00F139DC">
        <w:rPr>
          <w:noProof/>
        </w:rPr>
        <w:instrText>ADDIN CSL_CITATION { "citationItems" : [ { "id" : "ITEM-1", "itemData" : { "DOI" : "10.1016/j.evolhumbehav.2009.12.004", "ISSN" : "10905138", "author" : [ { "dropping-particle" : "", "family" : "N\u00e6ss", "given" : "Marius Warg", "non-dropping-particle" : "", "parse-names" : false, "suffix" : "" }, { "dropping-particle" : "", "family" : "B\u00e5rdsen", "given" : "B\u00e5rd-J\u00f8rgen", "non-dropping-particle" : "", "parse-names" : false, "suffix" : "" }, { "dropping-particle" : "", "family" : "Fauchald", "given" : "Per", "non-dropping-particle" : "", "parse-names" : false, "suffix" : "" }, { "dropping-particle" : "", "family" : "Tveraa", "given" : "Torkild", "non-dropping-particle" : "", "parse-names" : false, "suffix" : "" } ], "container-title" : "Evolution and Human Behavior", "id" : "ITEM-1", "issue" : "4", "issued" : { "date-parts" : [ [ "2010", "7" ] ] }, "page" : "246-258", "publisher" : "Elsevier Inc.", "title" : "Cooperative pastoral production - The importance of kinship", "type" : "article-journal", "volume" : "31" }, "uris" : [ "http://www.mendeley.com/documents/?uuid=33f5f8b1-82e2-445e-b09e-9997564ed19d" ] } ], "mendeley" : { "formattedCitation" : "&lt;sup&gt;8&lt;/sup&gt;", "plainTextFormattedCitation" : "8", "previouslyFormattedCitation" : "&lt;sup&gt;8&lt;/sup&gt;" }, "properties" : {  }, "schema" : "https://github.com/citation-style-language/schema/raw/master/csl-citation.json" }</w:instrText>
      </w:r>
      <w:r w:rsidRPr="00DA11AE">
        <w:rPr>
          <w:noProof/>
        </w:rPr>
        <w:fldChar w:fldCharType="separate"/>
      </w:r>
      <w:r w:rsidR="00F139DC" w:rsidRPr="00F139DC">
        <w:rPr>
          <w:noProof/>
          <w:vertAlign w:val="superscript"/>
        </w:rPr>
        <w:t>8</w:t>
      </w:r>
      <w:r w:rsidRPr="00DA11AE">
        <w:rPr>
          <w:noProof/>
        </w:rPr>
        <w:fldChar w:fldCharType="end"/>
      </w:r>
      <w:r w:rsidRPr="00DA11AE">
        <w:rPr>
          <w:noProof/>
        </w:rPr>
        <w:t>; herd accumulation</w:t>
      </w:r>
      <w:r w:rsidR="003005EF" w:rsidRPr="00DA11AE">
        <w:rPr>
          <w:noProof/>
        </w:rPr>
        <w:t xml:space="preserve"> can</w:t>
      </w:r>
      <w:r w:rsidR="003A7ECE">
        <w:rPr>
          <w:noProof/>
        </w:rPr>
        <w:t xml:space="preserve"> also</w:t>
      </w:r>
      <w:r w:rsidR="003005EF" w:rsidRPr="00DA11AE">
        <w:rPr>
          <w:noProof/>
        </w:rPr>
        <w:t xml:space="preserve"> be a rational risk-management strategy for pastoralists</w:t>
      </w:r>
      <w:r w:rsidRPr="00DA11AE">
        <w:rPr>
          <w:noProof/>
        </w:rPr>
        <w:t xml:space="preserve"> in such situations</w:t>
      </w:r>
      <w:r w:rsidR="003005EF" w:rsidRPr="00DA11AE">
        <w:rPr>
          <w:noProof/>
        </w:rPr>
        <w:fldChar w:fldCharType="begin" w:fldLock="1"/>
      </w:r>
      <w:r w:rsidR="00F139DC">
        <w:rPr>
          <w:noProof/>
        </w:rPr>
        <w:instrText>ADDIN CSL_CITATION { "citationItems" : [ { "id" : "ITEM-1", "itemData" : { "DOI" : "10.1007/s10745-015-9758-9", "ISSN" : "0300-7839", "author" : [ { "dropping-particle" : "", "family" : "N\u00e6ss", "given" : "Marius Warg", "non-dropping-particle" : "", "parse-names" : false, "suffix" : "" }, { "dropping-particle" : "", "family" : "B\u00e5rdsen", "given" : "B\u00e5rd-J\u00f8rgen", "non-dropping-particle" : "", "parse-names" : false, "suffix" : "" } ], "container-title" : "Human Ecology", "id" : "ITEM-1", "issue" : "3", "issued" : { "date-parts" : [ [ "2015" ] ] }, "page" : "425-438", "title" : "Market economy vs. risk management: How do nomadic pastoralists respond to increasing meat prices?", "type" : "article-journal", "volume" : "43" }, "uris" : [ "http://www.mendeley.com/documents/?uuid=c4ff70f4-b0cc-4a9e-9bb4-f09a7f40e906" ] }, { "id" : "ITEM-2", "itemData" : { "DOI" : "10.1371/journal.pone.0070161", "ISSN" : "1932-6203", "PMID" : "23936386", "abstract" : "Analysing the effect of pastoral risk management strategies provides insights into a system of subsistence that have persevered in marginal areas for hundreds to thousands of years and may shed light into the future of around 200 million households in the face of climate change. This study investigated the efficiency of herd accumulation as a buffer strategy by analysing changes in livestock holdings during an environmental crisis in the Saami reindeer husbandry in Norway. We found a positive relationship between: (1) pre- and post-collapse herd size; and (2) pre-collapse herd size and the number of animals lost during the collapse, indicating that herd accumulation is an effective but costly strategy. Policies that fail to incorporate the risk-beneficial aspect of herd accumulation will have a limited effect and may indeed fail entirely. In the context of climate change, official policies that incorporate pastoral risk management strategies may be the only solution for ensuring their continued existence.", "author" : [ { "dropping-particle" : "", "family" : "N\u00e6ss", "given" : "Marius Warg", "non-dropping-particle" : "", "parse-names" : false, "suffix" : "" }, { "dropping-particle" : "", "family" : "B\u00e5rdsen", "given" : "B\u00e5rd-J\u00f8rgen", "non-dropping-particle" : "", "parse-names" : false, "suffix" : "" } ], "container-title" : "PLoS ONE", "id" : "ITEM-2", "issue" : "8", "issued" : { "date-parts" : [ [ "2013", "1" ] ] }, "page" : "e70161", "title" : "Why herd size matters - Mitigating the effects of livestock crashes", "type" : "article-journal", "volume" : "8" }, "uris" : [ "http://www.mendeley.com/documents/?uuid=e2dca13b-3dc1-45b0-b4b6-4b0f2d995ee5" ] }, { "id" : "ITEM-3", "itemData" : { "DOI" : "10.1007/s10745-009-9288-4", "ISSN" : "0300-7839", "author" : [ { "dropping-particle" : "", "family" : "N\u00e6ss", "given" : "Marius Warg", "non-dropping-particle" : "", "parse-names" : false, "suffix" : "" }, { "dropping-particle" : "", "family" : "B\u00e5rdsen", "given" : "B\u00e5rd-J\u00f8rgen", "non-dropping-particle" : "", "parse-names" : false, "suffix" : "" } ], "container-title" : "Human Ecology", "id" : "ITEM-3", "issue" : "1", "issued" : { "date-parts" : [ [ "2010", "9", "16" ] ] }, "page" : "3-17", "title" : "Environmental stochasticity and long-term livestock viability - Herd-accumulation as a risk reducing strategy", "type" : "article-journal", "volume" : "38" }, "uris" : [ "http://www.mendeley.com/documents/?uuid=582fcbf1-9bbd-41da-8313-d21ad9825182" ] } ], "mendeley" : { "formattedCitation" : "&lt;sup&gt;9\u201311&lt;/sup&gt;", "plainTextFormattedCitation" : "9\u201311", "previouslyFormattedCitation" : "&lt;sup&gt;9\u201311&lt;/sup&gt;" }, "properties" : {  }, "schema" : "https://github.com/citation-style-language/schema/raw/master/csl-citation.json" }</w:instrText>
      </w:r>
      <w:r w:rsidR="003005EF" w:rsidRPr="00DA11AE">
        <w:rPr>
          <w:noProof/>
        </w:rPr>
        <w:fldChar w:fldCharType="separate"/>
      </w:r>
      <w:r w:rsidR="00F139DC" w:rsidRPr="00F139DC">
        <w:rPr>
          <w:noProof/>
          <w:vertAlign w:val="superscript"/>
        </w:rPr>
        <w:t>9</w:t>
      </w:r>
      <w:r w:rsidR="00F139DC" w:rsidRPr="00F139DC">
        <w:rPr>
          <w:noProof/>
          <w:vertAlign w:val="superscript"/>
        </w:rPr>
        <w:t>–</w:t>
      </w:r>
      <w:r w:rsidR="00F139DC" w:rsidRPr="00F139DC">
        <w:rPr>
          <w:noProof/>
          <w:vertAlign w:val="superscript"/>
        </w:rPr>
        <w:t>11</w:t>
      </w:r>
      <w:r w:rsidR="003005EF" w:rsidRPr="00DA11AE">
        <w:rPr>
          <w:noProof/>
        </w:rPr>
        <w:fldChar w:fldCharType="end"/>
      </w:r>
      <w:r w:rsidR="003005EF" w:rsidRPr="00DA11AE">
        <w:rPr>
          <w:noProof/>
        </w:rPr>
        <w:t>.</w:t>
      </w:r>
    </w:p>
    <w:p w14:paraId="250B0B13" w14:textId="721DD434" w:rsidR="008B16D9" w:rsidRPr="00DA11AE" w:rsidRDefault="003F2D67" w:rsidP="004F0C99">
      <w:pPr>
        <w:rPr>
          <w:noProof/>
        </w:rPr>
      </w:pPr>
      <w:r w:rsidRPr="00DA11AE">
        <w:rPr>
          <w:noProof/>
        </w:rPr>
        <w:t>In an attempt to ameliorate this situation</w:t>
      </w:r>
      <w:r w:rsidR="00A45F17" w:rsidRPr="00DA11AE">
        <w:rPr>
          <w:noProof/>
        </w:rPr>
        <w:t xml:space="preserve"> and diffuse </w:t>
      </w:r>
      <w:r w:rsidRPr="00DA11AE">
        <w:rPr>
          <w:noProof/>
        </w:rPr>
        <w:t>what is commonly deba</w:t>
      </w:r>
      <w:r w:rsidR="00A45F17" w:rsidRPr="00DA11AE">
        <w:rPr>
          <w:noProof/>
        </w:rPr>
        <w:t>ted as a tragedy of the commons</w:t>
      </w:r>
      <w:r w:rsidR="00A45F17" w:rsidRPr="00DA11AE">
        <w:rPr>
          <w:noProof/>
        </w:rPr>
        <w:fldChar w:fldCharType="begin" w:fldLock="1"/>
      </w:r>
      <w:r w:rsidR="00F139DC">
        <w:rPr>
          <w:noProof/>
        </w:rPr>
        <w:instrText>ADDIN CSL_CITATION { "citationItems" : [ { "id" : "ITEM-1", "itemData" : { "author" : [ { "dropping-particle" : "", "family" : "Marin", "given" : "Andrei", "non-dropping-particle" : "", "parse-names" : false, "suffix" : "" }, { "dropping-particle" : "", "family" : "Bj\u00f8rklund", "given" : "Ivar", "non-dropping-particle" : "", "parse-names" : false, "suffix" : "" } ], "container-title" : "International Journal of the Commons", "id" : "ITEM-1", "issue" : "1", "issued" : { "date-parts" : [ [ "2015" ] ] }, "page" : "19-40", "title" : "A tragedy of errors? Institutional dynamics and land tenure in Finnmark, Norway", "type" : "article-journal", "volume" : "9" }, "uris" : [ "http://www.mendeley.com/documents/?uuid=feebedd9-7e0b-4330-9fd8-01183b689798" ] } ], "mendeley" : { "formattedCitation" : "&lt;sup&gt;7&lt;/sup&gt;", "plainTextFormattedCitation" : "7", "previouslyFormattedCitation" : "&lt;sup&gt;7&lt;/sup&gt;" }, "properties" : {  }, "schema" : "https://github.com/citation-style-language/schema/raw/master/csl-citation.json" }</w:instrText>
      </w:r>
      <w:r w:rsidR="00A45F17" w:rsidRPr="00DA11AE">
        <w:rPr>
          <w:noProof/>
        </w:rPr>
        <w:fldChar w:fldCharType="separate"/>
      </w:r>
      <w:r w:rsidR="00F139DC" w:rsidRPr="00F139DC">
        <w:rPr>
          <w:noProof/>
          <w:vertAlign w:val="superscript"/>
        </w:rPr>
        <w:t>7</w:t>
      </w:r>
      <w:r w:rsidR="00A45F17" w:rsidRPr="00DA11AE">
        <w:rPr>
          <w:noProof/>
        </w:rPr>
        <w:fldChar w:fldCharType="end"/>
      </w:r>
      <w:r w:rsidR="00A45F17" w:rsidRPr="00DA11AE">
        <w:rPr>
          <w:noProof/>
        </w:rPr>
        <w:t>, t</w:t>
      </w:r>
      <w:r w:rsidR="00047702" w:rsidRPr="00DA11AE">
        <w:rPr>
          <w:noProof/>
        </w:rPr>
        <w:t>he government has mandated policies whose objectives are to achieve ecological, econo</w:t>
      </w:r>
      <w:r w:rsidR="00A45F17" w:rsidRPr="00DA11AE">
        <w:rPr>
          <w:noProof/>
        </w:rPr>
        <w:t>mic and cultural sustainability. In practice, ecological sustainability</w:t>
      </w:r>
      <w:r w:rsidR="00047702" w:rsidRPr="00DA11AE">
        <w:rPr>
          <w:noProof/>
        </w:rPr>
        <w:t xml:space="preserve"> involves </w:t>
      </w:r>
      <w:r w:rsidR="00FC6630">
        <w:rPr>
          <w:noProof/>
        </w:rPr>
        <w:t>reducing the number of reindeer</w:t>
      </w:r>
      <w:r w:rsidR="00047702" w:rsidRPr="00DA11AE">
        <w:rPr>
          <w:noProof/>
        </w:rPr>
        <w:t xml:space="preserve"> via</w:t>
      </w:r>
      <w:r w:rsidR="00C73CF0" w:rsidRPr="00DA11AE">
        <w:rPr>
          <w:noProof/>
        </w:rPr>
        <w:t xml:space="preserve"> subsidies</w:t>
      </w:r>
      <w:r w:rsidR="00C73CF0" w:rsidRPr="00DA11AE">
        <w:rPr>
          <w:noProof/>
        </w:rPr>
        <w:fldChar w:fldCharType="begin" w:fldLock="1"/>
      </w:r>
      <w:r w:rsidR="00F139DC">
        <w:rPr>
          <w:noProof/>
        </w:rPr>
        <w:instrText>ADDIN CSL_CITATION { "citationItems" : [ { "id" : "ITEM-1", "itemData" : { "author" : [ { "dropping-particle" : "", "family" : "Hausner", "given" : "Vera H", "non-dropping-particle" : "", "parse-names" : false, "suffix" : "" }, { "dropping-particle" : "", "family" : "Fauchald", "given" : "Per", "non-dropping-particle" : "", "parse-names" : false, "suffix" : "" }, { "dropping-particle" : "", "family" : "Tveraa", "given" : "Torkild", "non-dropping-particle" : "", "parse-names" : false, "suffix" : "" } ], "container-title" : "Ecology and Society", "id" : "ITEM-1", "issue" : "3", "issued" : { "date-parts" : [ [ "2011" ] ] }, "page" : "1-24", "title" : "The ghost of development past: The impact of economic security policies on Saami pastoral ecosystems", "type" : "article-journal", "volume" : "16" }, "uris" : [ "http://www.mendeley.com/documents/?uuid=788f7a93-aeb3-4770-8ba6-73dcb7032bf3" ] } ], "mendeley" : { "formattedCitation" : "&lt;sup&gt;12&lt;/sup&gt;", "plainTextFormattedCitation" : "12", "previouslyFormattedCitation" : "&lt;sup&gt;12&lt;/sup&gt;" }, "properties" : {  }, "schema" : "https://github.com/citation-style-language/schema/raw/master/csl-citation.json" }</w:instrText>
      </w:r>
      <w:r w:rsidR="00C73CF0" w:rsidRPr="00DA11AE">
        <w:rPr>
          <w:noProof/>
        </w:rPr>
        <w:fldChar w:fldCharType="separate"/>
      </w:r>
      <w:r w:rsidR="00F139DC" w:rsidRPr="00F139DC">
        <w:rPr>
          <w:noProof/>
          <w:vertAlign w:val="superscript"/>
        </w:rPr>
        <w:t>12</w:t>
      </w:r>
      <w:r w:rsidR="00C73CF0" w:rsidRPr="00DA11AE">
        <w:rPr>
          <w:noProof/>
        </w:rPr>
        <w:fldChar w:fldCharType="end"/>
      </w:r>
      <w:r w:rsidR="00C73CF0" w:rsidRPr="00DA11AE">
        <w:rPr>
          <w:noProof/>
        </w:rPr>
        <w:t>,</w:t>
      </w:r>
      <w:r w:rsidR="00047702" w:rsidRPr="00DA11AE">
        <w:rPr>
          <w:noProof/>
        </w:rPr>
        <w:t xml:space="preserve"> </w:t>
      </w:r>
      <w:r w:rsidR="008764AF" w:rsidRPr="00DA11AE">
        <w:rPr>
          <w:noProof/>
        </w:rPr>
        <w:t>(</w:t>
      </w:r>
      <w:r w:rsidR="00047702" w:rsidRPr="00DA11AE">
        <w:rPr>
          <w:noProof/>
        </w:rPr>
        <w:t>enforced</w:t>
      </w:r>
      <w:r w:rsidR="008764AF" w:rsidRPr="00DA11AE">
        <w:rPr>
          <w:noProof/>
        </w:rPr>
        <w:t>)</w:t>
      </w:r>
      <w:r w:rsidR="00047702" w:rsidRPr="00DA11AE">
        <w:rPr>
          <w:noProof/>
        </w:rPr>
        <w:t xml:space="preserve"> slaughter</w:t>
      </w:r>
      <w:r w:rsidR="00047702" w:rsidRPr="00DA11AE">
        <w:rPr>
          <w:noProof/>
        </w:rPr>
        <w:fldChar w:fldCharType="begin" w:fldLock="1"/>
      </w:r>
      <w:r w:rsidR="00F139DC">
        <w:rPr>
          <w:noProof/>
        </w:rPr>
        <w:instrText>ADDIN CSL_CITATION { "citationItems" : [ { "id" : "ITEM-1", "itemData" : { "DOI" : "10.1007/s10745-015-9758-9", "ISSN" : "0300-7839", "author" : [ { "dropping-particle" : "", "family" : "N\u00e6ss", "given" : "Marius Warg", "non-dropping-particle" : "", "parse-names" : false, "suffix" : "" }, { "dropping-particle" : "", "family" : "B\u00e5rdsen", "given" : "B\u00e5rd-J\u00f8rgen", "non-dropping-particle" : "", "parse-names" : false, "suffix" : "" } ], "container-title" : "Human Ecology", "id" : "ITEM-1", "issue" : "3", "issued" : { "date-parts" : [ [ "2015" ] ] }, "page" : "425-438", "title" : "Market economy vs. risk management: How do nomadic pastoralists respond to increasing meat prices?", "type" : "article-journal", "volume" : "43" }, "uris" : [ "http://www.mendeley.com/documents/?uuid=c4ff70f4-b0cc-4a9e-9bb4-f09a7f40e906" ] } ], "mendeley" : { "formattedCitation" : "&lt;sup&gt;9&lt;/sup&gt;", "plainTextFormattedCitation" : "9", "previouslyFormattedCitation" : "&lt;sup&gt;9&lt;/sup&gt;" }, "properties" : {  }, "schema" : "https://github.com/citation-style-language/schema/raw/master/csl-citation.json" }</w:instrText>
      </w:r>
      <w:r w:rsidR="00047702" w:rsidRPr="00DA11AE">
        <w:rPr>
          <w:noProof/>
        </w:rPr>
        <w:fldChar w:fldCharType="separate"/>
      </w:r>
      <w:r w:rsidR="00F139DC" w:rsidRPr="00F139DC">
        <w:rPr>
          <w:noProof/>
          <w:vertAlign w:val="superscript"/>
        </w:rPr>
        <w:t>9</w:t>
      </w:r>
      <w:r w:rsidR="00047702" w:rsidRPr="00DA11AE">
        <w:rPr>
          <w:noProof/>
        </w:rPr>
        <w:fldChar w:fldCharType="end"/>
      </w:r>
      <w:r w:rsidR="008764AF" w:rsidRPr="00DA11AE">
        <w:rPr>
          <w:noProof/>
        </w:rPr>
        <w:t xml:space="preserve"> and land redistribution</w:t>
      </w:r>
      <w:r w:rsidR="003E3214" w:rsidRPr="00DA11AE">
        <w:rPr>
          <w:noProof/>
        </w:rPr>
        <w:fldChar w:fldCharType="begin" w:fldLock="1"/>
      </w:r>
      <w:r w:rsidR="00F139DC">
        <w:rPr>
          <w:noProof/>
        </w:rPr>
        <w:instrText>ADDIN CSL_CITATION { "citationItems" : [ { "id" : "ITEM-1", "itemData" : { "DOI" : "10.1007/s10745-015-9758-9", "ISSN" : "0300-7839", "author" : [ { "dropping-particle" : "", "family" : "N\u00e6ss", "given" : "Marius Warg", "non-dropping-particle" : "", "parse-names" : false, "suffix" : "" }, { "dropping-particle" : "", "family" : "B\u00e5rdsen", "given" : "B\u00e5rd-J\u00f8rgen", "non-dropping-particle" : "", "parse-names" : false, "suffix" : "" } ], "container-title" : "Human Ecology", "id" : "ITEM-1", "issue" : "3", "issued" : { "date-parts" : [ [ "2015" ] ] }, "page" : "425-438", "title" : "Market economy vs. risk management: How do nomadic pastoralists respond to increasing meat prices?", "type" : "article-journal", "volume" : "43" }, "uris" : [ "http://www.mendeley.com/documents/?uuid=c4ff70f4-b0cc-4a9e-9bb4-f09a7f40e906" ] } ], "mendeley" : { "formattedCitation" : "&lt;sup&gt;9&lt;/sup&gt;", "plainTextFormattedCitation" : "9", "previouslyFormattedCitation" : "&lt;sup&gt;9&lt;/sup&gt;" }, "properties" : {  }, "schema" : "https://github.com/citation-style-language/schema/raw/master/csl-citation.json" }</w:instrText>
      </w:r>
      <w:r w:rsidR="003E3214" w:rsidRPr="00DA11AE">
        <w:rPr>
          <w:noProof/>
        </w:rPr>
        <w:fldChar w:fldCharType="separate"/>
      </w:r>
      <w:r w:rsidR="00F139DC" w:rsidRPr="00F139DC">
        <w:rPr>
          <w:noProof/>
          <w:vertAlign w:val="superscript"/>
        </w:rPr>
        <w:t>9</w:t>
      </w:r>
      <w:r w:rsidR="003E3214" w:rsidRPr="00DA11AE">
        <w:rPr>
          <w:noProof/>
        </w:rPr>
        <w:fldChar w:fldCharType="end"/>
      </w:r>
      <w:r w:rsidR="00047702" w:rsidRPr="00DA11AE">
        <w:rPr>
          <w:noProof/>
        </w:rPr>
        <w:t xml:space="preserve">. </w:t>
      </w:r>
      <w:r w:rsidR="00A45F17" w:rsidRPr="00DA11AE">
        <w:rPr>
          <w:noProof/>
        </w:rPr>
        <w:t xml:space="preserve">Part of the land </w:t>
      </w:r>
      <w:r w:rsidR="00A45F17" w:rsidRPr="00DA11AE">
        <w:rPr>
          <w:noProof/>
        </w:rPr>
        <w:lastRenderedPageBreak/>
        <w:t xml:space="preserve">redistribution process involves </w:t>
      </w:r>
      <w:r w:rsidR="0057133D" w:rsidRPr="00DA11AE">
        <w:rPr>
          <w:noProof/>
        </w:rPr>
        <w:t xml:space="preserve">introducing </w:t>
      </w:r>
      <w:r w:rsidR="00116D6F" w:rsidRPr="00DA11AE">
        <w:rPr>
          <w:noProof/>
        </w:rPr>
        <w:t xml:space="preserve">exclusive </w:t>
      </w:r>
      <w:r w:rsidR="0057133D" w:rsidRPr="00DA11AE">
        <w:rPr>
          <w:noProof/>
        </w:rPr>
        <w:t xml:space="preserve">pasture </w:t>
      </w:r>
      <w:r w:rsidR="00116D6F" w:rsidRPr="00DA11AE">
        <w:rPr>
          <w:noProof/>
        </w:rPr>
        <w:t>use</w:t>
      </w:r>
      <w:r w:rsidR="00315C3D">
        <w:rPr>
          <w:noProof/>
        </w:rPr>
        <w:t>r rights for siidas</w:t>
      </w:r>
      <w:r w:rsidR="00116D6F" w:rsidRPr="00DA11AE">
        <w:rPr>
          <w:noProof/>
        </w:rPr>
        <w:t xml:space="preserve"> (i.e. privatisation) </w:t>
      </w:r>
      <w:r w:rsidR="005A5C4D" w:rsidRPr="00DA11AE">
        <w:rPr>
          <w:noProof/>
        </w:rPr>
        <w:t>and the concomitant raising of</w:t>
      </w:r>
      <w:r w:rsidR="0057133D" w:rsidRPr="00DA11AE">
        <w:rPr>
          <w:noProof/>
        </w:rPr>
        <w:t xml:space="preserve"> borders between units of land.</w:t>
      </w:r>
    </w:p>
    <w:p w14:paraId="44CAE356" w14:textId="28C30FCE" w:rsidR="00792781" w:rsidRDefault="008C13B8" w:rsidP="004F0C99">
      <w:pPr>
        <w:rPr>
          <w:noProof/>
        </w:rPr>
      </w:pPr>
      <w:r w:rsidRPr="00DA11AE">
        <w:rPr>
          <w:noProof/>
        </w:rPr>
        <w:t xml:space="preserve">At the time of fieldwork, pasture borders </w:t>
      </w:r>
      <w:r w:rsidR="00E8473D">
        <w:rPr>
          <w:noProof/>
        </w:rPr>
        <w:t xml:space="preserve">in the </w:t>
      </w:r>
      <w:r w:rsidR="002E0703">
        <w:rPr>
          <w:noProof/>
        </w:rPr>
        <w:t>focal winter</w:t>
      </w:r>
      <w:r w:rsidR="00E8473D">
        <w:rPr>
          <w:noProof/>
        </w:rPr>
        <w:t xml:space="preserve"> district </w:t>
      </w:r>
      <w:r w:rsidRPr="00DA11AE">
        <w:rPr>
          <w:noProof/>
        </w:rPr>
        <w:t xml:space="preserve">had been </w:t>
      </w:r>
      <w:r w:rsidR="00F32941" w:rsidRPr="00DA11AE">
        <w:rPr>
          <w:noProof/>
        </w:rPr>
        <w:t>decided upon</w:t>
      </w:r>
      <w:r w:rsidRPr="00DA11AE">
        <w:rPr>
          <w:noProof/>
        </w:rPr>
        <w:t xml:space="preserve"> but fences had not yet been raised; despite this, many people acted as if the</w:t>
      </w:r>
      <w:r w:rsidR="00C831C8">
        <w:rPr>
          <w:noProof/>
        </w:rPr>
        <w:t xml:space="preserve"> borders were already enforced. T</w:t>
      </w:r>
      <w:r w:rsidR="005A668C">
        <w:rPr>
          <w:noProof/>
        </w:rPr>
        <w:t xml:space="preserve">he winter </w:t>
      </w:r>
      <w:r w:rsidR="00D625AD" w:rsidRPr="00DA11AE">
        <w:rPr>
          <w:noProof/>
        </w:rPr>
        <w:t>district</w:t>
      </w:r>
      <w:r w:rsidR="005A668C">
        <w:rPr>
          <w:noProof/>
        </w:rPr>
        <w:t xml:space="preserve"> in which we conducted fieldwork</w:t>
      </w:r>
      <w:r w:rsidR="00000713">
        <w:rPr>
          <w:noProof/>
        </w:rPr>
        <w:t xml:space="preserve"> (</w:t>
      </w:r>
      <w:r w:rsidR="00000713">
        <w:rPr>
          <w:noProof/>
        </w:rPr>
        <w:fldChar w:fldCharType="begin"/>
      </w:r>
      <w:r w:rsidR="00000713">
        <w:rPr>
          <w:noProof/>
        </w:rPr>
        <w:instrText xml:space="preserve"> REF _Ref496120390 \h </w:instrText>
      </w:r>
      <w:r w:rsidR="00000713">
        <w:rPr>
          <w:noProof/>
        </w:rPr>
      </w:r>
      <w:r w:rsidR="00000713">
        <w:rPr>
          <w:noProof/>
        </w:rPr>
        <w:fldChar w:fldCharType="separate"/>
      </w:r>
      <w:r w:rsidR="00000713">
        <w:t>Figure S</w:t>
      </w:r>
      <w:r w:rsidR="00000713">
        <w:rPr>
          <w:noProof/>
        </w:rPr>
        <w:t>1</w:t>
      </w:r>
      <w:r w:rsidR="00000713">
        <w:rPr>
          <w:noProof/>
        </w:rPr>
        <w:fldChar w:fldCharType="end"/>
      </w:r>
      <w:r w:rsidR="00000713">
        <w:rPr>
          <w:noProof/>
        </w:rPr>
        <w:t>)</w:t>
      </w:r>
      <w:r w:rsidR="00C831C8">
        <w:rPr>
          <w:noProof/>
        </w:rPr>
        <w:t xml:space="preserve"> was used by herders from several summer districts; </w:t>
      </w:r>
      <w:r w:rsidR="00D625AD" w:rsidRPr="00DA11AE">
        <w:rPr>
          <w:noProof/>
        </w:rPr>
        <w:t>there were 745 people (95 of whom were license owners) split into 24 winter siidas</w:t>
      </w:r>
      <w:r w:rsidR="00D625AD" w:rsidRPr="00DA11AE">
        <w:rPr>
          <w:noProof/>
        </w:rPr>
        <w:fldChar w:fldCharType="begin" w:fldLock="1"/>
      </w:r>
      <w:r w:rsidR="00F139DC">
        <w:rPr>
          <w:noProof/>
        </w:rPr>
        <w:instrText>ADDIN CSL_CITATION { "citationItems" : [ { "id" : "ITEM-1", "itemData" : { "author" : [ { "dropping-particle" : "", "family" : "Anonymous", "given" : "", "non-dropping-particle" : "", "parse-names" : false, "suffix" : "" } ], "id" : "ITEM-1", "issued" : { "date-parts" : [ [ "2016" ] ] }, "title" : "Ressursregnskap for Reindriftsn\u00e6ringen (Ecological statistics of reindeer husbandry)", "type" : "report" }, "uris" : [ "http://www.mendeley.com/documents/?uuid=b75637fe-f276-4c18-b69f-73c41656f645" ] } ], "mendeley" : { "formattedCitation" : "&lt;sup&gt;3&lt;/sup&gt;", "plainTextFormattedCitation" : "3", "previouslyFormattedCitation" : "&lt;sup&gt;3&lt;/sup&gt;" }, "properties" : {  }, "schema" : "https://github.com/citation-style-language/schema/raw/master/csl-citation.json" }</w:instrText>
      </w:r>
      <w:r w:rsidR="00D625AD" w:rsidRPr="00DA11AE">
        <w:rPr>
          <w:noProof/>
        </w:rPr>
        <w:fldChar w:fldCharType="separate"/>
      </w:r>
      <w:r w:rsidR="00775DC3" w:rsidRPr="00DA11AE">
        <w:rPr>
          <w:noProof/>
          <w:vertAlign w:val="superscript"/>
        </w:rPr>
        <w:t>3</w:t>
      </w:r>
      <w:r w:rsidR="00D625AD" w:rsidRPr="00DA11AE">
        <w:rPr>
          <w:noProof/>
        </w:rPr>
        <w:fldChar w:fldCharType="end"/>
      </w:r>
      <w:r w:rsidR="00D625AD" w:rsidRPr="00DA11AE">
        <w:rPr>
          <w:noProof/>
        </w:rPr>
        <w:t xml:space="preserve">. </w:t>
      </w:r>
      <w:r w:rsidR="00E53B83" w:rsidRPr="00DA11AE">
        <w:rPr>
          <w:noProof/>
        </w:rPr>
        <w:t xml:space="preserve">We recruited participants by systematically </w:t>
      </w:r>
      <w:r w:rsidR="00211DC0" w:rsidRPr="00DA11AE">
        <w:rPr>
          <w:noProof/>
        </w:rPr>
        <w:t>phoning</w:t>
      </w:r>
      <w:r w:rsidR="00E53B83" w:rsidRPr="00DA11AE">
        <w:rPr>
          <w:noProof/>
        </w:rPr>
        <w:t xml:space="preserve"> all license owners</w:t>
      </w:r>
      <w:r w:rsidR="00136EC7" w:rsidRPr="00DA11AE">
        <w:rPr>
          <w:noProof/>
        </w:rPr>
        <w:t>,</w:t>
      </w:r>
      <w:r w:rsidR="00F10864" w:rsidRPr="00DA11AE">
        <w:rPr>
          <w:noProof/>
        </w:rPr>
        <w:t xml:space="preserve"> the majority of whom were either unreachable, unavailable or unwilling to take part. </w:t>
      </w:r>
      <w:r w:rsidR="00A070E8" w:rsidRPr="00DA11AE">
        <w:rPr>
          <w:noProof/>
        </w:rPr>
        <w:t>All participants pro</w:t>
      </w:r>
      <w:r w:rsidR="00136EC7" w:rsidRPr="00DA11AE">
        <w:rPr>
          <w:noProof/>
        </w:rPr>
        <w:t>vided written informed consent.</w:t>
      </w:r>
    </w:p>
    <w:p w14:paraId="4E7700F2" w14:textId="77777777" w:rsidR="00953ED4" w:rsidRDefault="00953ED4" w:rsidP="009A6C23">
      <w:pPr>
        <w:keepNext/>
        <w:jc w:val="center"/>
      </w:pPr>
      <w:r>
        <w:rPr>
          <w:noProof/>
        </w:rPr>
        <w:lastRenderedPageBreak/>
        <w:drawing>
          <wp:inline distT="0" distB="0" distL="0" distR="0" wp14:anchorId="3F80BE9A" wp14:editId="694F687D">
            <wp:extent cx="5596128" cy="8081654"/>
            <wp:effectExtent l="0" t="0" r="5080" b="0"/>
            <wp:docPr id="6" name="Picture 6" descr="C:\Users\mgt\AppData\Local\Microsoft\Windows\INetCache\Content.Word\Ma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t\AppData\Local\Microsoft\Windows\INetCache\Content.Word\Maps.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553" cy="8096709"/>
                    </a:xfrm>
                    <a:prstGeom prst="rect">
                      <a:avLst/>
                    </a:prstGeom>
                    <a:noFill/>
                    <a:ln>
                      <a:noFill/>
                    </a:ln>
                  </pic:spPr>
                </pic:pic>
              </a:graphicData>
            </a:graphic>
          </wp:inline>
        </w:drawing>
      </w:r>
    </w:p>
    <w:p w14:paraId="5BF6A77A" w14:textId="6CB5FF01" w:rsidR="00953ED4" w:rsidRPr="00DA11AE" w:rsidRDefault="00953ED4" w:rsidP="007445A1">
      <w:pPr>
        <w:pStyle w:val="Caption"/>
        <w:rPr>
          <w:noProof/>
        </w:rPr>
      </w:pPr>
      <w:bookmarkStart w:id="1" w:name="_Ref496120390"/>
      <w:r>
        <w:t>Figure S</w:t>
      </w:r>
      <w:r>
        <w:fldChar w:fldCharType="begin"/>
      </w:r>
      <w:r>
        <w:instrText xml:space="preserve"> SEQ Figure \* ARABIC </w:instrText>
      </w:r>
      <w:r>
        <w:fldChar w:fldCharType="separate"/>
      </w:r>
      <w:r>
        <w:rPr>
          <w:noProof/>
        </w:rPr>
        <w:t>1</w:t>
      </w:r>
      <w:r>
        <w:fldChar w:fldCharType="end"/>
      </w:r>
      <w:bookmarkEnd w:id="1"/>
      <w:r>
        <w:t>:</w:t>
      </w:r>
      <w:r w:rsidR="007445A1">
        <w:t xml:space="preserve"> Location of the winter district in which we conducted fieldwork (orange area in inset map), within Finnmark, Norway.</w:t>
      </w:r>
      <w:r>
        <w:t xml:space="preserve"> </w:t>
      </w:r>
      <w:r w:rsidR="007445A1">
        <w:t>Digital elevation mode and country borders: Norwegian Mapping Authorities. Reindeer districts: freely available data from the open internet mapping services ‘</w:t>
      </w:r>
      <w:proofErr w:type="spellStart"/>
      <w:r w:rsidR="007445A1">
        <w:t>Kilden</w:t>
      </w:r>
      <w:proofErr w:type="spellEnd"/>
      <w:r w:rsidR="007445A1">
        <w:t xml:space="preserve">’, a service provided by the Norwegian Institute of </w:t>
      </w:r>
      <w:proofErr w:type="spellStart"/>
      <w:r w:rsidR="007445A1">
        <w:t>Bioeconomy</w:t>
      </w:r>
      <w:proofErr w:type="spellEnd"/>
      <w:r w:rsidR="007445A1">
        <w:t xml:space="preserve"> Research: http://www.skogoglandskap.no/temaer/Nedlasting_av_kart (assessed 2017-09-01).</w:t>
      </w:r>
    </w:p>
    <w:p w14:paraId="731B7715" w14:textId="235B67A8" w:rsidR="00DD2CCD" w:rsidRDefault="00DD2CCD" w:rsidP="00DD2CCD">
      <w:pPr>
        <w:pStyle w:val="Heading2"/>
        <w:rPr>
          <w:noProof/>
        </w:rPr>
      </w:pPr>
      <w:r w:rsidRPr="00DA11AE">
        <w:rPr>
          <w:noProof/>
        </w:rPr>
        <w:lastRenderedPageBreak/>
        <w:t>Supplementary methods</w:t>
      </w:r>
    </w:p>
    <w:p w14:paraId="04A44F8F" w14:textId="2C8716FB" w:rsidR="004F1D8A" w:rsidRDefault="002C1243" w:rsidP="00E84A78">
      <w:pPr>
        <w:pStyle w:val="Heading3"/>
      </w:pPr>
      <w:r>
        <w:t>Social relations model predicting cooperative links</w:t>
      </w:r>
    </w:p>
    <w:p w14:paraId="515A86A1" w14:textId="60E00BB6" w:rsidR="007A5F30" w:rsidRPr="00BB576E" w:rsidRDefault="007A5F30" w:rsidP="007A5F30">
      <w:pPr>
        <w:rPr>
          <w:rFonts w:eastAsiaTheme="minorEastAsia"/>
        </w:rPr>
      </w:pPr>
      <w:r>
        <w:t xml:space="preserve">The Methods section in the main text gives the specification for the social relations models we fitted. </w:t>
      </w:r>
      <w:r w:rsidR="00F139DC">
        <w:t xml:space="preserve">Following </w:t>
      </w:r>
      <w:proofErr w:type="spellStart"/>
      <w:r w:rsidR="009A0E57">
        <w:t>Koster</w:t>
      </w:r>
      <w:proofErr w:type="spellEnd"/>
      <w:r w:rsidR="009A0E57">
        <w:t xml:space="preserve"> &amp; Leckie</w:t>
      </w:r>
      <w:r w:rsidR="00F139DC">
        <w:fldChar w:fldCharType="begin" w:fldLock="1"/>
      </w:r>
      <w:r w:rsidR="00F139DC">
        <w:instrText>ADDIN CSL_CITATION { "citationItems" : [ { "id" : "ITEM-1", "itemData" : { "DOI" : "10.1016/j.socnet.2014.02.002", "ISSN" : "03788733", "author" : [ { "dropping-particle" : "", "family" : "Koster", "given" : "Jeremy M.", "non-dropping-particle" : "", "parse-names" : false, "suffix" : "" }, { "dropping-particle" : "", "family" : "Leckie", "given" : "George", "non-dropping-particle" : "", "parse-names" : false, "suffix" : "" } ], "container-title" : "Social Networks", "id" : "ITEM-1", "issued" : { "date-parts" : [ [ "2014", "7" ] ] }, "page" : "100-110", "publisher" : "Elsevier B.V.", "title" : "Food sharing networks in lowland Nicaragua: An application of the social relations model to count data", "type" : "article-journal", "volume" : "38" }, "uris" : [ "http://www.mendeley.com/documents/?uuid=f9e3835c-fa0b-41a4-9b53-51c6f1203ab7" ] } ], "mendeley" : { "formattedCitation" : "&lt;sup&gt;13&lt;/sup&gt;", "plainTextFormattedCitation" : "13", "previouslyFormattedCitation" : "&lt;sup&gt;13&lt;/sup&gt;" }, "properties" : {  }, "schema" : "https://github.com/citation-style-language/schema/raw/master/csl-citation.json" }</w:instrText>
      </w:r>
      <w:r w:rsidR="00F139DC">
        <w:fldChar w:fldCharType="separate"/>
      </w:r>
      <w:r w:rsidR="00F139DC" w:rsidRPr="00F139DC">
        <w:rPr>
          <w:noProof/>
          <w:vertAlign w:val="superscript"/>
        </w:rPr>
        <w:t>13</w:t>
      </w:r>
      <w:r w:rsidR="00F139DC">
        <w:fldChar w:fldCharType="end"/>
      </w:r>
      <w:r w:rsidR="009A0E57">
        <w:t xml:space="preserve">, we specified flat (uninformative) priors for all parameters in the social relations model. </w:t>
      </w:r>
      <w:r w:rsidRPr="00BB576E">
        <w:rPr>
          <w:rFonts w:eastAsiaTheme="minorEastAsia"/>
        </w:rPr>
        <w:t>The individual-level giver and receiver random effects are mean-zero bivariate normally distributed:</w:t>
      </w:r>
    </w:p>
    <w:p w14:paraId="18EB9EF7" w14:textId="77777777" w:rsidR="007A5F30" w:rsidRPr="00BB576E" w:rsidRDefault="00D17CE9" w:rsidP="007A5F30">
      <w:pPr>
        <w:rPr>
          <w:rFonts w:eastAsiaTheme="minorEastAsia"/>
        </w:rPr>
      </w:pPr>
      <m:oMathPara>
        <m:oMath>
          <m:d>
            <m:dPr>
              <m:ctrlPr>
                <w:rPr>
                  <w:rFonts w:ascii="Cambria Math" w:eastAsiaTheme="minorEastAsia" w:hAnsi="Cambria Math"/>
                  <w:i/>
                </w:rPr>
              </m:ctrlPr>
            </m:dPr>
            <m:e>
              <m:f>
                <m:fPr>
                  <m:type m:val="noBa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den>
              </m:f>
            </m:e>
          </m:d>
          <m:r>
            <w:rPr>
              <w:rFonts w:ascii="Cambria Math" w:eastAsiaTheme="minorEastAsia" w:hAnsi="Cambria Math"/>
            </w:rPr>
            <m:t>∼N</m:t>
          </m:r>
          <m:d>
            <m:dPr>
              <m:begChr m:val="{"/>
              <m:endChr m:val="}"/>
              <m:ctrlPr>
                <w:rPr>
                  <w:rFonts w:ascii="Cambria Math" w:eastAsiaTheme="minorEastAsia" w:hAnsi="Cambria Math"/>
                  <w:i/>
                </w:rPr>
              </m:ctrlPr>
            </m:dPr>
            <m:e>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e>
              </m:d>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e>
                      <m:e>
                        <m:r>
                          <w:rPr>
                            <w:rFonts w:ascii="Cambria Math" w:eastAsiaTheme="minorEastAsia" w:hAnsi="Cambria Math"/>
                          </w:rPr>
                          <m:t xml:space="preserve"> </m:t>
                        </m:r>
                      </m:e>
                    </m:mr>
                    <m:m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gr</m:t>
                            </m:r>
                          </m:sub>
                        </m:sSub>
                      </m:e>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m:t>
                            </m:r>
                          </m:sub>
                          <m:sup>
                            <m:r>
                              <w:rPr>
                                <w:rFonts w:ascii="Cambria Math" w:eastAsiaTheme="minorEastAsia" w:hAnsi="Cambria Math"/>
                              </w:rPr>
                              <m:t>2</m:t>
                            </m:r>
                          </m:sup>
                        </m:sSubSup>
                      </m:e>
                    </m:mr>
                  </m:m>
                </m:e>
              </m:d>
            </m:e>
          </m:d>
        </m:oMath>
      </m:oMathPara>
    </w:p>
    <w:p w14:paraId="223E205B" w14:textId="77777777" w:rsidR="007A5F30" w:rsidRPr="00BB576E" w:rsidRDefault="007A5F30" w:rsidP="007A5F30">
      <w:pPr>
        <w:rPr>
          <w:rFonts w:eastAsiaTheme="minorEastAsia"/>
        </w:rPr>
      </w:pPr>
      <w:r w:rsidRPr="00BB576E">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oMath>
      <w:r w:rsidRPr="00BB576E">
        <w:rPr>
          <w:rFonts w:eastAsiaTheme="minorEastAsia"/>
        </w:rPr>
        <w:t xml:space="preserve"> is giver variance,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m:t>
            </m:r>
          </m:sub>
          <m:sup>
            <m:r>
              <w:rPr>
                <w:rFonts w:ascii="Cambria Math" w:eastAsiaTheme="minorEastAsia" w:hAnsi="Cambria Math"/>
              </w:rPr>
              <m:t>2</m:t>
            </m:r>
          </m:sup>
        </m:sSubSup>
      </m:oMath>
      <w:r w:rsidRPr="00BB576E">
        <w:rPr>
          <w:rFonts w:eastAsiaTheme="minorEastAsia"/>
        </w:rPr>
        <w:t xml:space="preserve"> is receiver variance, and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gr</m:t>
            </m:r>
          </m:sub>
        </m:sSub>
      </m:oMath>
      <w:r w:rsidRPr="00BB576E">
        <w:rPr>
          <w:rFonts w:eastAsiaTheme="minorEastAsia"/>
        </w:rPr>
        <w:t xml:space="preserve"> is covariance between givers and receivers.</w:t>
      </w:r>
    </w:p>
    <w:p w14:paraId="446C067E" w14:textId="77777777" w:rsidR="007A5F30" w:rsidRPr="00BB576E" w:rsidRDefault="007A5F30" w:rsidP="007A5F30">
      <w:pPr>
        <w:rPr>
          <w:rFonts w:eastAsiaTheme="minorEastAsia"/>
        </w:rPr>
      </w:pPr>
      <w:r w:rsidRPr="00BB576E">
        <w:rPr>
          <w:rFonts w:eastAsiaTheme="minorEastAsia"/>
        </w:rPr>
        <w:t xml:space="preserve">The correlation between giver and receiver effects measures the extent that ties in cooperation networks are generally reciprocated: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gr</m:t>
            </m:r>
          </m:sub>
        </m:sSub>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gr</m:t>
                </m:r>
              </m:sub>
            </m:sSub>
          </m:num>
          <m:den>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m:t>
                    </m:r>
                  </m:sub>
                  <m:sup>
                    <m:r>
                      <w:rPr>
                        <w:rFonts w:ascii="Cambria Math" w:eastAsiaTheme="minorEastAsia" w:hAnsi="Cambria Math"/>
                      </w:rPr>
                      <m:t>2</m:t>
                    </m:r>
                  </m:sup>
                </m:sSubSup>
              </m:e>
            </m:rad>
          </m:den>
        </m:f>
      </m:oMath>
      <w:r w:rsidRPr="00BB576E">
        <w:rPr>
          <w:rFonts w:eastAsiaTheme="minorEastAsia"/>
        </w:rPr>
        <w:t>.</w:t>
      </w:r>
    </w:p>
    <w:p w14:paraId="7F41FBE4" w14:textId="77777777" w:rsidR="007A5F30" w:rsidRPr="00BB576E" w:rsidRDefault="007A5F30" w:rsidP="007A5F30">
      <w:pPr>
        <w:rPr>
          <w:rFonts w:eastAsiaTheme="minorEastAsia"/>
        </w:rPr>
      </w:pPr>
      <w:r w:rsidRPr="00BB576E">
        <w:rPr>
          <w:rFonts w:eastAsiaTheme="minorEastAsia"/>
        </w:rPr>
        <w:t>Dyadic random effects are also mean-zero bivariate normally distributed:</w:t>
      </w:r>
    </w:p>
    <w:p w14:paraId="21695E27" w14:textId="77777777" w:rsidR="007A5F30" w:rsidRPr="00BB576E" w:rsidRDefault="00D17CE9" w:rsidP="007A5F30">
      <w:pPr>
        <w:rPr>
          <w:rFonts w:eastAsiaTheme="minorEastAsia"/>
        </w:rPr>
      </w:pPr>
      <m:oMathPara>
        <m:oMath>
          <m:d>
            <m:dPr>
              <m:ctrlPr>
                <w:rPr>
                  <w:rFonts w:ascii="Cambria Math" w:eastAsiaTheme="minorEastAsia" w:hAnsi="Cambria Math"/>
                  <w:i/>
                </w:rPr>
              </m:ctrlPr>
            </m:dPr>
            <m:e>
              <m:f>
                <m:fPr>
                  <m:type m:val="noBa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j,i</m:t>
                      </m:r>
                    </m:sub>
                  </m:sSub>
                </m:den>
              </m:f>
            </m:e>
          </m:d>
          <m:r>
            <w:rPr>
              <w:rFonts w:ascii="Cambria Math" w:eastAsiaTheme="minorEastAsia" w:hAnsi="Cambria Math"/>
            </w:rPr>
            <m:t>∼N</m:t>
          </m:r>
          <m:d>
            <m:dPr>
              <m:begChr m:val="{"/>
              <m:endChr m:val="}"/>
              <m:ctrlPr>
                <w:rPr>
                  <w:rFonts w:ascii="Cambria Math" w:eastAsiaTheme="minorEastAsia" w:hAnsi="Cambria Math"/>
                  <w:i/>
                </w:rPr>
              </m:ctrlPr>
            </m:dPr>
            <m:e>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e>
              </m:d>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d</m:t>
                            </m:r>
                          </m:sub>
                          <m:sup>
                            <m:r>
                              <w:rPr>
                                <w:rFonts w:ascii="Cambria Math" w:eastAsiaTheme="minorEastAsia" w:hAnsi="Cambria Math"/>
                              </w:rPr>
                              <m:t>2</m:t>
                            </m:r>
                          </m:sup>
                        </m:sSubSup>
                      </m:e>
                      <m:e>
                        <m:r>
                          <w:rPr>
                            <w:rFonts w:ascii="Cambria Math" w:eastAsiaTheme="minorEastAsia" w:hAnsi="Cambria Math"/>
                          </w:rPr>
                          <m:t xml:space="preserve"> </m:t>
                        </m:r>
                      </m:e>
                    </m:mr>
                    <m:m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dd</m:t>
                            </m:r>
                          </m:sub>
                        </m:sSub>
                      </m:e>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d</m:t>
                            </m:r>
                          </m:sub>
                          <m:sup>
                            <m:r>
                              <w:rPr>
                                <w:rFonts w:ascii="Cambria Math" w:eastAsiaTheme="minorEastAsia" w:hAnsi="Cambria Math"/>
                              </w:rPr>
                              <m:t>2</m:t>
                            </m:r>
                          </m:sup>
                        </m:sSubSup>
                      </m:e>
                    </m:mr>
                  </m:m>
                </m:e>
              </m:d>
            </m:e>
          </m:d>
        </m:oMath>
      </m:oMathPara>
    </w:p>
    <w:p w14:paraId="624DCF9D" w14:textId="77777777" w:rsidR="007A5F30" w:rsidRPr="00BB576E" w:rsidRDefault="007A5F30" w:rsidP="007A5F30">
      <w:pPr>
        <w:rPr>
          <w:rFonts w:eastAsiaTheme="minorEastAsia"/>
        </w:rPr>
      </w:pPr>
      <w:r w:rsidRPr="00BB576E">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d</m:t>
            </m:r>
          </m:sub>
          <m:sup>
            <m:r>
              <w:rPr>
                <w:rFonts w:ascii="Cambria Math" w:eastAsiaTheme="minorEastAsia" w:hAnsi="Cambria Math"/>
              </w:rPr>
              <m:t>2</m:t>
            </m:r>
          </m:sup>
        </m:sSubSup>
      </m:oMath>
      <w:r w:rsidRPr="00BB576E">
        <w:rPr>
          <w:rFonts w:eastAsiaTheme="minorEastAsia"/>
        </w:rPr>
        <w:t xml:space="preserve"> is dyadic variance and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dd</m:t>
            </m:r>
          </m:sub>
        </m:sSub>
      </m:oMath>
      <w:r w:rsidRPr="00BB576E">
        <w:rPr>
          <w:rFonts w:eastAsiaTheme="minorEastAsia"/>
        </w:rPr>
        <w:t xml:space="preserve"> is dyadic </w:t>
      </w:r>
      <w:proofErr w:type="gramStart"/>
      <w:r w:rsidRPr="00BB576E">
        <w:rPr>
          <w:rFonts w:eastAsiaTheme="minorEastAsia"/>
        </w:rPr>
        <w:t>covariance.</w:t>
      </w:r>
      <w:proofErr w:type="gramEnd"/>
      <w:r w:rsidRPr="00BB576E">
        <w:rPr>
          <w:rFonts w:eastAsiaTheme="minorEastAsia"/>
        </w:rPr>
        <w:t xml:space="preserve"> Dyadic reciprocity</w:t>
      </w:r>
      <w:r w:rsidRPr="00BB576E">
        <w:rPr>
          <w:rFonts w:eastAsiaTheme="minorEastAsia"/>
        </w:rPr>
        <w:t>—</w:t>
      </w:r>
      <w:r w:rsidRPr="00BB576E">
        <w:rPr>
          <w:rFonts w:eastAsiaTheme="minorEastAsia"/>
        </w:rPr>
        <w:t xml:space="preserve">the extent to which ties in the cooperation network were reciprocated in any </w:t>
      </w:r>
      <w:proofErr w:type="gramStart"/>
      <w:r w:rsidRPr="00BB576E">
        <w:rPr>
          <w:rFonts w:eastAsiaTheme="minorEastAsia"/>
        </w:rPr>
        <w:t>particular relationship</w:t>
      </w:r>
      <w:proofErr w:type="gramEnd"/>
      <w:r w:rsidRPr="00BB576E">
        <w:rPr>
          <w:rFonts w:eastAsiaTheme="minorEastAsia"/>
        </w:rPr>
        <w:t>—</w:t>
      </w:r>
      <w:r w:rsidRPr="00BB576E">
        <w:rPr>
          <w:rFonts w:eastAsiaTheme="minorEastAsia"/>
        </w:rPr>
        <w:t xml:space="preserve">was calculated as: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dd</m:t>
            </m:r>
          </m:sub>
        </m:sSub>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dd</m:t>
                </m:r>
              </m:sub>
            </m:sSub>
          </m:num>
          <m:den>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d</m:t>
                </m:r>
              </m:sub>
              <m:sup>
                <m:r>
                  <w:rPr>
                    <w:rFonts w:ascii="Cambria Math" w:eastAsiaTheme="minorEastAsia" w:hAnsi="Cambria Math"/>
                  </w:rPr>
                  <m:t>2</m:t>
                </m:r>
              </m:sup>
            </m:sSubSup>
          </m:den>
        </m:f>
        <m:r>
          <w:rPr>
            <w:rFonts w:ascii="Cambria Math" w:eastAsiaTheme="minorEastAsia" w:hAnsi="Cambria Math"/>
          </w:rPr>
          <m:t>.</m:t>
        </m:r>
      </m:oMath>
    </w:p>
    <w:p w14:paraId="5E22A4E2" w14:textId="77777777" w:rsidR="007A5F30" w:rsidRPr="00BB576E" w:rsidRDefault="007A5F30" w:rsidP="007A5F30">
      <w:r w:rsidRPr="00BB576E">
        <w:t>To quantify the relative importance of egos, alters and their relationships as sources of variation, variance partition components can be calculated as follows:</w:t>
      </w:r>
    </w:p>
    <w:p w14:paraId="721C4CB0" w14:textId="77777777" w:rsidR="007A5F30" w:rsidRPr="00BB576E" w:rsidRDefault="007A5F30" w:rsidP="007A5F30">
      <m:oMathPara>
        <m:oMath>
          <m:r>
            <m:rPr>
              <m:nor/>
            </m:rPr>
            <w:rPr>
              <w:rFonts w:ascii="Cambria Math" w:hAnsi="Cambria Math"/>
            </w:rPr>
            <m:t>Giver VPC</m:t>
          </m:r>
          <m:r>
            <m:rPr>
              <m:aln/>
            </m:rP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num>
            <m:den>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e>
              </m:d>
            </m:den>
          </m:f>
          <m:r>
            <m:rPr>
              <m:sty m:val="p"/>
            </m:rPr>
            <w:rPr>
              <w:rFonts w:ascii="Cambria Math" w:eastAsiaTheme="minorEastAsia" w:hAnsi="Cambria Math"/>
            </w:rPr>
            <w:br/>
          </m:r>
        </m:oMath>
        <m:oMath>
          <m:r>
            <m:rPr>
              <m:nor/>
            </m:rPr>
            <w:rPr>
              <w:rFonts w:ascii="Cambria Math" w:hAnsi="Cambria Math"/>
            </w:rPr>
            <m:t>Receiver VPC</m:t>
          </m:r>
          <m:r>
            <m:rPr>
              <m:aln/>
            </m:rP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num>
            <m:den>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e>
              </m:d>
            </m:den>
          </m:f>
          <m:r>
            <m:rPr>
              <m:sty m:val="p"/>
            </m:rPr>
            <w:rPr>
              <w:rFonts w:ascii="Cambria Math" w:hAnsi="Cambria Math"/>
            </w:rPr>
            <w:br/>
          </m:r>
        </m:oMath>
        <m:oMath>
          <m:r>
            <m:rPr>
              <m:nor/>
            </m:rPr>
            <w:rPr>
              <w:rFonts w:ascii="Cambria Math" w:hAnsi="Cambria Math"/>
            </w:rPr>
            <m:t>Dyadic VPC</m:t>
          </m:r>
          <m:r>
            <m:rPr>
              <m:aln/>
            </m:rP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e>
              </m:d>
            </m:den>
          </m:f>
        </m:oMath>
      </m:oMathPara>
    </w:p>
    <w:p w14:paraId="62620615" w14:textId="17399F4A" w:rsidR="002C1243" w:rsidRDefault="00FB3D52" w:rsidP="00E84A78">
      <w:r>
        <w:t>For m</w:t>
      </w:r>
      <w:r w:rsidR="0052282D">
        <w:t xml:space="preserve">odel </w:t>
      </w:r>
      <w:r>
        <w:t xml:space="preserve">comparison and </w:t>
      </w:r>
      <w:r w:rsidR="0052282D">
        <w:t>selection</w:t>
      </w:r>
      <w:r>
        <w:t>, we used four goodness-of-fit metrics calculated in R</w:t>
      </w:r>
      <w:r>
        <w:t>’</w:t>
      </w:r>
      <w:r>
        <w:t xml:space="preserve">s </w:t>
      </w:r>
      <w:r>
        <w:t>‘</w:t>
      </w:r>
      <w:r>
        <w:t>amen</w:t>
      </w:r>
      <w:r>
        <w:t>’</w:t>
      </w:r>
      <w:r>
        <w:t xml:space="preserve"> package (which also estimates the SRMs</w:t>
      </w:r>
      <w:r>
        <w:t>’</w:t>
      </w:r>
      <w:r>
        <w:t xml:space="preserve"> parameters) </w:t>
      </w:r>
      <w:r w:rsidR="00B04243">
        <w:t>and</w:t>
      </w:r>
      <w:r>
        <w:t xml:space="preserve"> measured the concordance between models</w:t>
      </w:r>
      <w:r>
        <w:t>’</w:t>
      </w:r>
      <w:r>
        <w:t xml:space="preserve"> predictions and observed data by calculating F</w:t>
      </w:r>
      <w:r w:rsidRPr="00E84A78">
        <w:rPr>
          <w:vertAlign w:val="subscript"/>
        </w:rPr>
        <w:t>1</w:t>
      </w:r>
      <w:r>
        <w:t xml:space="preserve"> scores</w:t>
      </w:r>
      <w:r w:rsidR="00927130">
        <w:t xml:space="preserve"> and accuracies</w:t>
      </w:r>
      <w:r>
        <w:t>.</w:t>
      </w:r>
    </w:p>
    <w:p w14:paraId="6DAEE542" w14:textId="68A6424C" w:rsidR="005C5EE2" w:rsidRDefault="00594EA8" w:rsidP="00E84A78">
      <w:r>
        <w:t xml:space="preserve">The goodness-of-fit </w:t>
      </w:r>
      <w:r w:rsidR="005C5EE2">
        <w:t>metrics calculate four network statistics: standard deviations of (1) the row means and (2) the column means; (3) within-dyad correlations</w:t>
      </w:r>
      <w:r w:rsidR="001A2DD9">
        <w:t xml:space="preserve"> (dyadic dependence)</w:t>
      </w:r>
      <w:r w:rsidR="005C5EE2">
        <w:t>; and (4) a normalised measure of triadic dependence (</w:t>
      </w:r>
      <w:r w:rsidR="007D79F9">
        <w:t>correlations between friends of friends</w:t>
      </w:r>
      <w:r w:rsidR="005C5EE2">
        <w:t>). See the amen package</w:t>
      </w:r>
      <w:r w:rsidR="005C5EE2">
        <w:t>’</w:t>
      </w:r>
      <w:r w:rsidR="005C5EE2">
        <w:t>s documentation for further details</w:t>
      </w:r>
      <w:r w:rsidR="005C5EE2">
        <w:fldChar w:fldCharType="begin" w:fldLock="1"/>
      </w:r>
      <w:r w:rsidR="00F139DC">
        <w:instrText>ADDIN CSL_CITATION { "citationItems" : [ { "id" : "ITEM-1", "itemData" : { "author" : [ { "dropping-particle" : "", "family" : "Hoff", "given" : "Peter", "non-dropping-particle" : "", "parse-names" : false, "suffix" : "" }, { "dropping-particle" : "", "family" : "Fosdick", "given" : "Bailey", "non-dropping-particle" : "", "parse-names" : false, "suffix" : "" }, { "dropping-particle" : "", "family" : "Volfovsky", "given" : "Alex", "non-dropping-particle" : "", "parse-names" : false, "suffix" : "" }, { "dropping-particle" : "", "family" : "He", "given" : "Yanjun", "non-dropping-particle" : "", "parse-names" : false, "suffix" : "" } ], "id" : "ITEM-1", "issued" : { "date-parts" : [ [ "2015" ] ] }, "note" : "R package version 1.1", "title" : "amen: Additive and Multiplicative Effects Models for Networks and Relational Data", "type" : "article" }, "uris" : [ "http://www.mendeley.com/documents/?uuid=b14258cd-46c4-4446-b49b-98ad9de7e058" ] } ], "mendeley" : { "formattedCitation" : "&lt;sup&gt;14&lt;/sup&gt;", "plainTextFormattedCitation" : "14", "previouslyFormattedCitation" : "&lt;sup&gt;14&lt;/sup&gt;" }, "properties" : {  }, "schema" : "https://github.com/citation-style-language/schema/raw/master/csl-citation.json" }</w:instrText>
      </w:r>
      <w:r w:rsidR="005C5EE2">
        <w:fldChar w:fldCharType="separate"/>
      </w:r>
      <w:r w:rsidR="00F139DC" w:rsidRPr="00F139DC">
        <w:rPr>
          <w:noProof/>
          <w:vertAlign w:val="superscript"/>
        </w:rPr>
        <w:t>14</w:t>
      </w:r>
      <w:r w:rsidR="005C5EE2">
        <w:fldChar w:fldCharType="end"/>
      </w:r>
      <w:r w:rsidR="005C5EE2">
        <w:t>.</w:t>
      </w:r>
      <w:r w:rsidR="000C7359">
        <w:t xml:space="preserve"> </w:t>
      </w:r>
      <w:r w:rsidR="005C5EE2">
        <w:t xml:space="preserve">For each, we </w:t>
      </w:r>
      <w:r w:rsidR="00866651">
        <w:t>calculated the root mean square</w:t>
      </w:r>
      <w:r w:rsidR="005C5EE2">
        <w:t xml:space="preserve"> error between the observed statistics and statistics simulated from the models</w:t>
      </w:r>
      <w:r w:rsidR="005C5EE2">
        <w:t>’</w:t>
      </w:r>
      <w:r w:rsidR="005C5EE2">
        <w:t xml:space="preserve"> posterior predictive distributions.</w:t>
      </w:r>
    </w:p>
    <w:p w14:paraId="57DD484A" w14:textId="63E40F85" w:rsidR="008703CC" w:rsidRDefault="008703CC" w:rsidP="00E84A78">
      <w:r>
        <w:t>F</w:t>
      </w:r>
      <w:r w:rsidRPr="00E84A78">
        <w:rPr>
          <w:vertAlign w:val="subscript"/>
        </w:rPr>
        <w:t>1</w:t>
      </w:r>
      <w:r>
        <w:t xml:space="preserve"> scores are the harmonic mean between a model</w:t>
      </w:r>
      <w:r>
        <w:t>’</w:t>
      </w:r>
      <w:r>
        <w:t>s precision and recall</w:t>
      </w:r>
      <w:r w:rsidR="00E9493A">
        <w:t>, which measure rates of true/false positives/negatives (abbreviated here as TP, FP, TN and FN)</w:t>
      </w:r>
      <w:r>
        <w:t>. Precision</w:t>
      </w:r>
      <w:r w:rsidR="00E9493A">
        <w:t>, also called positive predictive value,</w:t>
      </w:r>
      <w:r>
        <w:t xml:space="preserve"> is calculated as</w:t>
      </w:r>
      <w:r w:rsidR="00E9493A">
        <w:t>:</w:t>
      </w:r>
    </w:p>
    <w:p w14:paraId="3F344289" w14:textId="635B006A" w:rsidR="00E9493A" w:rsidRDefault="006B2AEE" w:rsidP="00E84A78">
      <m:oMathPara>
        <m:oMath>
          <m:r>
            <w:rPr>
              <w:rFonts w:ascii="Cambria Math" w:hAnsi="Cambria Math"/>
            </w:rPr>
            <m:t>P=</m:t>
          </m:r>
          <m:f>
            <m:fPr>
              <m:ctrlPr>
                <w:rPr>
                  <w:rFonts w:ascii="Cambria Math" w:hAnsi="Cambria Math"/>
                  <w:i/>
                </w:rPr>
              </m:ctrlPr>
            </m:fPr>
            <m:num>
              <m:r>
                <w:rPr>
                  <w:rFonts w:ascii="Cambria Math" w:hAnsi="Cambria Math"/>
                </w:rPr>
                <m:t>TP</m:t>
              </m:r>
            </m:num>
            <m:den>
              <m:r>
                <w:rPr>
                  <w:rFonts w:ascii="Cambria Math" w:hAnsi="Cambria Math"/>
                </w:rPr>
                <m:t>TP+FP</m:t>
              </m:r>
            </m:den>
          </m:f>
        </m:oMath>
      </m:oMathPara>
    </w:p>
    <w:p w14:paraId="5FB41FDB" w14:textId="1782EB5D" w:rsidR="008703CC" w:rsidRDefault="008703CC" w:rsidP="00E84A78">
      <w:r>
        <w:t>Recall</w:t>
      </w:r>
      <w:r w:rsidR="00E9493A">
        <w:t>, also called sensitivity,</w:t>
      </w:r>
      <w:r>
        <w:t xml:space="preserve"> is</w:t>
      </w:r>
      <w:r w:rsidR="00E9493A">
        <w:t>:</w:t>
      </w:r>
    </w:p>
    <w:p w14:paraId="148C1AD7" w14:textId="1FC056D6" w:rsidR="00E9493A" w:rsidRDefault="006B2AEE" w:rsidP="00E84A78">
      <m:oMathPara>
        <m:oMath>
          <m:r>
            <w:rPr>
              <w:rFonts w:ascii="Cambria Math" w:hAnsi="Cambria Math"/>
            </w:rPr>
            <w:lastRenderedPageBreak/>
            <m:t>R=</m:t>
          </m:r>
          <m:f>
            <m:fPr>
              <m:ctrlPr>
                <w:rPr>
                  <w:rFonts w:ascii="Cambria Math" w:hAnsi="Cambria Math"/>
                  <w:i/>
                </w:rPr>
              </m:ctrlPr>
            </m:fPr>
            <m:num>
              <m:r>
                <w:rPr>
                  <w:rFonts w:ascii="Cambria Math" w:hAnsi="Cambria Math"/>
                </w:rPr>
                <m:t>TP</m:t>
              </m:r>
            </m:num>
            <m:den>
              <m:r>
                <w:rPr>
                  <w:rFonts w:ascii="Cambria Math" w:hAnsi="Cambria Math"/>
                </w:rPr>
                <m:t>TP+FN</m:t>
              </m:r>
            </m:den>
          </m:f>
        </m:oMath>
      </m:oMathPara>
    </w:p>
    <w:p w14:paraId="5E2136CF" w14:textId="0277B487" w:rsidR="008703CC" w:rsidRDefault="008703CC" w:rsidP="00E84A78">
      <w:r>
        <w:t>The F</w:t>
      </w:r>
      <w:r w:rsidRPr="00E84A78">
        <w:rPr>
          <w:vertAlign w:val="subscript"/>
        </w:rPr>
        <w:t>1</w:t>
      </w:r>
      <w:r>
        <w:t xml:space="preserve"> score</w:t>
      </w:r>
      <w:r w:rsidR="003B0DBC">
        <w:t xml:space="preserve"> (</w:t>
      </w:r>
      <m:oMath>
        <m:r>
          <w:rPr>
            <w:rFonts w:ascii="Cambria Math" w:hAnsi="Cambria Math"/>
          </w:rPr>
          <m:t>0≤</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m:t>
        </m:r>
      </m:oMath>
      <w:r w:rsidR="003B0DBC">
        <w:t>)</w:t>
      </w:r>
      <w:r>
        <w:t xml:space="preserve"> is</w:t>
      </w:r>
      <w:r w:rsidR="00E9493A">
        <w:t>:</w:t>
      </w:r>
    </w:p>
    <w:p w14:paraId="58F47235" w14:textId="41CB99BB" w:rsidR="00E9493A" w:rsidRDefault="00D17CE9" w:rsidP="00E84A78">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2∙P∙R</m:t>
              </m:r>
            </m:num>
            <m:den>
              <m:r>
                <w:rPr>
                  <w:rFonts w:ascii="Cambria Math" w:hAnsi="Cambria Math"/>
                </w:rPr>
                <m:t>P+R</m:t>
              </m:r>
            </m:den>
          </m:f>
        </m:oMath>
      </m:oMathPara>
    </w:p>
    <w:p w14:paraId="3C6B258D" w14:textId="759ADDF6" w:rsidR="00444437" w:rsidRDefault="00444437" w:rsidP="00E84A78">
      <w:r>
        <w:t>Note that F</w:t>
      </w:r>
      <w:r w:rsidRPr="00E84A78">
        <w:rPr>
          <w:vertAlign w:val="subscript"/>
        </w:rPr>
        <w:t>1</w:t>
      </w:r>
      <w:r>
        <w:t xml:space="preserve"> scores do not take true negatives into account. This is not a problem for our purposes, since we are concerned with correctly predicting positive cases (i.e. ties in the cooperation network).</w:t>
      </w:r>
    </w:p>
    <w:p w14:paraId="0B64E88C" w14:textId="2C831937" w:rsidR="008703CC" w:rsidRDefault="008703CC" w:rsidP="00E84A78">
      <w:r>
        <w:t>Accuracy is</w:t>
      </w:r>
      <w:r w:rsidR="006B2AEE">
        <w:t xml:space="preserve"> the proportion of correct predictions to all cases:</w:t>
      </w:r>
    </w:p>
    <w:p w14:paraId="0D3F20E5" w14:textId="62E2FD2F" w:rsidR="006B2AEE" w:rsidRDefault="006B2AEE" w:rsidP="00E84A78">
      <m:oMathPara>
        <m:oMath>
          <m:r>
            <w:rPr>
              <w:rFonts w:ascii="Cambria Math" w:hAnsi="Cambria Math"/>
            </w:rPr>
            <m:t>Accuracy=</m:t>
          </m:r>
          <m:f>
            <m:fPr>
              <m:ctrlPr>
                <w:rPr>
                  <w:rFonts w:ascii="Cambria Math" w:hAnsi="Cambria Math"/>
                  <w:i/>
                </w:rPr>
              </m:ctrlPr>
            </m:fPr>
            <m:num>
              <m:r>
                <w:rPr>
                  <w:rFonts w:ascii="Cambria Math" w:hAnsi="Cambria Math"/>
                </w:rPr>
                <m:t>TP+TN</m:t>
              </m:r>
            </m:num>
            <m:den>
              <m:r>
                <w:rPr>
                  <w:rFonts w:ascii="Cambria Math" w:hAnsi="Cambria Math"/>
                </w:rPr>
                <m:t>TP+FP+TN+FN</m:t>
              </m:r>
            </m:den>
          </m:f>
        </m:oMath>
      </m:oMathPara>
    </w:p>
    <w:p w14:paraId="0B81814B" w14:textId="2FE82BB6" w:rsidR="008508AA" w:rsidRPr="00E84A78" w:rsidRDefault="00807389" w:rsidP="00E84A78">
      <w:r>
        <w:t>N</w:t>
      </w:r>
      <w:r w:rsidR="00FB3D52">
        <w:t>ote that assessing models</w:t>
      </w:r>
      <w:r w:rsidR="00FB3D52">
        <w:t>’</w:t>
      </w:r>
      <w:r w:rsidR="00FB3D52">
        <w:t xml:space="preserve"> predictions on the same data used to estimate their parameters runs the risk of selecting an overfit</w:t>
      </w:r>
      <w:r>
        <w:t xml:space="preserve">ted, complex </w:t>
      </w:r>
      <w:r w:rsidR="00FB3D52">
        <w:t xml:space="preserve">model. Despite this, </w:t>
      </w:r>
      <w:r w:rsidR="000C0BEF">
        <w:t>the</w:t>
      </w:r>
      <w:r w:rsidR="00FB3D52">
        <w:t xml:space="preserve"> model selection procedures we used </w:t>
      </w:r>
      <w:r w:rsidR="001040B6">
        <w:t xml:space="preserve">all </w:t>
      </w:r>
      <w:r w:rsidR="00FB3D52">
        <w:t>identified the additive model</w:t>
      </w:r>
      <w:r>
        <w:t>—</w:t>
      </w:r>
      <w:r>
        <w:t>the simplest specification</w:t>
      </w:r>
      <w:r>
        <w:t>—</w:t>
      </w:r>
      <w:r>
        <w:t>as being the best-fitting.</w:t>
      </w:r>
    </w:p>
    <w:p w14:paraId="712C5223" w14:textId="6B8234DE" w:rsidR="004F1D8A" w:rsidRPr="00E84A78" w:rsidRDefault="004F1D8A" w:rsidP="00E84A78">
      <w:pPr>
        <w:pStyle w:val="Heading3"/>
      </w:pPr>
      <w:r w:rsidRPr="00DA11AE">
        <w:rPr>
          <w:noProof/>
        </w:rPr>
        <w:t>Predicting gifts</w:t>
      </w:r>
    </w:p>
    <w:p w14:paraId="7FB44D90" w14:textId="5B6ECF06" w:rsidR="00652CAD" w:rsidRPr="00DA11AE" w:rsidRDefault="004F1D8A" w:rsidP="00652CAD">
      <w:pPr>
        <w:rPr>
          <w:noProof/>
        </w:rPr>
      </w:pPr>
      <w:r>
        <w:rPr>
          <w:noProof/>
        </w:rPr>
        <w:t>The</w:t>
      </w:r>
      <w:r w:rsidR="00652CAD" w:rsidRPr="00DA11AE">
        <w:rPr>
          <w:noProof/>
        </w:rPr>
        <w:t xml:space="preserve"> Bayesian </w:t>
      </w:r>
      <w:r>
        <w:rPr>
          <w:noProof/>
        </w:rPr>
        <w:t xml:space="preserve">Poisson </w:t>
      </w:r>
      <w:r w:rsidR="00652CAD" w:rsidRPr="00DA11AE">
        <w:rPr>
          <w:noProof/>
        </w:rPr>
        <w:t>models were fit using the rstanarm package</w:t>
      </w:r>
      <w:r w:rsidR="008209DF" w:rsidRPr="00DA11AE">
        <w:rPr>
          <w:noProof/>
        </w:rPr>
        <w:fldChar w:fldCharType="begin" w:fldLock="1"/>
      </w:r>
      <w:r w:rsidR="00F139DC">
        <w:rPr>
          <w:noProof/>
        </w:rPr>
        <w:instrText>ADDIN CSL_CITATION { "citationItems" : [ { "id" : "ITEM-1", "itemData" : { "author" : [ { "dropping-particle" : "", "family" : "Stan Development Team", "given" : "", "non-dropping-particle" : "", "parse-names" : false, "suffix" : "" } ], "id" : "ITEM-1", "issued" : { "date-parts" : [ [ "2016" ] ] }, "note" : "R package version 2.13.1", "title" : "rstanarm: {Bayesian} applied regression modeling via {Stan}.", "type" : "article" }, "uris" : [ "http://www.mendeley.com/documents/?uuid=756bd502-41bd-45ea-bc3a-4615c80940f7" ] } ], "mendeley" : { "formattedCitation" : "&lt;sup&gt;15&lt;/sup&gt;", "plainTextFormattedCitation" : "15", "previouslyFormattedCitation" : "&lt;sup&gt;15&lt;/sup&gt;" }, "properties" : {  }, "schema" : "https://github.com/citation-style-language/schema/raw/master/csl-citation.json" }</w:instrText>
      </w:r>
      <w:r w:rsidR="008209DF" w:rsidRPr="00DA11AE">
        <w:rPr>
          <w:noProof/>
        </w:rPr>
        <w:fldChar w:fldCharType="separate"/>
      </w:r>
      <w:r w:rsidR="00F139DC" w:rsidRPr="00F139DC">
        <w:rPr>
          <w:noProof/>
          <w:vertAlign w:val="superscript"/>
        </w:rPr>
        <w:t>15</w:t>
      </w:r>
      <w:r w:rsidR="008209DF" w:rsidRPr="00DA11AE">
        <w:rPr>
          <w:noProof/>
        </w:rPr>
        <w:fldChar w:fldCharType="end"/>
      </w:r>
      <w:r w:rsidR="00652CAD" w:rsidRPr="00DA11AE">
        <w:rPr>
          <w:noProof/>
        </w:rPr>
        <w:t xml:space="preserve">, running </w:t>
      </w:r>
      <w:r w:rsidR="008F1FC7" w:rsidRPr="00DA11AE">
        <w:rPr>
          <w:noProof/>
        </w:rPr>
        <w:t>one chain for 10</w:t>
      </w:r>
      <w:r w:rsidR="00652CAD" w:rsidRPr="00DA11AE">
        <w:rPr>
          <w:noProof/>
        </w:rPr>
        <w:t xml:space="preserve">,000 iterations with a </w:t>
      </w:r>
      <w:r w:rsidR="008209DF" w:rsidRPr="00DA11AE">
        <w:rPr>
          <w:noProof/>
        </w:rPr>
        <w:t xml:space="preserve">discarded </w:t>
      </w:r>
      <w:r w:rsidR="00652CAD" w:rsidRPr="00DA11AE">
        <w:rPr>
          <w:noProof/>
        </w:rPr>
        <w:t xml:space="preserve">warm-up of 2,000 iterations. </w:t>
      </w:r>
      <w:r>
        <w:rPr>
          <w:noProof/>
        </w:rPr>
        <w:t>A univariate m</w:t>
      </w:r>
      <w:r w:rsidR="00A77E08">
        <w:rPr>
          <w:noProof/>
        </w:rPr>
        <w:t>odel</w:t>
      </w:r>
      <w:r w:rsidR="00652CAD" w:rsidRPr="00DA11AE">
        <w:rPr>
          <w:noProof/>
        </w:rPr>
        <w:t xml:space="preserve"> w</w:t>
      </w:r>
      <w:r>
        <w:rPr>
          <w:noProof/>
        </w:rPr>
        <w:t>as</w:t>
      </w:r>
      <w:r w:rsidR="00652CAD" w:rsidRPr="00DA11AE">
        <w:rPr>
          <w:noProof/>
        </w:rPr>
        <w:t xml:space="preserve"> compared to intercept-only and negative binomial specifications</w:t>
      </w:r>
      <w:r w:rsidR="00912843" w:rsidRPr="00DA11AE">
        <w:rPr>
          <w:noProof/>
        </w:rPr>
        <w:t xml:space="preserve"> </w:t>
      </w:r>
      <w:r w:rsidR="00652CAD" w:rsidRPr="00DA11AE">
        <w:rPr>
          <w:noProof/>
        </w:rPr>
        <w:t>using approximate leave-one-out cross-validation, as implemented in R</w:t>
      </w:r>
      <w:r w:rsidR="00652CAD" w:rsidRPr="00DA11AE">
        <w:rPr>
          <w:noProof/>
        </w:rPr>
        <w:t>’</w:t>
      </w:r>
      <w:r w:rsidR="00652CAD" w:rsidRPr="00DA11AE">
        <w:rPr>
          <w:noProof/>
        </w:rPr>
        <w:t xml:space="preserve">s </w:t>
      </w:r>
      <w:r w:rsidR="00652CAD" w:rsidRPr="00DA11AE">
        <w:rPr>
          <w:noProof/>
        </w:rPr>
        <w:t>‘</w:t>
      </w:r>
      <w:r w:rsidR="00652CAD" w:rsidRPr="00DA11AE">
        <w:rPr>
          <w:noProof/>
        </w:rPr>
        <w:t>loo</w:t>
      </w:r>
      <w:r w:rsidR="00652CAD" w:rsidRPr="00DA11AE">
        <w:rPr>
          <w:noProof/>
        </w:rPr>
        <w:t>’</w:t>
      </w:r>
      <w:r w:rsidR="00652CAD" w:rsidRPr="00DA11AE">
        <w:rPr>
          <w:noProof/>
        </w:rPr>
        <w:t xml:space="preserve"> package</w:t>
      </w:r>
      <w:r w:rsidR="00652CAD" w:rsidRPr="00DA11AE">
        <w:rPr>
          <w:noProof/>
        </w:rPr>
        <w:fldChar w:fldCharType="begin" w:fldLock="1"/>
      </w:r>
      <w:r w:rsidR="00F139DC">
        <w:rPr>
          <w:noProof/>
        </w:rPr>
        <w:instrText>ADDIN CSL_CITATION { "citationItems" : [ { "id" : "ITEM-1", "itemData" : { "DOI" : "10.1007/s11222-016-9696-4", "ISSN" : "15731375", "abstract" : "Leave-one-out cross-validation (LOO) and the widely applicable information criterion (WAIC) are methods for estimating pointwise out-of-sample prediction accuracy from a fitted Bayesian model using the log-likelihood evaluated at the posterior simulations of the parameter values. LOO and WAIC have various advantages over simpler estimates of predictive error such as AIC and DIC but are less used in practice because they involve additional computational steps. Here we lay out fast and stable computations for LOO and WAIC that can be performed using existing simulation draws. We introduce an efficient computation of LOO using Pareto-smoothed importance sampling (PSIS), a new procedure for regularizing importance weights. Although WAIC is asymptotically equal to LOO, we demonstrate that PSIS-LOO is more robust in the finite case with weak priors or influential observations. As a byproduct of our calculations, we also obtain approximate standard errors for estimated predictive errors and for comparing of predictive errors between two models. We implement the computations in an R package called 'loo' and demonstrate using models fit with the Bayesian inference package Stan.", "author" : [ { "dropping-particle" : "", "family" : "Vehtari", "given" : "Aki", "non-dropping-particle" : "", "parse-names" : false, "suffix" : "" }, { "dropping-particle" : "", "family" : "Gelman", "given" : "Andrew", "non-dropping-particle" : "", "parse-names" : false, "suffix" : "" }, { "dropping-particle" : "", "family" : "Gabry", "given" : "Jonah", "non-dropping-particle" : "", "parse-names" : false, "suffix" : "" } ], "container-title" : "Statistics and Computing", "id" : "ITEM-1", "issued" : { "date-parts" : [ [ "2016" ] ] }, "page" : "1-20", "publisher" : "Springer US", "title" : "Practical Bayesian model evaluation using leave-one-out cross-validation and WAIC", "type" : "article-journal" }, "uris" : [ "http://www.mendeley.com/documents/?uuid=9985bf9c-bf6d-477c-b0df-8d0b337f21fd" ] } ], "mendeley" : { "formattedCitation" : "&lt;sup&gt;16&lt;/sup&gt;", "plainTextFormattedCitation" : "16", "previouslyFormattedCitation" : "&lt;sup&gt;16&lt;/sup&gt;" }, "properties" : {  }, "schema" : "https://github.com/citation-style-language/schema/raw/master/csl-citation.json" }</w:instrText>
      </w:r>
      <w:r w:rsidR="00652CAD" w:rsidRPr="00DA11AE">
        <w:rPr>
          <w:noProof/>
        </w:rPr>
        <w:fldChar w:fldCharType="separate"/>
      </w:r>
      <w:r w:rsidR="00F139DC" w:rsidRPr="00F139DC">
        <w:rPr>
          <w:noProof/>
          <w:vertAlign w:val="superscript"/>
        </w:rPr>
        <w:t>16</w:t>
      </w:r>
      <w:r w:rsidR="00652CAD" w:rsidRPr="00DA11AE">
        <w:rPr>
          <w:noProof/>
        </w:rPr>
        <w:fldChar w:fldCharType="end"/>
      </w:r>
      <w:r w:rsidR="00652CAD" w:rsidRPr="00DA11AE">
        <w:rPr>
          <w:noProof/>
        </w:rPr>
        <w:t>.</w:t>
      </w:r>
    </w:p>
    <w:p w14:paraId="4310826D" w14:textId="3CDC754B" w:rsidR="0025043E" w:rsidRPr="00DA11AE" w:rsidRDefault="0025043E" w:rsidP="0025043E">
      <w:pPr>
        <w:rPr>
          <w:noProof/>
        </w:rPr>
      </w:pPr>
      <w:r w:rsidRPr="00DA11AE">
        <w:rPr>
          <w:noProof/>
        </w:rPr>
        <w:t>The model predicting gifts was specified as:</w:t>
      </w:r>
    </w:p>
    <w:p w14:paraId="6B6865D6" w14:textId="77777777" w:rsidR="0025043E" w:rsidRPr="00DA11AE" w:rsidRDefault="00D17CE9" w:rsidP="0025043E">
      <w:pPr>
        <w:rPr>
          <w:rFonts w:eastAsiaTheme="minorEastAsia"/>
          <w:noProof/>
        </w:rPr>
      </w:pPr>
      <m:oMathPara>
        <m:oMath>
          <m:sSub>
            <m:sSubPr>
              <m:ctrlPr>
                <w:rPr>
                  <w:rFonts w:ascii="Cambria Math" w:hAnsi="Cambria Math"/>
                  <w:i/>
                  <w:noProof/>
                </w:rPr>
              </m:ctrlPr>
            </m:sSubPr>
            <m:e>
              <m:r>
                <w:rPr>
                  <w:rFonts w:ascii="Cambria Math" w:hAnsi="Cambria Math"/>
                  <w:noProof/>
                </w:rPr>
                <m:t>y</m:t>
              </m:r>
            </m:e>
            <m:sub>
              <m:r>
                <w:rPr>
                  <w:rFonts w:ascii="Cambria Math" w:hAnsi="Cambria Math"/>
                  <w:noProof/>
                </w:rPr>
                <m:t>i</m:t>
              </m:r>
            </m:sub>
          </m:sSub>
          <m:r>
            <m:rPr>
              <m:aln/>
            </m:rPr>
            <w:rPr>
              <w:rFonts w:ascii="Cambria Math" w:hAnsi="Cambria Math"/>
              <w:noProof/>
            </w:rPr>
            <m:t>∼</m:t>
          </m:r>
          <m:r>
            <m:rPr>
              <m:nor/>
            </m:rPr>
            <w:rPr>
              <w:rFonts w:ascii="Cambria Math" w:hAnsi="Cambria Math"/>
              <w:noProof/>
            </w:rPr>
            <m:t>Poisson</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λ</m:t>
                  </m:r>
                </m:e>
                <m:sub>
                  <m:r>
                    <w:rPr>
                      <w:rFonts w:ascii="Cambria Math" w:hAnsi="Cambria Math"/>
                      <w:noProof/>
                    </w:rPr>
                    <m:t>i</m:t>
                  </m:r>
                </m:sub>
              </m:sSub>
            </m:e>
          </m:d>
          <m:r>
            <m:rPr>
              <m:sty m:val="p"/>
            </m:rPr>
            <w:rPr>
              <w:rFonts w:eastAsiaTheme="minorEastAsia"/>
              <w:noProof/>
            </w:rPr>
            <w:br/>
          </m:r>
        </m:oMath>
        <m:oMath>
          <m:func>
            <m:funcPr>
              <m:ctrlPr>
                <w:rPr>
                  <w:rFonts w:ascii="Cambria Math" w:eastAsiaTheme="minorEastAsia" w:hAnsi="Cambria Math"/>
                  <w:i/>
                  <w:noProof/>
                </w:rPr>
              </m:ctrlPr>
            </m:funcPr>
            <m:fName>
              <m:r>
                <m:rPr>
                  <m:sty m:val="p"/>
                </m:rPr>
                <w:rPr>
                  <w:rFonts w:ascii="Cambria Math" w:hAnsi="Cambria Math"/>
                  <w:noProof/>
                </w:rPr>
                <m:t>log</m:t>
              </m:r>
            </m:fName>
            <m:e>
              <m:d>
                <m:dPr>
                  <m:ctrlPr>
                    <w:rPr>
                      <w:rFonts w:ascii="Cambria Math" w:eastAsiaTheme="minorEastAsia" w:hAnsi="Cambria Math"/>
                      <w:i/>
                      <w:noProof/>
                    </w:rPr>
                  </m:ctrlPr>
                </m:dPr>
                <m:e>
                  <m:sSub>
                    <m:sSubPr>
                      <m:ctrlPr>
                        <w:rPr>
                          <w:rFonts w:ascii="Cambria Math" w:eastAsiaTheme="minorEastAsia" w:hAnsi="Cambria Math"/>
                          <w:i/>
                          <w:noProof/>
                        </w:rPr>
                      </m:ctrlPr>
                    </m:sSubPr>
                    <m:e>
                      <m:r>
                        <w:rPr>
                          <w:rFonts w:ascii="Cambria Math" w:eastAsiaTheme="minorEastAsia" w:hAnsi="Cambria Math"/>
                          <w:noProof/>
                        </w:rPr>
                        <m:t>λ</m:t>
                      </m:r>
                    </m:e>
                    <m:sub>
                      <m:r>
                        <w:rPr>
                          <w:rFonts w:ascii="Cambria Math" w:eastAsiaTheme="minorEastAsia" w:hAnsi="Cambria Math"/>
                          <w:noProof/>
                        </w:rPr>
                        <m:t>i</m:t>
                      </m:r>
                    </m:sub>
                  </m:sSub>
                </m:e>
              </m:d>
            </m:e>
          </m:func>
          <m:r>
            <m:rPr>
              <m:aln/>
            </m:rPr>
            <w:rPr>
              <w:rFonts w:ascii="Cambria Math" w:eastAsiaTheme="minorEastAsia" w:hAnsi="Cambria Math"/>
              <w:noProof/>
            </w:rPr>
            <m:t>=α+β</m:t>
          </m:r>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i</m:t>
              </m:r>
            </m:sub>
          </m:sSub>
          <m:r>
            <m:rPr>
              <m:sty m:val="p"/>
            </m:rPr>
            <w:rPr>
              <w:rFonts w:eastAsiaTheme="minorEastAsia"/>
              <w:noProof/>
            </w:rPr>
            <w:br/>
          </m:r>
        </m:oMath>
        <m:oMath>
          <m:r>
            <w:rPr>
              <w:rFonts w:ascii="Cambria Math" w:hAnsi="Cambria Math"/>
              <w:noProof/>
            </w:rPr>
            <m:t>α</m:t>
          </m:r>
          <m:r>
            <m:rPr>
              <m:aln/>
            </m:rPr>
            <w:rPr>
              <w:rFonts w:ascii="Cambria Math" w:hAnsi="Cambria Math"/>
              <w:noProof/>
            </w:rPr>
            <m:t>∼</m:t>
          </m:r>
          <m:r>
            <m:rPr>
              <m:nor/>
            </m:rPr>
            <w:rPr>
              <w:rFonts w:ascii="Cambria Math" w:hAnsi="Cambria Math"/>
              <w:noProof/>
            </w:rPr>
            <m:t>Normal</m:t>
          </m:r>
          <m:d>
            <m:dPr>
              <m:ctrlPr>
                <w:rPr>
                  <w:rFonts w:ascii="Cambria Math" w:hAnsi="Cambria Math"/>
                  <w:i/>
                  <w:noProof/>
                </w:rPr>
              </m:ctrlPr>
            </m:dPr>
            <m:e>
              <m:r>
                <w:rPr>
                  <w:rFonts w:ascii="Cambria Math" w:hAnsi="Cambria Math"/>
                  <w:noProof/>
                </w:rPr>
                <m:t>0, 20</m:t>
              </m:r>
            </m:e>
          </m:d>
          <m:r>
            <m:rPr>
              <m:sty m:val="p"/>
            </m:rPr>
            <w:rPr>
              <w:rFonts w:eastAsiaTheme="minorEastAsia"/>
              <w:noProof/>
            </w:rPr>
            <w:br/>
          </m:r>
        </m:oMath>
        <m:oMath>
          <m:r>
            <w:rPr>
              <w:rFonts w:ascii="Cambria Math" w:hAnsi="Cambria Math"/>
              <w:noProof/>
            </w:rPr>
            <m:t>β</m:t>
          </m:r>
          <m:r>
            <m:rPr>
              <m:aln/>
            </m:rPr>
            <w:rPr>
              <w:rFonts w:ascii="Cambria Math" w:hAnsi="Cambria Math"/>
              <w:noProof/>
            </w:rPr>
            <m:t>∼</m:t>
          </m:r>
          <m:r>
            <m:rPr>
              <m:nor/>
            </m:rPr>
            <w:rPr>
              <w:rFonts w:ascii="Cambria Math" w:hAnsi="Cambria Math"/>
              <w:noProof/>
            </w:rPr>
            <m:t>Normal</m:t>
          </m:r>
          <m:d>
            <m:dPr>
              <m:ctrlPr>
                <w:rPr>
                  <w:rFonts w:ascii="Cambria Math" w:hAnsi="Cambria Math"/>
                  <w:i/>
                  <w:noProof/>
                </w:rPr>
              </m:ctrlPr>
            </m:dPr>
            <m:e>
              <m:r>
                <w:rPr>
                  <w:rFonts w:ascii="Cambria Math" w:hAnsi="Cambria Math"/>
                  <w:noProof/>
                </w:rPr>
                <m:t>0, 5</m:t>
              </m:r>
            </m:e>
          </m:d>
        </m:oMath>
      </m:oMathPara>
    </w:p>
    <w:p w14:paraId="1F17C592" w14:textId="6BABEAE2" w:rsidR="0025043E" w:rsidRPr="00DA11AE" w:rsidRDefault="0025043E" w:rsidP="0025043E">
      <w:pPr>
        <w:rPr>
          <w:rFonts w:eastAsiaTheme="minorEastAsia"/>
          <w:noProof/>
        </w:rPr>
      </w:pPr>
      <w:r w:rsidRPr="00DA11AE">
        <w:rPr>
          <w:rFonts w:eastAsiaTheme="minorEastAsia"/>
          <w:noProof/>
        </w:rPr>
        <w:t xml:space="preserve">Where </w:t>
      </w:r>
      <m:oMath>
        <m:sSub>
          <m:sSubPr>
            <m:ctrlPr>
              <w:rPr>
                <w:rFonts w:ascii="Cambria Math" w:eastAsiaTheme="minorEastAsia" w:hAnsi="Cambria Math"/>
                <w:b/>
                <w:i/>
                <w:noProof/>
              </w:rPr>
            </m:ctrlPr>
          </m:sSubPr>
          <m:e>
            <m:r>
              <m:rPr>
                <m:sty m:val="bi"/>
              </m:rPr>
              <w:rPr>
                <w:rFonts w:ascii="Cambria Math" w:eastAsiaTheme="minorEastAsia" w:hAnsi="Cambria Math"/>
                <w:noProof/>
              </w:rPr>
              <m:t>y</m:t>
            </m:r>
          </m:e>
          <m:sub>
            <m:r>
              <m:rPr>
                <m:sty m:val="bi"/>
              </m:rPr>
              <w:rPr>
                <w:rFonts w:ascii="Cambria Math" w:eastAsiaTheme="minorEastAsia" w:hAnsi="Cambria Math"/>
                <w:noProof/>
              </w:rPr>
              <m:t>i</m:t>
            </m:r>
          </m:sub>
        </m:sSub>
      </m:oMath>
      <w:r w:rsidRPr="00DA11AE">
        <w:rPr>
          <w:rFonts w:eastAsiaTheme="minorEastAsia"/>
          <w:b/>
          <w:noProof/>
        </w:rPr>
        <w:t xml:space="preserve"> </w:t>
      </w:r>
      <w:r w:rsidRPr="00DA11AE">
        <w:rPr>
          <w:rFonts w:eastAsiaTheme="minorEastAsia"/>
          <w:noProof/>
        </w:rPr>
        <w:t xml:space="preserve">is the number of gifts received by person </w:t>
      </w:r>
      <w:r w:rsidRPr="00DA11AE">
        <w:rPr>
          <w:rFonts w:eastAsiaTheme="minorEastAsia"/>
          <w:b/>
          <w:i/>
          <w:noProof/>
        </w:rPr>
        <w:t>i</w:t>
      </w:r>
      <w:r w:rsidRPr="00DA11AE">
        <w:rPr>
          <w:rFonts w:eastAsiaTheme="minorEastAsia"/>
          <w:noProof/>
        </w:rPr>
        <w:t xml:space="preserve"> and </w:t>
      </w:r>
      <m:oMath>
        <m:sSub>
          <m:sSubPr>
            <m:ctrlPr>
              <w:rPr>
                <w:rFonts w:ascii="Cambria Math" w:eastAsiaTheme="minorEastAsia" w:hAnsi="Cambria Math"/>
                <w:b/>
                <w:i/>
                <w:noProof/>
              </w:rPr>
            </m:ctrlPr>
          </m:sSubPr>
          <m:e>
            <m:r>
              <m:rPr>
                <m:sty m:val="bi"/>
              </m:rPr>
              <w:rPr>
                <w:rFonts w:ascii="Cambria Math" w:eastAsiaTheme="minorEastAsia" w:hAnsi="Cambria Math"/>
                <w:noProof/>
              </w:rPr>
              <m:t>x</m:t>
            </m:r>
          </m:e>
          <m:sub>
            <m:r>
              <m:rPr>
                <m:sty m:val="bi"/>
              </m:rPr>
              <w:rPr>
                <w:rFonts w:ascii="Cambria Math" w:eastAsiaTheme="minorEastAsia" w:hAnsi="Cambria Math"/>
                <w:noProof/>
              </w:rPr>
              <m:t>i</m:t>
            </m:r>
          </m:sub>
        </m:sSub>
      </m:oMath>
      <w:r w:rsidRPr="00DA11AE">
        <w:rPr>
          <w:rFonts w:eastAsiaTheme="minorEastAsia"/>
          <w:noProof/>
        </w:rPr>
        <w:t xml:space="preserve"> is the number of times </w:t>
      </w:r>
      <w:r w:rsidR="00BE6179" w:rsidRPr="00DA11AE">
        <w:rPr>
          <w:rFonts w:eastAsiaTheme="minorEastAsia"/>
          <w:noProof/>
        </w:rPr>
        <w:t xml:space="preserve">they were </w:t>
      </w:r>
      <w:r w:rsidRPr="00DA11AE">
        <w:rPr>
          <w:rFonts w:eastAsiaTheme="minorEastAsia"/>
          <w:noProof/>
        </w:rPr>
        <w:t>named in other people</w:t>
      </w:r>
      <w:r w:rsidRPr="00DA11AE">
        <w:rPr>
          <w:rFonts w:eastAsiaTheme="minorEastAsia"/>
          <w:noProof/>
        </w:rPr>
        <w:t>’</w:t>
      </w:r>
      <w:r w:rsidRPr="00DA11AE">
        <w:rPr>
          <w:rFonts w:eastAsiaTheme="minorEastAsia"/>
          <w:noProof/>
        </w:rPr>
        <w:t>s cooperation networks.</w:t>
      </w:r>
    </w:p>
    <w:p w14:paraId="401C2EE2" w14:textId="77777777" w:rsidR="004F1D8A" w:rsidRDefault="004F1D8A">
      <w:pPr>
        <w:rPr>
          <w:rFonts w:asciiTheme="majorHAnsi" w:eastAsiaTheme="majorEastAsia" w:hAnsiTheme="majorHAnsi" w:cstheme="majorBidi"/>
          <w:noProof/>
          <w:sz w:val="26"/>
          <w:szCs w:val="26"/>
        </w:rPr>
      </w:pPr>
      <w:r>
        <w:rPr>
          <w:noProof/>
        </w:rPr>
        <w:br w:type="page"/>
      </w:r>
    </w:p>
    <w:p w14:paraId="7E4E7561" w14:textId="61D7B29A" w:rsidR="008F1D38" w:rsidRPr="00DA11AE" w:rsidRDefault="000C32C7" w:rsidP="000C32C7">
      <w:pPr>
        <w:pStyle w:val="Heading2"/>
        <w:rPr>
          <w:noProof/>
        </w:rPr>
      </w:pPr>
      <w:r w:rsidRPr="00DA11AE">
        <w:rPr>
          <w:noProof/>
        </w:rPr>
        <w:lastRenderedPageBreak/>
        <w:t xml:space="preserve">Supplementary </w:t>
      </w:r>
      <w:r w:rsidR="00D373B4" w:rsidRPr="00DA11AE">
        <w:rPr>
          <w:noProof/>
        </w:rPr>
        <w:t>figures</w:t>
      </w:r>
    </w:p>
    <w:p w14:paraId="22FA141C" w14:textId="77777777" w:rsidR="00E438A0" w:rsidRPr="00DA11AE" w:rsidRDefault="00E438A0" w:rsidP="00E438A0">
      <w:pPr>
        <w:keepNext/>
        <w:jc w:val="center"/>
        <w:rPr>
          <w:noProof/>
        </w:rPr>
      </w:pPr>
      <w:r w:rsidRPr="00DA11AE">
        <w:rPr>
          <w:noProof/>
          <w:lang w:val="nb-NO" w:eastAsia="nb-NO"/>
        </w:rPr>
        <w:drawing>
          <wp:inline distT="0" distB="0" distL="0" distR="0" wp14:anchorId="107AD457" wp14:editId="44075757">
            <wp:extent cx="3657665" cy="2439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mas\AppData\Local\Microsoft\Windows\INetCache\Content.Word\distribution of gift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57665" cy="2439131"/>
                    </a:xfrm>
                    <a:prstGeom prst="rect">
                      <a:avLst/>
                    </a:prstGeom>
                    <a:noFill/>
                    <a:ln>
                      <a:noFill/>
                    </a:ln>
                  </pic:spPr>
                </pic:pic>
              </a:graphicData>
            </a:graphic>
          </wp:inline>
        </w:drawing>
      </w:r>
    </w:p>
    <w:p w14:paraId="6EE23209" w14:textId="0D2BC0A5" w:rsidR="00E438A0" w:rsidRPr="00DA11AE" w:rsidRDefault="00E438A0" w:rsidP="00E438A0">
      <w:pPr>
        <w:pStyle w:val="Caption"/>
        <w:rPr>
          <w:noProof/>
          <w:lang w:val="en-GB"/>
        </w:rPr>
      </w:pPr>
      <w:r w:rsidRPr="00DA11AE">
        <w:rPr>
          <w:noProof/>
          <w:lang w:val="en-GB"/>
        </w:rPr>
        <w:t>Figure S</w:t>
      </w:r>
      <w:r w:rsidRPr="00DA11AE">
        <w:rPr>
          <w:noProof/>
          <w:lang w:val="en-GB"/>
        </w:rPr>
        <w:fldChar w:fldCharType="begin"/>
      </w:r>
      <w:r w:rsidRPr="00DA11AE">
        <w:rPr>
          <w:noProof/>
          <w:lang w:val="en-GB"/>
        </w:rPr>
        <w:instrText xml:space="preserve"> SEQ Figure \* ARABIC </w:instrText>
      </w:r>
      <w:r w:rsidRPr="00DA11AE">
        <w:rPr>
          <w:noProof/>
          <w:lang w:val="en-GB"/>
        </w:rPr>
        <w:fldChar w:fldCharType="separate"/>
      </w:r>
      <w:r w:rsidR="00953ED4">
        <w:rPr>
          <w:noProof/>
          <w:lang w:val="en-GB"/>
        </w:rPr>
        <w:t>2</w:t>
      </w:r>
      <w:r w:rsidRPr="00DA11AE">
        <w:rPr>
          <w:noProof/>
          <w:lang w:val="en-GB"/>
        </w:rPr>
        <w:fldChar w:fldCharType="end"/>
      </w:r>
      <w:r w:rsidRPr="00DA11AE">
        <w:rPr>
          <w:noProof/>
          <w:lang w:val="en-GB"/>
        </w:rPr>
        <w:t xml:space="preserve">: Distribution of gifts in the economic game, in terms of amounts given </w:t>
      </w:r>
      <w:r w:rsidR="00166612" w:rsidRPr="00DA11AE">
        <w:rPr>
          <w:noProof/>
          <w:lang w:val="en-GB"/>
        </w:rPr>
        <w:t>by each participant</w:t>
      </w:r>
      <w:r w:rsidRPr="00DA11AE">
        <w:rPr>
          <w:noProof/>
          <w:lang w:val="en-GB"/>
        </w:rPr>
        <w:t>.</w:t>
      </w:r>
    </w:p>
    <w:p w14:paraId="635F57B3" w14:textId="5BB45786" w:rsidR="0044258F" w:rsidRPr="00DA11AE" w:rsidRDefault="0044258F" w:rsidP="0044258F">
      <w:pPr>
        <w:rPr>
          <w:noProof/>
          <w:lang w:eastAsia="en-US"/>
        </w:rPr>
      </w:pPr>
    </w:p>
    <w:p w14:paraId="308EA64B" w14:textId="77777777" w:rsidR="0044258F" w:rsidRPr="00DA11AE" w:rsidRDefault="0044258F" w:rsidP="0044258F">
      <w:pPr>
        <w:rPr>
          <w:noProof/>
          <w:lang w:eastAsia="en-US"/>
        </w:rPr>
      </w:pPr>
    </w:p>
    <w:p w14:paraId="3692634E" w14:textId="77777777" w:rsidR="00F200FC" w:rsidRPr="00DA11AE" w:rsidRDefault="00F200FC" w:rsidP="00F200FC">
      <w:pPr>
        <w:keepNext/>
        <w:jc w:val="center"/>
        <w:rPr>
          <w:noProof/>
        </w:rPr>
      </w:pPr>
      <w:r w:rsidRPr="00DA11AE">
        <w:rPr>
          <w:noProof/>
          <w:lang w:val="nb-NO" w:eastAsia="nb-NO"/>
        </w:rPr>
        <w:drawing>
          <wp:inline distT="0" distB="0" distL="0" distR="0" wp14:anchorId="5EBA4174" wp14:editId="1E80A526">
            <wp:extent cx="4730750" cy="236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mas\AppData\Local\Microsoft\Windows\INetCache\Content.Word\social relations model - reciprocity and vpc.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30750" cy="2365375"/>
                    </a:xfrm>
                    <a:prstGeom prst="rect">
                      <a:avLst/>
                    </a:prstGeom>
                    <a:noFill/>
                    <a:ln>
                      <a:noFill/>
                    </a:ln>
                  </pic:spPr>
                </pic:pic>
              </a:graphicData>
            </a:graphic>
          </wp:inline>
        </w:drawing>
      </w:r>
    </w:p>
    <w:p w14:paraId="4A082C25" w14:textId="7F4CDBF5" w:rsidR="00F200FC" w:rsidRPr="00DA11AE" w:rsidRDefault="00F200FC" w:rsidP="00F200FC">
      <w:pPr>
        <w:pStyle w:val="Caption"/>
        <w:rPr>
          <w:noProof/>
          <w:lang w:val="en-GB"/>
        </w:rPr>
      </w:pPr>
      <w:bookmarkStart w:id="2" w:name="_Ref478989567"/>
      <w:r w:rsidRPr="00DA11AE">
        <w:rPr>
          <w:noProof/>
          <w:lang w:val="en-GB"/>
        </w:rPr>
        <w:t>Figure S</w:t>
      </w:r>
      <w:r w:rsidRPr="00DA11AE">
        <w:rPr>
          <w:noProof/>
          <w:lang w:val="en-GB"/>
        </w:rPr>
        <w:fldChar w:fldCharType="begin"/>
      </w:r>
      <w:r w:rsidRPr="00DA11AE">
        <w:rPr>
          <w:noProof/>
          <w:lang w:val="en-GB"/>
        </w:rPr>
        <w:instrText xml:space="preserve"> SEQ Figure \* ARABIC </w:instrText>
      </w:r>
      <w:r w:rsidRPr="00DA11AE">
        <w:rPr>
          <w:noProof/>
          <w:lang w:val="en-GB"/>
        </w:rPr>
        <w:fldChar w:fldCharType="separate"/>
      </w:r>
      <w:r w:rsidR="00953ED4">
        <w:rPr>
          <w:noProof/>
          <w:lang w:val="en-GB"/>
        </w:rPr>
        <w:t>3</w:t>
      </w:r>
      <w:r w:rsidRPr="00DA11AE">
        <w:rPr>
          <w:noProof/>
          <w:lang w:val="en-GB"/>
        </w:rPr>
        <w:fldChar w:fldCharType="end"/>
      </w:r>
      <w:bookmarkEnd w:id="2"/>
      <w:r w:rsidRPr="00DA11AE">
        <w:rPr>
          <w:noProof/>
          <w:lang w:val="en-GB"/>
        </w:rPr>
        <w:t>: Reciprocity correlations (</w:t>
      </w:r>
      <w:r w:rsidRPr="00E84A78">
        <w:rPr>
          <w:b/>
          <w:noProof/>
          <w:lang w:val="en-GB"/>
        </w:rPr>
        <w:t>a</w:t>
      </w:r>
      <w:r w:rsidRPr="00DA11AE">
        <w:rPr>
          <w:noProof/>
          <w:lang w:val="en-GB"/>
        </w:rPr>
        <w:t>) and variance partition coefficients (</w:t>
      </w:r>
      <w:r w:rsidRPr="00E84A78">
        <w:rPr>
          <w:b/>
          <w:noProof/>
          <w:lang w:val="en-GB"/>
        </w:rPr>
        <w:t>b</w:t>
      </w:r>
      <w:r w:rsidRPr="00DA11AE">
        <w:rPr>
          <w:noProof/>
          <w:lang w:val="en-GB"/>
        </w:rPr>
        <w:t>) from the best-fitting social relations model. See Methods for how these values were calculated. Dots in (</w:t>
      </w:r>
      <w:r w:rsidRPr="00E84A78">
        <w:rPr>
          <w:b/>
          <w:noProof/>
          <w:lang w:val="en-GB"/>
        </w:rPr>
        <w:t>a</w:t>
      </w:r>
      <w:r w:rsidRPr="00DA11AE">
        <w:rPr>
          <w:noProof/>
          <w:lang w:val="en-GB"/>
        </w:rPr>
        <w:t>) show median values from the posterior distributions; thick lines are 80% credible intervals, and thin lines are 95% credible intervals. Lines within the violins in (</w:t>
      </w:r>
      <w:r w:rsidRPr="00E84A78">
        <w:rPr>
          <w:b/>
          <w:noProof/>
          <w:lang w:val="en-GB"/>
        </w:rPr>
        <w:t>b</w:t>
      </w:r>
      <w:r w:rsidRPr="00DA11AE">
        <w:rPr>
          <w:noProof/>
          <w:lang w:val="en-GB"/>
        </w:rPr>
        <w:t>) represent medians and 95% credible intervals.</w:t>
      </w:r>
    </w:p>
    <w:p w14:paraId="76A6887D" w14:textId="475034B7" w:rsidR="009E3EF1" w:rsidRPr="00DA11AE" w:rsidRDefault="00733A05" w:rsidP="009E3EF1">
      <w:pPr>
        <w:keepNext/>
        <w:jc w:val="center"/>
        <w:rPr>
          <w:noProof/>
        </w:rPr>
      </w:pPr>
      <w:r w:rsidRPr="00DA11AE">
        <w:rPr>
          <w:noProof/>
          <w:lang w:val="nb-NO" w:eastAsia="nb-NO"/>
        </w:rPr>
        <w:lastRenderedPageBreak/>
        <w:drawing>
          <wp:inline distT="0" distB="0" distL="0" distR="0" wp14:anchorId="343E8D81" wp14:editId="415E9FF0">
            <wp:extent cx="5059856" cy="2529927"/>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thomas\AppData\Local\Microsoft\Windows\INetCache\Content.Word\degree distribution - cooperation network.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9856" cy="2529927"/>
                    </a:xfrm>
                    <a:prstGeom prst="rect">
                      <a:avLst/>
                    </a:prstGeom>
                    <a:noFill/>
                    <a:ln>
                      <a:noFill/>
                    </a:ln>
                  </pic:spPr>
                </pic:pic>
              </a:graphicData>
            </a:graphic>
          </wp:inline>
        </w:drawing>
      </w:r>
    </w:p>
    <w:p w14:paraId="6DCF221D" w14:textId="79A7E612" w:rsidR="000C32C7" w:rsidRPr="00DA11AE" w:rsidRDefault="009E3EF1" w:rsidP="00F177A0">
      <w:pPr>
        <w:pStyle w:val="Caption"/>
        <w:rPr>
          <w:noProof/>
          <w:lang w:val="en-GB"/>
        </w:rPr>
      </w:pPr>
      <w:r w:rsidRPr="00DA11AE">
        <w:rPr>
          <w:noProof/>
          <w:lang w:val="en-GB"/>
        </w:rPr>
        <w:t xml:space="preserve">Figure </w:t>
      </w:r>
      <w:r w:rsidR="00B006E0" w:rsidRPr="00DA11AE">
        <w:rPr>
          <w:noProof/>
          <w:lang w:val="en-GB"/>
        </w:rPr>
        <w:t>S</w:t>
      </w:r>
      <w:r w:rsidRPr="00DA11AE">
        <w:rPr>
          <w:noProof/>
          <w:lang w:val="en-GB"/>
        </w:rPr>
        <w:fldChar w:fldCharType="begin"/>
      </w:r>
      <w:r w:rsidRPr="00DA11AE">
        <w:rPr>
          <w:noProof/>
          <w:lang w:val="en-GB"/>
        </w:rPr>
        <w:instrText xml:space="preserve"> SEQ Figure \* ARABIC </w:instrText>
      </w:r>
      <w:r w:rsidRPr="00DA11AE">
        <w:rPr>
          <w:noProof/>
          <w:lang w:val="en-GB"/>
        </w:rPr>
        <w:fldChar w:fldCharType="separate"/>
      </w:r>
      <w:r w:rsidR="00953ED4">
        <w:rPr>
          <w:noProof/>
          <w:lang w:val="en-GB"/>
        </w:rPr>
        <w:t>4</w:t>
      </w:r>
      <w:r w:rsidRPr="00DA11AE">
        <w:rPr>
          <w:noProof/>
          <w:lang w:val="en-GB"/>
        </w:rPr>
        <w:fldChar w:fldCharType="end"/>
      </w:r>
      <w:r w:rsidRPr="00DA11AE">
        <w:rPr>
          <w:noProof/>
          <w:lang w:val="en-GB"/>
        </w:rPr>
        <w:t xml:space="preserve">: Distributions of </w:t>
      </w:r>
      <w:r w:rsidR="00485299" w:rsidRPr="00DA11AE">
        <w:rPr>
          <w:noProof/>
          <w:lang w:val="en-GB"/>
        </w:rPr>
        <w:t>number of ties (out-degree) in the cooperation network, as reported by (a) participants themselves and (b) other participants.</w:t>
      </w:r>
    </w:p>
    <w:p w14:paraId="4E1F8D50" w14:textId="2B7D2123" w:rsidR="0044258F" w:rsidRPr="00DA11AE" w:rsidRDefault="0044258F" w:rsidP="0044258F">
      <w:pPr>
        <w:rPr>
          <w:noProof/>
          <w:lang w:eastAsia="en-US"/>
        </w:rPr>
      </w:pPr>
    </w:p>
    <w:p w14:paraId="6A2A7050" w14:textId="77777777" w:rsidR="009B1F78" w:rsidRDefault="00893158" w:rsidP="00E84A78">
      <w:pPr>
        <w:keepNext/>
        <w:jc w:val="center"/>
      </w:pPr>
      <w:r>
        <w:rPr>
          <w:noProof/>
          <w:lang w:val="nb-NO" w:eastAsia="nb-NO"/>
        </w:rPr>
        <w:drawing>
          <wp:inline distT="0" distB="0" distL="0" distR="0" wp14:anchorId="6113FB1B" wp14:editId="51F8DF50">
            <wp:extent cx="4756245" cy="2378123"/>
            <wp:effectExtent l="0" t="0" r="6350" b="3175"/>
            <wp:docPr id="3" name="Picture 3" descr="C:\Users\matthew.thomas\AppData\Local\Microsoft\Windows\INetCache\Content.Word\SRM - met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mas\AppData\Local\Microsoft\Windows\INetCache\Content.Word\SRM - metric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3519" cy="2386760"/>
                    </a:xfrm>
                    <a:prstGeom prst="rect">
                      <a:avLst/>
                    </a:prstGeom>
                    <a:noFill/>
                    <a:ln>
                      <a:noFill/>
                    </a:ln>
                  </pic:spPr>
                </pic:pic>
              </a:graphicData>
            </a:graphic>
          </wp:inline>
        </w:drawing>
      </w:r>
    </w:p>
    <w:p w14:paraId="7A6D04D7" w14:textId="6D89E14F" w:rsidR="0044258F" w:rsidRPr="00DA11AE" w:rsidRDefault="009B1F78" w:rsidP="00E84A78">
      <w:pPr>
        <w:pStyle w:val="Caption"/>
        <w:keepNext/>
        <w:rPr>
          <w:noProof/>
        </w:rPr>
      </w:pPr>
      <w:r>
        <w:t>Figure S</w:t>
      </w:r>
      <w:r>
        <w:fldChar w:fldCharType="begin"/>
      </w:r>
      <w:r>
        <w:instrText xml:space="preserve"> SEQ Figure \* ARABIC </w:instrText>
      </w:r>
      <w:r>
        <w:fldChar w:fldCharType="separate"/>
      </w:r>
      <w:r w:rsidR="00953ED4">
        <w:rPr>
          <w:noProof/>
        </w:rPr>
        <w:t>5</w:t>
      </w:r>
      <w:r>
        <w:fldChar w:fldCharType="end"/>
      </w:r>
      <w:r>
        <w:t xml:space="preserve">: </w:t>
      </w:r>
      <w:r w:rsidR="00F15DBA">
        <w:t xml:space="preserve">Performance metrics for the social relations models. </w:t>
      </w:r>
      <w:r w:rsidR="00F15DBA" w:rsidRPr="00E84A78">
        <w:rPr>
          <w:b/>
        </w:rPr>
        <w:t>a</w:t>
      </w:r>
      <w:r w:rsidR="00F15DBA">
        <w:t xml:space="preserve">, F1 score: the harmonic </w:t>
      </w:r>
      <w:proofErr w:type="gramStart"/>
      <w:r w:rsidR="00F15DBA">
        <w:t>mean</w:t>
      </w:r>
      <w:proofErr w:type="gramEnd"/>
      <w:r w:rsidR="00F15DBA">
        <w:t xml:space="preserve"> of precision (</w:t>
      </w:r>
      <w:r w:rsidR="0037640F">
        <w:t>also known as positive predictive value; the ratio of true positive</w:t>
      </w:r>
      <w:r w:rsidR="003B5E49">
        <w:t>s</w:t>
      </w:r>
      <w:r w:rsidR="0037640F">
        <w:t xml:space="preserve"> to all positives</w:t>
      </w:r>
      <w:r w:rsidR="00F15DBA">
        <w:t>) and recall</w:t>
      </w:r>
      <w:r w:rsidR="0037640F">
        <w:t xml:space="preserve"> (also known as sensitivity)</w:t>
      </w:r>
      <w:r w:rsidR="00F15DBA">
        <w:t xml:space="preserve">. </w:t>
      </w:r>
      <w:r w:rsidR="00F15DBA" w:rsidRPr="00E84A78">
        <w:rPr>
          <w:b/>
        </w:rPr>
        <w:t>b</w:t>
      </w:r>
      <w:r w:rsidR="00F15DBA">
        <w:t>, accuracy</w:t>
      </w:r>
      <w:r w:rsidR="0037640F">
        <w:t xml:space="preserve">: the proportion of true results in the total number cases. </w:t>
      </w:r>
      <w:r w:rsidR="001C3408">
        <w:t xml:space="preserve">Models are (1) intercept-only; (2) relatedness + siida membership + gifts; (3) relatedness </w:t>
      </w:r>
      <w:r w:rsidR="001C3408">
        <w:rPr>
          <w:rFonts w:cstheme="minorHAnsi"/>
        </w:rPr>
        <w:t>×</w:t>
      </w:r>
      <w:r w:rsidR="001C3408">
        <w:t xml:space="preserve"> siida membership + gifts; (4) relatedness </w:t>
      </w:r>
      <w:r w:rsidR="001C3408">
        <w:rPr>
          <w:rFonts w:cstheme="minorHAnsi"/>
        </w:rPr>
        <w:t>×</w:t>
      </w:r>
      <w:r w:rsidR="001C3408">
        <w:t xml:space="preserve"> siida membership </w:t>
      </w:r>
      <w:r w:rsidR="001C3408">
        <w:rPr>
          <w:rFonts w:cstheme="minorHAnsi"/>
        </w:rPr>
        <w:t>×</w:t>
      </w:r>
      <w:r w:rsidR="001C3408">
        <w:t xml:space="preserve"> gifts. </w:t>
      </w:r>
      <w:r w:rsidR="008730E1">
        <w:rPr>
          <w:noProof/>
          <w:lang w:val="en-GB"/>
        </w:rPr>
        <w:t xml:space="preserve">Note that all interaction terms include separate additive effects, i.e. ‘relatedness </w:t>
      </w:r>
      <w:r w:rsidR="008730E1" w:rsidRPr="00DA11AE">
        <w:rPr>
          <w:rFonts w:cstheme="minorHAnsi"/>
          <w:noProof/>
        </w:rPr>
        <w:t>×</w:t>
      </w:r>
      <w:r w:rsidR="008730E1">
        <w:rPr>
          <w:rFonts w:cstheme="minorHAnsi"/>
          <w:noProof/>
        </w:rPr>
        <w:t xml:space="preserve"> siida’ means ‘relatedness + siida + relatedness </w:t>
      </w:r>
      <w:r w:rsidR="008730E1" w:rsidRPr="00DA11AE">
        <w:rPr>
          <w:rFonts w:cstheme="minorHAnsi"/>
          <w:noProof/>
        </w:rPr>
        <w:t>×</w:t>
      </w:r>
      <w:r w:rsidR="008730E1">
        <w:rPr>
          <w:rFonts w:cstheme="minorHAnsi"/>
          <w:noProof/>
        </w:rPr>
        <w:t xml:space="preserve"> siida’. </w:t>
      </w:r>
      <w:r w:rsidR="001C3408">
        <w:t>Model (2) had the highest median F1 accuracy scores, as well as the best overall goodness-of-fit (Table S1), and is reported in the main text.</w:t>
      </w:r>
    </w:p>
    <w:p w14:paraId="0B6DF38A" w14:textId="77777777" w:rsidR="00806790" w:rsidRPr="00DA11AE" w:rsidRDefault="00806790">
      <w:pPr>
        <w:rPr>
          <w:rFonts w:asciiTheme="majorHAnsi" w:eastAsiaTheme="majorEastAsia" w:hAnsiTheme="majorHAnsi" w:cstheme="majorBidi"/>
          <w:noProof/>
          <w:color w:val="2F5496" w:themeColor="accent1" w:themeShade="BF"/>
          <w:sz w:val="26"/>
          <w:szCs w:val="26"/>
        </w:rPr>
      </w:pPr>
      <w:r w:rsidRPr="00DA11AE">
        <w:rPr>
          <w:noProof/>
        </w:rPr>
        <w:br w:type="page"/>
      </w:r>
    </w:p>
    <w:p w14:paraId="04E67398" w14:textId="2FCDF648" w:rsidR="00D373B4" w:rsidRPr="00DA11AE" w:rsidRDefault="00D373B4" w:rsidP="00D373B4">
      <w:pPr>
        <w:pStyle w:val="Heading2"/>
        <w:rPr>
          <w:noProof/>
        </w:rPr>
      </w:pPr>
      <w:r w:rsidRPr="00DA11AE">
        <w:rPr>
          <w:noProof/>
        </w:rPr>
        <w:lastRenderedPageBreak/>
        <w:t>Supplementary tables</w:t>
      </w:r>
    </w:p>
    <w:p w14:paraId="17ED352F" w14:textId="714CE1F1" w:rsidR="00993FAA" w:rsidRPr="00DA11AE" w:rsidRDefault="00993FAA" w:rsidP="00993FAA">
      <w:pPr>
        <w:pStyle w:val="Caption"/>
        <w:keepNext/>
        <w:rPr>
          <w:noProof/>
          <w:lang w:val="en-GB"/>
        </w:rPr>
      </w:pPr>
      <w:r w:rsidRPr="00DA11AE">
        <w:rPr>
          <w:noProof/>
          <w:lang w:val="en-GB"/>
        </w:rPr>
        <w:t xml:space="preserve">Table </w:t>
      </w:r>
      <w:r w:rsidR="00806790" w:rsidRPr="00DA11AE">
        <w:rPr>
          <w:noProof/>
          <w:lang w:val="en-GB"/>
        </w:rPr>
        <w:t>S</w:t>
      </w:r>
      <w:r w:rsidRPr="00DA11AE">
        <w:rPr>
          <w:noProof/>
          <w:lang w:val="en-GB"/>
        </w:rPr>
        <w:fldChar w:fldCharType="begin"/>
      </w:r>
      <w:r w:rsidRPr="00DA11AE">
        <w:rPr>
          <w:noProof/>
          <w:lang w:val="en-GB"/>
        </w:rPr>
        <w:instrText xml:space="preserve"> SEQ Table \* ARABIC </w:instrText>
      </w:r>
      <w:r w:rsidRPr="00DA11AE">
        <w:rPr>
          <w:noProof/>
          <w:lang w:val="en-GB"/>
        </w:rPr>
        <w:fldChar w:fldCharType="separate"/>
      </w:r>
      <w:r w:rsidR="00842B5F">
        <w:rPr>
          <w:noProof/>
          <w:lang w:val="en-GB"/>
        </w:rPr>
        <w:t>1</w:t>
      </w:r>
      <w:r w:rsidRPr="00DA11AE">
        <w:rPr>
          <w:noProof/>
          <w:lang w:val="en-GB"/>
        </w:rPr>
        <w:fldChar w:fldCharType="end"/>
      </w:r>
      <w:r w:rsidRPr="00DA11AE">
        <w:rPr>
          <w:noProof/>
          <w:lang w:val="en-GB"/>
        </w:rPr>
        <w:t xml:space="preserve">: Root-mean-square </w:t>
      </w:r>
      <w:r w:rsidR="007E5A0D" w:rsidRPr="00DA11AE">
        <w:rPr>
          <w:noProof/>
          <w:lang w:val="en-GB"/>
        </w:rPr>
        <w:t xml:space="preserve">errors </w:t>
      </w:r>
      <w:r w:rsidRPr="00DA11AE">
        <w:rPr>
          <w:noProof/>
          <w:lang w:val="en-GB"/>
        </w:rPr>
        <w:t>(RMS</w:t>
      </w:r>
      <w:r w:rsidR="007E5A0D" w:rsidRPr="00DA11AE">
        <w:rPr>
          <w:noProof/>
          <w:lang w:val="en-GB"/>
        </w:rPr>
        <w:t>E</w:t>
      </w:r>
      <w:r w:rsidRPr="00DA11AE">
        <w:rPr>
          <w:noProof/>
          <w:lang w:val="en-GB"/>
        </w:rPr>
        <w:t>) for each model’s posterior predictive goodness-of-fit statistics compared to observed statistics. Best-fitting models (i.e. lowest RMS</w:t>
      </w:r>
      <w:r w:rsidR="007E5A0D" w:rsidRPr="00DA11AE">
        <w:rPr>
          <w:noProof/>
          <w:lang w:val="en-GB"/>
        </w:rPr>
        <w:t>E</w:t>
      </w:r>
      <w:r w:rsidRPr="00DA11AE">
        <w:rPr>
          <w:noProof/>
          <w:lang w:val="en-GB"/>
        </w:rPr>
        <w:t>s) for each statistic are highlighted in bold</w:t>
      </w:r>
      <w:r w:rsidR="007F4ECA">
        <w:rPr>
          <w:noProof/>
          <w:lang w:val="en-GB"/>
        </w:rPr>
        <w:t xml:space="preserve"> (note that for space reasons, we have only presented RMSEs to four significant digits, which conceals some of miniscule differences between errors)</w:t>
      </w:r>
      <w:r w:rsidRPr="00DA11AE">
        <w:rPr>
          <w:noProof/>
          <w:lang w:val="en-GB"/>
        </w:rPr>
        <w:t>.</w:t>
      </w:r>
      <w:r w:rsidR="00614117" w:rsidRPr="00DA11AE">
        <w:rPr>
          <w:noProof/>
          <w:lang w:val="en-GB"/>
        </w:rPr>
        <w:t xml:space="preserve"> </w:t>
      </w:r>
      <w:r w:rsidR="00D916FF">
        <w:rPr>
          <w:noProof/>
          <w:lang w:val="en-GB"/>
        </w:rPr>
        <w:t>T</w:t>
      </w:r>
      <w:r w:rsidR="00614117" w:rsidRPr="00DA11AE">
        <w:rPr>
          <w:noProof/>
          <w:lang w:val="en-GB"/>
        </w:rPr>
        <w:t xml:space="preserve">he relatedness </w:t>
      </w:r>
      <w:r w:rsidR="00EA3F43">
        <w:rPr>
          <w:rFonts w:cstheme="minorHAnsi"/>
          <w:noProof/>
          <w:lang w:val="en-GB"/>
        </w:rPr>
        <w:t>+</w:t>
      </w:r>
      <w:r w:rsidR="00EA3F43" w:rsidRPr="00DA11AE">
        <w:rPr>
          <w:noProof/>
          <w:lang w:val="en-GB"/>
        </w:rPr>
        <w:t xml:space="preserve"> </w:t>
      </w:r>
      <w:r w:rsidR="00614117" w:rsidRPr="00DA11AE">
        <w:rPr>
          <w:noProof/>
          <w:lang w:val="en-GB"/>
        </w:rPr>
        <w:t xml:space="preserve">siida membership + gifts model </w:t>
      </w:r>
      <w:r w:rsidR="00EA3F43">
        <w:rPr>
          <w:noProof/>
          <w:lang w:val="en-GB"/>
        </w:rPr>
        <w:t>(2)</w:t>
      </w:r>
      <w:r w:rsidR="00D916FF">
        <w:rPr>
          <w:noProof/>
          <w:lang w:val="en-GB"/>
        </w:rPr>
        <w:t xml:space="preserve"> has the best fit as well as best performance (Fig. S4); its results</w:t>
      </w:r>
      <w:r w:rsidR="00EA3F43">
        <w:rPr>
          <w:noProof/>
          <w:lang w:val="en-GB"/>
        </w:rPr>
        <w:t xml:space="preserve"> </w:t>
      </w:r>
      <w:r w:rsidR="00614117" w:rsidRPr="00DA11AE">
        <w:rPr>
          <w:noProof/>
          <w:lang w:val="en-GB"/>
        </w:rPr>
        <w:t>are reported in the main text.</w:t>
      </w:r>
      <w:r w:rsidR="003C3131">
        <w:rPr>
          <w:noProof/>
          <w:lang w:val="en-GB"/>
        </w:rPr>
        <w:t xml:space="preserve"> Note that </w:t>
      </w:r>
      <w:r w:rsidR="00407FBC">
        <w:rPr>
          <w:noProof/>
          <w:lang w:val="en-GB"/>
        </w:rPr>
        <w:t xml:space="preserve">all </w:t>
      </w:r>
      <w:r w:rsidR="003C3131">
        <w:rPr>
          <w:noProof/>
          <w:lang w:val="en-GB"/>
        </w:rPr>
        <w:t xml:space="preserve">interaction terms include separate additive effects, i.e. </w:t>
      </w:r>
      <w:r w:rsidR="00407FBC">
        <w:rPr>
          <w:noProof/>
          <w:lang w:val="en-GB"/>
        </w:rPr>
        <w:t>‘</w:t>
      </w:r>
      <w:r w:rsidR="003C3131">
        <w:rPr>
          <w:noProof/>
          <w:lang w:val="en-GB"/>
        </w:rPr>
        <w:t xml:space="preserve">relatedness </w:t>
      </w:r>
      <w:r w:rsidR="003C3131" w:rsidRPr="00DA11AE">
        <w:rPr>
          <w:rFonts w:cstheme="minorHAnsi"/>
          <w:noProof/>
        </w:rPr>
        <w:t>×</w:t>
      </w:r>
      <w:r w:rsidR="003C3131">
        <w:rPr>
          <w:rFonts w:cstheme="minorHAnsi"/>
          <w:noProof/>
        </w:rPr>
        <w:t xml:space="preserve"> siida</w:t>
      </w:r>
      <w:r w:rsidR="00407FBC">
        <w:rPr>
          <w:rFonts w:cstheme="minorHAnsi"/>
          <w:noProof/>
        </w:rPr>
        <w:t>’</w:t>
      </w:r>
      <w:r w:rsidR="003C3131">
        <w:rPr>
          <w:rFonts w:cstheme="minorHAnsi"/>
          <w:noProof/>
        </w:rPr>
        <w:t xml:space="preserve"> means </w:t>
      </w:r>
      <w:r w:rsidR="00407FBC">
        <w:rPr>
          <w:rFonts w:cstheme="minorHAnsi"/>
          <w:noProof/>
        </w:rPr>
        <w:t>‘</w:t>
      </w:r>
      <w:r w:rsidR="003C3131">
        <w:rPr>
          <w:rFonts w:cstheme="minorHAnsi"/>
          <w:noProof/>
        </w:rPr>
        <w:t xml:space="preserve">relatedness + siida + relatedness </w:t>
      </w:r>
      <w:r w:rsidR="003C3131" w:rsidRPr="00DA11AE">
        <w:rPr>
          <w:rFonts w:cstheme="minorHAnsi"/>
          <w:noProof/>
        </w:rPr>
        <w:t>×</w:t>
      </w:r>
      <w:r w:rsidR="003C3131">
        <w:rPr>
          <w:rFonts w:cstheme="minorHAnsi"/>
          <w:noProof/>
        </w:rPr>
        <w:t xml:space="preserve"> siida</w:t>
      </w:r>
      <w:r w:rsidR="00407FBC">
        <w:rPr>
          <w:rFonts w:cstheme="minorHAnsi"/>
          <w:noProof/>
        </w:rPr>
        <w:t>’</w:t>
      </w:r>
      <w:r w:rsidR="003C3131">
        <w:rPr>
          <w:rFonts w:cstheme="minorHAnsi"/>
          <w:noProof/>
        </w:rPr>
        <w:t>.</w:t>
      </w:r>
    </w:p>
    <w:tbl>
      <w:tblPr>
        <w:tblW w:w="7742" w:type="dxa"/>
        <w:jc w:val="center"/>
        <w:tblLook w:val="04A0" w:firstRow="1" w:lastRow="0" w:firstColumn="1" w:lastColumn="0" w:noHBand="0" w:noVBand="1"/>
      </w:tblPr>
      <w:tblGrid>
        <w:gridCol w:w="3571"/>
        <w:gridCol w:w="960"/>
        <w:gridCol w:w="960"/>
        <w:gridCol w:w="1112"/>
        <w:gridCol w:w="1139"/>
      </w:tblGrid>
      <w:tr w:rsidR="00993FAA" w:rsidRPr="00DA11AE" w14:paraId="34C0C2ED" w14:textId="77777777" w:rsidTr="00E84A78">
        <w:trPr>
          <w:trHeight w:val="300"/>
          <w:jc w:val="center"/>
        </w:trPr>
        <w:tc>
          <w:tcPr>
            <w:tcW w:w="3571" w:type="dxa"/>
            <w:tcBorders>
              <w:top w:val="nil"/>
              <w:left w:val="nil"/>
              <w:bottom w:val="single" w:sz="4" w:space="0" w:color="auto"/>
              <w:right w:val="nil"/>
            </w:tcBorders>
            <w:shd w:val="clear" w:color="auto" w:fill="auto"/>
            <w:noWrap/>
            <w:vAlign w:val="center"/>
            <w:hideMark/>
          </w:tcPr>
          <w:p w14:paraId="021E10F0" w14:textId="3A5C7B1A" w:rsidR="00993FAA" w:rsidRPr="00DA11AE" w:rsidRDefault="00993FAA" w:rsidP="008508AA">
            <w:pPr>
              <w:spacing w:after="0" w:line="240" w:lineRule="auto"/>
              <w:jc w:val="center"/>
              <w:rPr>
                <w:rFonts w:ascii="Calibri" w:hAnsi="Calibri" w:cs="Calibri"/>
                <w:b/>
                <w:noProof/>
                <w:color w:val="000000"/>
                <w:sz w:val="18"/>
              </w:rPr>
            </w:pPr>
            <w:r w:rsidRPr="00DA11AE">
              <w:rPr>
                <w:rFonts w:ascii="Calibri" w:hAnsi="Calibri" w:cs="Calibri"/>
                <w:b/>
                <w:noProof/>
                <w:color w:val="000000"/>
                <w:sz w:val="18"/>
              </w:rPr>
              <w:t>Model</w:t>
            </w:r>
            <w:r w:rsidR="00C60B8F" w:rsidRPr="00DA11AE">
              <w:rPr>
                <w:rFonts w:ascii="Calibri" w:hAnsi="Calibri" w:cs="Calibri"/>
                <w:b/>
                <w:noProof/>
                <w:color w:val="000000"/>
                <w:sz w:val="18"/>
              </w:rPr>
              <w:t xml:space="preserve"> specification</w:t>
            </w:r>
          </w:p>
        </w:tc>
        <w:tc>
          <w:tcPr>
            <w:tcW w:w="960" w:type="dxa"/>
            <w:tcBorders>
              <w:top w:val="nil"/>
              <w:left w:val="nil"/>
              <w:bottom w:val="single" w:sz="4" w:space="0" w:color="auto"/>
              <w:right w:val="nil"/>
            </w:tcBorders>
            <w:shd w:val="clear" w:color="auto" w:fill="auto"/>
            <w:noWrap/>
            <w:vAlign w:val="center"/>
            <w:hideMark/>
          </w:tcPr>
          <w:p w14:paraId="567C77E4" w14:textId="77777777" w:rsidR="00993FAA" w:rsidRPr="00DA11AE" w:rsidRDefault="00993FAA" w:rsidP="008508AA">
            <w:pPr>
              <w:spacing w:after="0" w:line="240" w:lineRule="auto"/>
              <w:jc w:val="center"/>
              <w:rPr>
                <w:rFonts w:ascii="Calibri" w:hAnsi="Calibri" w:cs="Calibri"/>
                <w:b/>
                <w:noProof/>
                <w:color w:val="000000"/>
                <w:sz w:val="18"/>
              </w:rPr>
            </w:pPr>
            <w:r w:rsidRPr="00DA11AE">
              <w:rPr>
                <w:rFonts w:ascii="Calibri" w:hAnsi="Calibri" w:cs="Calibri"/>
                <w:b/>
                <w:noProof/>
                <w:color w:val="000000"/>
                <w:sz w:val="18"/>
              </w:rPr>
              <w:t>SD ego means</w:t>
            </w:r>
          </w:p>
        </w:tc>
        <w:tc>
          <w:tcPr>
            <w:tcW w:w="960" w:type="dxa"/>
            <w:tcBorders>
              <w:top w:val="nil"/>
              <w:left w:val="nil"/>
              <w:bottom w:val="single" w:sz="4" w:space="0" w:color="auto"/>
              <w:right w:val="nil"/>
            </w:tcBorders>
            <w:shd w:val="clear" w:color="auto" w:fill="auto"/>
            <w:noWrap/>
            <w:vAlign w:val="center"/>
            <w:hideMark/>
          </w:tcPr>
          <w:p w14:paraId="00104239" w14:textId="77777777" w:rsidR="00993FAA" w:rsidRPr="00DA11AE" w:rsidRDefault="00993FAA" w:rsidP="008508AA">
            <w:pPr>
              <w:spacing w:after="0" w:line="240" w:lineRule="auto"/>
              <w:jc w:val="center"/>
              <w:rPr>
                <w:rFonts w:ascii="Calibri" w:hAnsi="Calibri" w:cs="Calibri"/>
                <w:b/>
                <w:noProof/>
                <w:color w:val="000000"/>
                <w:sz w:val="18"/>
              </w:rPr>
            </w:pPr>
            <w:r w:rsidRPr="00DA11AE">
              <w:rPr>
                <w:rFonts w:ascii="Calibri" w:hAnsi="Calibri" w:cs="Calibri"/>
                <w:b/>
                <w:noProof/>
                <w:color w:val="000000"/>
                <w:sz w:val="18"/>
              </w:rPr>
              <w:t>SD alter means</w:t>
            </w:r>
          </w:p>
        </w:tc>
        <w:tc>
          <w:tcPr>
            <w:tcW w:w="1112" w:type="dxa"/>
            <w:tcBorders>
              <w:top w:val="nil"/>
              <w:left w:val="nil"/>
              <w:bottom w:val="single" w:sz="4" w:space="0" w:color="auto"/>
              <w:right w:val="nil"/>
            </w:tcBorders>
            <w:shd w:val="clear" w:color="auto" w:fill="auto"/>
            <w:noWrap/>
            <w:vAlign w:val="center"/>
            <w:hideMark/>
          </w:tcPr>
          <w:p w14:paraId="0AC92767" w14:textId="77777777" w:rsidR="00993FAA" w:rsidRPr="00DA11AE" w:rsidRDefault="00993FAA" w:rsidP="008508AA">
            <w:pPr>
              <w:spacing w:after="0" w:line="240" w:lineRule="auto"/>
              <w:jc w:val="center"/>
              <w:rPr>
                <w:rFonts w:ascii="Calibri" w:hAnsi="Calibri" w:cs="Calibri"/>
                <w:b/>
                <w:noProof/>
                <w:color w:val="000000"/>
                <w:sz w:val="18"/>
              </w:rPr>
            </w:pPr>
            <w:r w:rsidRPr="00DA11AE">
              <w:rPr>
                <w:rFonts w:ascii="Calibri" w:hAnsi="Calibri" w:cs="Calibri"/>
                <w:b/>
                <w:noProof/>
                <w:color w:val="000000"/>
                <w:sz w:val="18"/>
              </w:rPr>
              <w:t>Dyadic correlations</w:t>
            </w:r>
          </w:p>
        </w:tc>
        <w:tc>
          <w:tcPr>
            <w:tcW w:w="1139" w:type="dxa"/>
            <w:tcBorders>
              <w:top w:val="nil"/>
              <w:left w:val="nil"/>
              <w:bottom w:val="single" w:sz="4" w:space="0" w:color="auto"/>
              <w:right w:val="nil"/>
            </w:tcBorders>
            <w:shd w:val="clear" w:color="auto" w:fill="auto"/>
            <w:noWrap/>
            <w:vAlign w:val="center"/>
            <w:hideMark/>
          </w:tcPr>
          <w:p w14:paraId="61F951B7" w14:textId="77777777" w:rsidR="00993FAA" w:rsidRPr="00DA11AE" w:rsidRDefault="00993FAA" w:rsidP="008508AA">
            <w:pPr>
              <w:spacing w:after="0" w:line="240" w:lineRule="auto"/>
              <w:jc w:val="center"/>
              <w:rPr>
                <w:rFonts w:ascii="Calibri" w:hAnsi="Calibri" w:cs="Calibri"/>
                <w:b/>
                <w:noProof/>
                <w:color w:val="000000"/>
                <w:sz w:val="18"/>
              </w:rPr>
            </w:pPr>
            <w:r w:rsidRPr="00DA11AE">
              <w:rPr>
                <w:rFonts w:ascii="Calibri" w:hAnsi="Calibri" w:cs="Calibri"/>
                <w:b/>
                <w:noProof/>
                <w:color w:val="000000"/>
                <w:sz w:val="18"/>
              </w:rPr>
              <w:t>Triadic dependence</w:t>
            </w:r>
          </w:p>
        </w:tc>
      </w:tr>
      <w:tr w:rsidR="00510937" w:rsidRPr="00DA11AE" w14:paraId="3378EAB2" w14:textId="77777777" w:rsidTr="00E84A78">
        <w:trPr>
          <w:trHeight w:val="56"/>
          <w:jc w:val="center"/>
        </w:trPr>
        <w:tc>
          <w:tcPr>
            <w:tcW w:w="3571" w:type="dxa"/>
            <w:tcBorders>
              <w:top w:val="single" w:sz="4" w:space="0" w:color="auto"/>
              <w:left w:val="nil"/>
              <w:bottom w:val="nil"/>
              <w:right w:val="nil"/>
            </w:tcBorders>
            <w:shd w:val="clear" w:color="auto" w:fill="auto"/>
            <w:noWrap/>
            <w:vAlign w:val="center"/>
            <w:hideMark/>
          </w:tcPr>
          <w:p w14:paraId="6202BF82" w14:textId="1E49E380" w:rsidR="00510937" w:rsidRPr="00DA11AE" w:rsidRDefault="00EA3F43" w:rsidP="00510937">
            <w:pPr>
              <w:spacing w:after="0" w:line="240" w:lineRule="auto"/>
              <w:rPr>
                <w:rFonts w:ascii="Calibri" w:hAnsi="Calibri" w:cs="Calibri"/>
                <w:noProof/>
                <w:color w:val="000000"/>
                <w:sz w:val="18"/>
              </w:rPr>
            </w:pPr>
            <w:r>
              <w:rPr>
                <w:noProof/>
                <w:sz w:val="18"/>
              </w:rPr>
              <w:t xml:space="preserve">1. </w:t>
            </w:r>
            <w:r w:rsidR="00510937" w:rsidRPr="00DA11AE">
              <w:rPr>
                <w:noProof/>
                <w:sz w:val="18"/>
              </w:rPr>
              <w:t>Intercept-only</w:t>
            </w:r>
          </w:p>
        </w:tc>
        <w:tc>
          <w:tcPr>
            <w:tcW w:w="960" w:type="dxa"/>
            <w:tcBorders>
              <w:top w:val="single" w:sz="4" w:space="0" w:color="auto"/>
              <w:left w:val="nil"/>
              <w:bottom w:val="nil"/>
              <w:right w:val="nil"/>
            </w:tcBorders>
            <w:shd w:val="clear" w:color="auto" w:fill="auto"/>
            <w:noWrap/>
            <w:vAlign w:val="center"/>
            <w:hideMark/>
          </w:tcPr>
          <w:p w14:paraId="1E79CE06" w14:textId="6B806313"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0.0021</w:t>
            </w:r>
          </w:p>
        </w:tc>
        <w:tc>
          <w:tcPr>
            <w:tcW w:w="960" w:type="dxa"/>
            <w:tcBorders>
              <w:top w:val="single" w:sz="4" w:space="0" w:color="auto"/>
              <w:left w:val="nil"/>
              <w:bottom w:val="nil"/>
              <w:right w:val="nil"/>
            </w:tcBorders>
            <w:shd w:val="clear" w:color="auto" w:fill="auto"/>
            <w:noWrap/>
            <w:vAlign w:val="center"/>
            <w:hideMark/>
          </w:tcPr>
          <w:p w14:paraId="41E16FF5" w14:textId="55C58663"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0.0012</w:t>
            </w:r>
          </w:p>
        </w:tc>
        <w:tc>
          <w:tcPr>
            <w:tcW w:w="1112" w:type="dxa"/>
            <w:tcBorders>
              <w:top w:val="single" w:sz="4" w:space="0" w:color="auto"/>
              <w:left w:val="nil"/>
              <w:bottom w:val="nil"/>
              <w:right w:val="nil"/>
            </w:tcBorders>
            <w:shd w:val="clear" w:color="auto" w:fill="auto"/>
            <w:noWrap/>
            <w:vAlign w:val="center"/>
            <w:hideMark/>
          </w:tcPr>
          <w:p w14:paraId="0090D131" w14:textId="350AA717"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0.1011</w:t>
            </w:r>
          </w:p>
        </w:tc>
        <w:tc>
          <w:tcPr>
            <w:tcW w:w="1139" w:type="dxa"/>
            <w:tcBorders>
              <w:top w:val="single" w:sz="4" w:space="0" w:color="auto"/>
              <w:left w:val="nil"/>
              <w:bottom w:val="nil"/>
              <w:right w:val="nil"/>
            </w:tcBorders>
            <w:shd w:val="clear" w:color="auto" w:fill="auto"/>
            <w:noWrap/>
            <w:vAlign w:val="center"/>
            <w:hideMark/>
          </w:tcPr>
          <w:p w14:paraId="4EB5E758" w14:textId="72BA1B55"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0.0266</w:t>
            </w:r>
          </w:p>
        </w:tc>
      </w:tr>
      <w:tr w:rsidR="00510937" w:rsidRPr="00DA11AE" w14:paraId="7A45A829" w14:textId="77777777" w:rsidTr="00E84A78">
        <w:trPr>
          <w:trHeight w:val="66"/>
          <w:jc w:val="center"/>
        </w:trPr>
        <w:tc>
          <w:tcPr>
            <w:tcW w:w="3571" w:type="dxa"/>
            <w:tcBorders>
              <w:top w:val="nil"/>
              <w:left w:val="nil"/>
              <w:bottom w:val="nil"/>
              <w:right w:val="nil"/>
            </w:tcBorders>
            <w:shd w:val="clear" w:color="auto" w:fill="auto"/>
            <w:noWrap/>
            <w:vAlign w:val="center"/>
            <w:hideMark/>
          </w:tcPr>
          <w:p w14:paraId="40D077CB" w14:textId="7E68D83B" w:rsidR="00510937" w:rsidRPr="00DA11AE" w:rsidRDefault="00EA3F43" w:rsidP="00510937">
            <w:pPr>
              <w:spacing w:after="0" w:line="240" w:lineRule="auto"/>
              <w:rPr>
                <w:rFonts w:ascii="Calibri" w:hAnsi="Calibri" w:cs="Calibri"/>
                <w:noProof/>
                <w:color w:val="000000"/>
                <w:sz w:val="18"/>
              </w:rPr>
            </w:pPr>
            <w:r>
              <w:rPr>
                <w:noProof/>
                <w:sz w:val="18"/>
              </w:rPr>
              <w:t xml:space="preserve">2. </w:t>
            </w:r>
            <w:r w:rsidR="00510937" w:rsidRPr="00DA11AE">
              <w:rPr>
                <w:noProof/>
                <w:sz w:val="18"/>
              </w:rPr>
              <w:t>Relatedness + siida membership + gifts</w:t>
            </w:r>
          </w:p>
        </w:tc>
        <w:tc>
          <w:tcPr>
            <w:tcW w:w="960" w:type="dxa"/>
            <w:tcBorders>
              <w:top w:val="nil"/>
              <w:left w:val="nil"/>
              <w:bottom w:val="nil"/>
              <w:right w:val="nil"/>
            </w:tcBorders>
            <w:shd w:val="clear" w:color="auto" w:fill="auto"/>
            <w:noWrap/>
            <w:vAlign w:val="center"/>
            <w:hideMark/>
          </w:tcPr>
          <w:p w14:paraId="18908B61" w14:textId="6058837C"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0.0012</w:t>
            </w:r>
          </w:p>
        </w:tc>
        <w:tc>
          <w:tcPr>
            <w:tcW w:w="960" w:type="dxa"/>
            <w:tcBorders>
              <w:top w:val="nil"/>
              <w:left w:val="nil"/>
              <w:bottom w:val="nil"/>
              <w:right w:val="nil"/>
            </w:tcBorders>
            <w:shd w:val="clear" w:color="auto" w:fill="auto"/>
            <w:noWrap/>
            <w:vAlign w:val="center"/>
            <w:hideMark/>
          </w:tcPr>
          <w:p w14:paraId="7C3FB98A" w14:textId="5BE43E78"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0.0006</w:t>
            </w:r>
          </w:p>
        </w:tc>
        <w:tc>
          <w:tcPr>
            <w:tcW w:w="1112" w:type="dxa"/>
            <w:tcBorders>
              <w:top w:val="nil"/>
              <w:left w:val="nil"/>
              <w:bottom w:val="nil"/>
              <w:right w:val="nil"/>
            </w:tcBorders>
            <w:shd w:val="clear" w:color="auto" w:fill="auto"/>
            <w:noWrap/>
            <w:vAlign w:val="center"/>
            <w:hideMark/>
          </w:tcPr>
          <w:p w14:paraId="33BDD0E7" w14:textId="7775AE9E" w:rsidR="00510937" w:rsidRPr="00510937" w:rsidRDefault="00510937" w:rsidP="00510937">
            <w:pPr>
              <w:spacing w:after="0" w:line="240" w:lineRule="auto"/>
              <w:jc w:val="right"/>
              <w:rPr>
                <w:rFonts w:ascii="Calibri" w:hAnsi="Calibri" w:cs="Calibri"/>
                <w:b/>
                <w:noProof/>
                <w:color w:val="000000"/>
                <w:sz w:val="18"/>
              </w:rPr>
            </w:pPr>
            <w:r w:rsidRPr="00510937">
              <w:rPr>
                <w:rFonts w:ascii="Calibri" w:hAnsi="Calibri" w:cs="Calibri"/>
                <w:b/>
                <w:color w:val="000000"/>
                <w:sz w:val="18"/>
              </w:rPr>
              <w:t>0.0562</w:t>
            </w:r>
          </w:p>
        </w:tc>
        <w:tc>
          <w:tcPr>
            <w:tcW w:w="1139" w:type="dxa"/>
            <w:tcBorders>
              <w:top w:val="nil"/>
              <w:left w:val="nil"/>
              <w:bottom w:val="nil"/>
              <w:right w:val="nil"/>
            </w:tcBorders>
            <w:shd w:val="clear" w:color="auto" w:fill="auto"/>
            <w:noWrap/>
            <w:vAlign w:val="center"/>
            <w:hideMark/>
          </w:tcPr>
          <w:p w14:paraId="14040BCE" w14:textId="65069F09" w:rsidR="00510937" w:rsidRPr="00510937" w:rsidRDefault="00510937" w:rsidP="00510937">
            <w:pPr>
              <w:spacing w:after="0" w:line="240" w:lineRule="auto"/>
              <w:jc w:val="right"/>
              <w:rPr>
                <w:rFonts w:ascii="Calibri" w:hAnsi="Calibri" w:cs="Calibri"/>
                <w:b/>
                <w:noProof/>
                <w:color w:val="000000"/>
                <w:sz w:val="18"/>
              </w:rPr>
            </w:pPr>
            <w:r w:rsidRPr="00510937">
              <w:rPr>
                <w:rFonts w:ascii="Calibri" w:hAnsi="Calibri" w:cs="Calibri"/>
                <w:b/>
                <w:color w:val="000000"/>
                <w:sz w:val="18"/>
              </w:rPr>
              <w:t>0.0094</w:t>
            </w:r>
          </w:p>
        </w:tc>
      </w:tr>
      <w:tr w:rsidR="00510937" w:rsidRPr="00DA11AE" w14:paraId="0B98FF8A" w14:textId="77777777" w:rsidTr="00E84A78">
        <w:trPr>
          <w:trHeight w:val="66"/>
          <w:jc w:val="center"/>
        </w:trPr>
        <w:tc>
          <w:tcPr>
            <w:tcW w:w="3571" w:type="dxa"/>
            <w:tcBorders>
              <w:top w:val="nil"/>
              <w:left w:val="nil"/>
              <w:right w:val="nil"/>
            </w:tcBorders>
            <w:shd w:val="clear" w:color="auto" w:fill="auto"/>
            <w:noWrap/>
            <w:vAlign w:val="center"/>
            <w:hideMark/>
          </w:tcPr>
          <w:p w14:paraId="5D51344A" w14:textId="173C454C" w:rsidR="00510937" w:rsidRPr="00DA11AE" w:rsidRDefault="00EA3F43" w:rsidP="00510937">
            <w:pPr>
              <w:spacing w:after="0" w:line="240" w:lineRule="auto"/>
              <w:rPr>
                <w:rFonts w:ascii="Calibri" w:hAnsi="Calibri" w:cs="Calibri"/>
                <w:noProof/>
                <w:color w:val="000000"/>
                <w:sz w:val="18"/>
              </w:rPr>
            </w:pPr>
            <w:r>
              <w:rPr>
                <w:noProof/>
                <w:sz w:val="18"/>
              </w:rPr>
              <w:t xml:space="preserve">3. </w:t>
            </w:r>
            <w:r w:rsidR="00510937" w:rsidRPr="00DA11AE">
              <w:rPr>
                <w:noProof/>
                <w:sz w:val="18"/>
              </w:rPr>
              <w:t xml:space="preserve">Relatedness </w:t>
            </w:r>
            <w:r w:rsidR="00510937" w:rsidRPr="00DA11AE">
              <w:rPr>
                <w:rFonts w:cstheme="minorHAnsi"/>
                <w:noProof/>
                <w:sz w:val="18"/>
              </w:rPr>
              <w:t>×</w:t>
            </w:r>
            <w:r w:rsidR="00510937" w:rsidRPr="00DA11AE">
              <w:rPr>
                <w:noProof/>
                <w:sz w:val="18"/>
              </w:rPr>
              <w:t xml:space="preserve"> siida membership + gifts</w:t>
            </w:r>
          </w:p>
        </w:tc>
        <w:tc>
          <w:tcPr>
            <w:tcW w:w="960" w:type="dxa"/>
            <w:tcBorders>
              <w:top w:val="nil"/>
              <w:left w:val="nil"/>
              <w:right w:val="nil"/>
            </w:tcBorders>
            <w:shd w:val="clear" w:color="auto" w:fill="auto"/>
            <w:noWrap/>
            <w:vAlign w:val="center"/>
            <w:hideMark/>
          </w:tcPr>
          <w:p w14:paraId="0F4FDD6B" w14:textId="6618AB86" w:rsidR="00510937" w:rsidRPr="00510937" w:rsidRDefault="00510937" w:rsidP="00510937">
            <w:pPr>
              <w:spacing w:after="0" w:line="240" w:lineRule="auto"/>
              <w:jc w:val="right"/>
              <w:rPr>
                <w:rFonts w:ascii="Calibri" w:hAnsi="Calibri" w:cs="Calibri"/>
                <w:b/>
                <w:noProof/>
                <w:color w:val="000000"/>
                <w:sz w:val="18"/>
              </w:rPr>
            </w:pPr>
            <w:r w:rsidRPr="00510937">
              <w:rPr>
                <w:rFonts w:ascii="Calibri" w:hAnsi="Calibri" w:cs="Calibri"/>
                <w:color w:val="000000"/>
                <w:sz w:val="18"/>
              </w:rPr>
              <w:t>0.0012</w:t>
            </w:r>
          </w:p>
        </w:tc>
        <w:tc>
          <w:tcPr>
            <w:tcW w:w="960" w:type="dxa"/>
            <w:tcBorders>
              <w:top w:val="nil"/>
              <w:left w:val="nil"/>
              <w:right w:val="nil"/>
            </w:tcBorders>
            <w:shd w:val="clear" w:color="auto" w:fill="auto"/>
            <w:noWrap/>
            <w:vAlign w:val="center"/>
            <w:hideMark/>
          </w:tcPr>
          <w:p w14:paraId="05EDFFE2" w14:textId="530A7F4F" w:rsidR="00510937" w:rsidRPr="00510937" w:rsidRDefault="00510937" w:rsidP="00510937">
            <w:pPr>
              <w:spacing w:after="0" w:line="240" w:lineRule="auto"/>
              <w:jc w:val="right"/>
              <w:rPr>
                <w:rFonts w:ascii="Calibri" w:hAnsi="Calibri" w:cs="Calibri"/>
                <w:b/>
                <w:noProof/>
                <w:color w:val="000000"/>
                <w:sz w:val="18"/>
              </w:rPr>
            </w:pPr>
            <w:r w:rsidRPr="00510937">
              <w:rPr>
                <w:rFonts w:ascii="Calibri" w:hAnsi="Calibri" w:cs="Calibri"/>
                <w:b/>
                <w:color w:val="000000"/>
                <w:sz w:val="18"/>
              </w:rPr>
              <w:t>0.0006</w:t>
            </w:r>
          </w:p>
        </w:tc>
        <w:tc>
          <w:tcPr>
            <w:tcW w:w="1112" w:type="dxa"/>
            <w:tcBorders>
              <w:top w:val="nil"/>
              <w:left w:val="nil"/>
              <w:right w:val="nil"/>
            </w:tcBorders>
            <w:shd w:val="clear" w:color="auto" w:fill="auto"/>
            <w:noWrap/>
            <w:vAlign w:val="center"/>
            <w:hideMark/>
          </w:tcPr>
          <w:p w14:paraId="167E2273" w14:textId="51AD21A2"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0.0707</w:t>
            </w:r>
          </w:p>
        </w:tc>
        <w:tc>
          <w:tcPr>
            <w:tcW w:w="1139" w:type="dxa"/>
            <w:tcBorders>
              <w:top w:val="nil"/>
              <w:left w:val="nil"/>
              <w:right w:val="nil"/>
            </w:tcBorders>
            <w:shd w:val="clear" w:color="auto" w:fill="auto"/>
            <w:noWrap/>
            <w:vAlign w:val="center"/>
            <w:hideMark/>
          </w:tcPr>
          <w:p w14:paraId="7FFC42BB" w14:textId="09E9B569"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0.0097</w:t>
            </w:r>
          </w:p>
        </w:tc>
      </w:tr>
      <w:tr w:rsidR="00510937" w:rsidRPr="00DA11AE" w14:paraId="03CFBD57" w14:textId="77777777" w:rsidTr="00E84A78">
        <w:trPr>
          <w:trHeight w:val="66"/>
          <w:jc w:val="center"/>
        </w:trPr>
        <w:tc>
          <w:tcPr>
            <w:tcW w:w="3571" w:type="dxa"/>
            <w:tcBorders>
              <w:top w:val="nil"/>
              <w:left w:val="nil"/>
              <w:bottom w:val="single" w:sz="4" w:space="0" w:color="auto"/>
              <w:right w:val="nil"/>
            </w:tcBorders>
            <w:shd w:val="clear" w:color="auto" w:fill="auto"/>
            <w:noWrap/>
            <w:vAlign w:val="center"/>
            <w:hideMark/>
          </w:tcPr>
          <w:p w14:paraId="07901180" w14:textId="7E3B43CE" w:rsidR="00510937" w:rsidRPr="00DA11AE" w:rsidRDefault="00EA3F43" w:rsidP="00510937">
            <w:pPr>
              <w:spacing w:after="0" w:line="240" w:lineRule="auto"/>
              <w:rPr>
                <w:rFonts w:ascii="Calibri" w:hAnsi="Calibri" w:cs="Calibri"/>
                <w:noProof/>
                <w:color w:val="000000"/>
                <w:sz w:val="18"/>
              </w:rPr>
            </w:pPr>
            <w:r>
              <w:rPr>
                <w:noProof/>
                <w:sz w:val="18"/>
              </w:rPr>
              <w:t xml:space="preserve">4. </w:t>
            </w:r>
            <w:r w:rsidR="00510937" w:rsidRPr="00DA11AE">
              <w:rPr>
                <w:noProof/>
                <w:sz w:val="18"/>
              </w:rPr>
              <w:t xml:space="preserve">Relatedness </w:t>
            </w:r>
            <w:r w:rsidR="00510937" w:rsidRPr="00DA11AE">
              <w:rPr>
                <w:rFonts w:cstheme="minorHAnsi"/>
                <w:noProof/>
                <w:sz w:val="18"/>
              </w:rPr>
              <w:t>×</w:t>
            </w:r>
            <w:r w:rsidR="00510937" w:rsidRPr="00DA11AE">
              <w:rPr>
                <w:noProof/>
                <w:sz w:val="18"/>
              </w:rPr>
              <w:t xml:space="preserve"> siida membership </w:t>
            </w:r>
            <w:r w:rsidR="00510937" w:rsidRPr="00DA11AE">
              <w:rPr>
                <w:rFonts w:cstheme="minorHAnsi"/>
                <w:noProof/>
                <w:sz w:val="18"/>
              </w:rPr>
              <w:t>×</w:t>
            </w:r>
            <w:r w:rsidR="00510937" w:rsidRPr="00DA11AE">
              <w:rPr>
                <w:noProof/>
                <w:sz w:val="18"/>
              </w:rPr>
              <w:t xml:space="preserve"> gifts</w:t>
            </w:r>
          </w:p>
        </w:tc>
        <w:tc>
          <w:tcPr>
            <w:tcW w:w="960" w:type="dxa"/>
            <w:tcBorders>
              <w:top w:val="nil"/>
              <w:left w:val="nil"/>
              <w:bottom w:val="single" w:sz="4" w:space="0" w:color="auto"/>
              <w:right w:val="nil"/>
            </w:tcBorders>
            <w:shd w:val="clear" w:color="auto" w:fill="auto"/>
            <w:noWrap/>
            <w:vAlign w:val="center"/>
            <w:hideMark/>
          </w:tcPr>
          <w:p w14:paraId="3CFC101A" w14:textId="0AD99806" w:rsidR="00510937" w:rsidRPr="00510937" w:rsidRDefault="00510937" w:rsidP="00510937">
            <w:pPr>
              <w:spacing w:after="0" w:line="240" w:lineRule="auto"/>
              <w:jc w:val="right"/>
              <w:rPr>
                <w:rFonts w:ascii="Calibri" w:hAnsi="Calibri" w:cs="Calibri"/>
                <w:b/>
                <w:noProof/>
                <w:color w:val="000000"/>
                <w:sz w:val="18"/>
              </w:rPr>
            </w:pPr>
            <w:r w:rsidRPr="00510937">
              <w:rPr>
                <w:rFonts w:ascii="Calibri" w:hAnsi="Calibri" w:cs="Calibri"/>
                <w:b/>
                <w:color w:val="000000"/>
                <w:sz w:val="18"/>
              </w:rPr>
              <w:t>0.0011</w:t>
            </w:r>
          </w:p>
        </w:tc>
        <w:tc>
          <w:tcPr>
            <w:tcW w:w="960" w:type="dxa"/>
            <w:tcBorders>
              <w:top w:val="nil"/>
              <w:left w:val="nil"/>
              <w:bottom w:val="single" w:sz="4" w:space="0" w:color="auto"/>
              <w:right w:val="nil"/>
            </w:tcBorders>
            <w:shd w:val="clear" w:color="auto" w:fill="auto"/>
            <w:noWrap/>
            <w:vAlign w:val="center"/>
            <w:hideMark/>
          </w:tcPr>
          <w:p w14:paraId="2D027C8E" w14:textId="06A622A7"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0.0007</w:t>
            </w:r>
          </w:p>
        </w:tc>
        <w:tc>
          <w:tcPr>
            <w:tcW w:w="1112" w:type="dxa"/>
            <w:tcBorders>
              <w:top w:val="nil"/>
              <w:left w:val="nil"/>
              <w:bottom w:val="single" w:sz="4" w:space="0" w:color="auto"/>
              <w:right w:val="nil"/>
            </w:tcBorders>
            <w:shd w:val="clear" w:color="auto" w:fill="auto"/>
            <w:noWrap/>
            <w:vAlign w:val="center"/>
            <w:hideMark/>
          </w:tcPr>
          <w:p w14:paraId="53711586" w14:textId="519F8213"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0.0621</w:t>
            </w:r>
          </w:p>
        </w:tc>
        <w:tc>
          <w:tcPr>
            <w:tcW w:w="1139" w:type="dxa"/>
            <w:tcBorders>
              <w:top w:val="nil"/>
              <w:left w:val="nil"/>
              <w:bottom w:val="single" w:sz="4" w:space="0" w:color="auto"/>
              <w:right w:val="nil"/>
            </w:tcBorders>
            <w:shd w:val="clear" w:color="auto" w:fill="auto"/>
            <w:noWrap/>
            <w:vAlign w:val="center"/>
            <w:hideMark/>
          </w:tcPr>
          <w:p w14:paraId="34538987" w14:textId="1CB0B8FD" w:rsidR="00510937" w:rsidRPr="00510937" w:rsidRDefault="00510937" w:rsidP="00510937">
            <w:pPr>
              <w:spacing w:after="0" w:line="240" w:lineRule="auto"/>
              <w:jc w:val="right"/>
              <w:rPr>
                <w:rFonts w:ascii="Calibri" w:hAnsi="Calibri" w:cs="Calibri"/>
                <w:noProof/>
                <w:color w:val="000000"/>
                <w:sz w:val="18"/>
              </w:rPr>
            </w:pPr>
            <w:r w:rsidRPr="00510937">
              <w:rPr>
                <w:rFonts w:ascii="Calibri" w:hAnsi="Calibri" w:cs="Calibri"/>
                <w:color w:val="000000"/>
                <w:sz w:val="18"/>
              </w:rPr>
              <w:t>0.0106</w:t>
            </w:r>
          </w:p>
        </w:tc>
      </w:tr>
    </w:tbl>
    <w:p w14:paraId="539F560C" w14:textId="77777777" w:rsidR="00993FAA" w:rsidRPr="00DA11AE" w:rsidRDefault="00993FAA" w:rsidP="00993FAA">
      <w:pPr>
        <w:rPr>
          <w:noProof/>
        </w:rPr>
      </w:pPr>
    </w:p>
    <w:p w14:paraId="08EBA161" w14:textId="4466967D" w:rsidR="00842B5F" w:rsidRDefault="00842B5F" w:rsidP="00E84A78">
      <w:pPr>
        <w:pStyle w:val="Caption"/>
        <w:keepNext/>
      </w:pPr>
      <w:r>
        <w:t>Table S</w:t>
      </w:r>
      <w:r>
        <w:fldChar w:fldCharType="begin"/>
      </w:r>
      <w:r>
        <w:instrText xml:space="preserve"> SEQ Table \* ARABIC </w:instrText>
      </w:r>
      <w:r>
        <w:fldChar w:fldCharType="separate"/>
      </w:r>
      <w:r>
        <w:rPr>
          <w:noProof/>
        </w:rPr>
        <w:t>2</w:t>
      </w:r>
      <w:r>
        <w:fldChar w:fldCharType="end"/>
      </w:r>
      <w:r>
        <w:t xml:space="preserve">: Similarities between the four networks, measured as </w:t>
      </w:r>
      <w:proofErr w:type="spellStart"/>
      <w:r>
        <w:t>Jaccard</w:t>
      </w:r>
      <w:proofErr w:type="spellEnd"/>
      <w:r>
        <w:t xml:space="preserve"> coefficients (</w:t>
      </w:r>
      <m:oMath>
        <m:r>
          <w:rPr>
            <w:rFonts w:ascii="Cambria Math" w:hAnsi="Cambria Math"/>
          </w:rPr>
          <m:t>0≤x≤1</m:t>
        </m:r>
      </m:oMath>
      <w:r>
        <w:t xml:space="preserve">). Coefficients closer to 1 indicate greater similarity. </w:t>
      </w:r>
      <w:r>
        <w:rPr>
          <w:noProof/>
          <w:lang w:val="en-GB"/>
        </w:rPr>
        <w:t>The correlations suggest</w:t>
      </w:r>
      <w:r w:rsidRPr="00DA11AE">
        <w:rPr>
          <w:noProof/>
          <w:lang w:val="en-GB"/>
        </w:rPr>
        <w:t xml:space="preserve"> </w:t>
      </w:r>
      <w:r>
        <w:rPr>
          <w:noProof/>
          <w:lang w:val="en-GB"/>
        </w:rPr>
        <w:t>that the advice, help and sharing</w:t>
      </w:r>
      <w:r w:rsidRPr="00DA11AE">
        <w:rPr>
          <w:noProof/>
          <w:lang w:val="en-GB"/>
        </w:rPr>
        <w:t xml:space="preserve"> networks are structurally very similar</w:t>
      </w:r>
      <w:r>
        <w:rPr>
          <w:noProof/>
          <w:lang w:val="en-GB"/>
        </w:rPr>
        <w:t xml:space="preserve"> compared to the gift network.</w:t>
      </w:r>
    </w:p>
    <w:tbl>
      <w:tblPr>
        <w:tblW w:w="3140" w:type="dxa"/>
        <w:jc w:val="center"/>
        <w:tblCellMar>
          <w:top w:w="15" w:type="dxa"/>
          <w:bottom w:w="15" w:type="dxa"/>
        </w:tblCellMar>
        <w:tblLook w:val="04A0" w:firstRow="1" w:lastRow="0" w:firstColumn="1" w:lastColumn="0" w:noHBand="0" w:noVBand="1"/>
      </w:tblPr>
      <w:tblGrid>
        <w:gridCol w:w="853"/>
        <w:gridCol w:w="717"/>
        <w:gridCol w:w="853"/>
        <w:gridCol w:w="717"/>
      </w:tblGrid>
      <w:tr w:rsidR="00842B5F" w:rsidRPr="00842B5F" w14:paraId="77837E8B" w14:textId="77777777" w:rsidTr="00E84A78">
        <w:trPr>
          <w:trHeight w:val="45"/>
          <w:jc w:val="center"/>
        </w:trPr>
        <w:tc>
          <w:tcPr>
            <w:tcW w:w="853" w:type="dxa"/>
            <w:tcBorders>
              <w:top w:val="nil"/>
              <w:left w:val="nil"/>
              <w:bottom w:val="single" w:sz="4" w:space="0" w:color="auto"/>
              <w:right w:val="nil"/>
            </w:tcBorders>
            <w:noWrap/>
            <w:vAlign w:val="center"/>
            <w:hideMark/>
          </w:tcPr>
          <w:p w14:paraId="451D1445" w14:textId="77777777" w:rsidR="00842B5F" w:rsidRPr="00842B5F" w:rsidRDefault="00842B5F" w:rsidP="00842B5F">
            <w:pPr>
              <w:pStyle w:val="NoSpacing"/>
              <w:rPr>
                <w:sz w:val="18"/>
              </w:rPr>
            </w:pPr>
          </w:p>
        </w:tc>
        <w:tc>
          <w:tcPr>
            <w:tcW w:w="717" w:type="dxa"/>
            <w:tcBorders>
              <w:top w:val="nil"/>
              <w:left w:val="nil"/>
              <w:bottom w:val="single" w:sz="4" w:space="0" w:color="auto"/>
              <w:right w:val="nil"/>
            </w:tcBorders>
            <w:noWrap/>
            <w:vAlign w:val="center"/>
            <w:hideMark/>
          </w:tcPr>
          <w:p w14:paraId="0DC75DC3" w14:textId="77777777" w:rsidR="00842B5F" w:rsidRPr="00842B5F" w:rsidRDefault="00842B5F" w:rsidP="00842B5F">
            <w:pPr>
              <w:pStyle w:val="NoSpacing"/>
              <w:jc w:val="center"/>
              <w:rPr>
                <w:rFonts w:ascii="Calibri" w:hAnsi="Calibri" w:cs="Calibri"/>
                <w:color w:val="000000"/>
                <w:sz w:val="18"/>
              </w:rPr>
            </w:pPr>
            <w:r w:rsidRPr="00842B5F">
              <w:rPr>
                <w:rFonts w:ascii="Calibri" w:hAnsi="Calibri" w:cs="Calibri"/>
                <w:color w:val="000000"/>
                <w:sz w:val="18"/>
              </w:rPr>
              <w:t>Help</w:t>
            </w:r>
          </w:p>
        </w:tc>
        <w:tc>
          <w:tcPr>
            <w:tcW w:w="853" w:type="dxa"/>
            <w:tcBorders>
              <w:top w:val="nil"/>
              <w:left w:val="nil"/>
              <w:bottom w:val="single" w:sz="4" w:space="0" w:color="auto"/>
              <w:right w:val="nil"/>
            </w:tcBorders>
            <w:noWrap/>
            <w:vAlign w:val="center"/>
            <w:hideMark/>
          </w:tcPr>
          <w:p w14:paraId="3464CB32" w14:textId="77777777" w:rsidR="00842B5F" w:rsidRPr="00842B5F" w:rsidRDefault="00842B5F" w:rsidP="00842B5F">
            <w:pPr>
              <w:pStyle w:val="NoSpacing"/>
              <w:jc w:val="center"/>
              <w:rPr>
                <w:rFonts w:ascii="Calibri" w:hAnsi="Calibri" w:cs="Calibri"/>
                <w:color w:val="000000"/>
                <w:sz w:val="18"/>
              </w:rPr>
            </w:pPr>
            <w:r w:rsidRPr="00842B5F">
              <w:rPr>
                <w:rFonts w:ascii="Calibri" w:hAnsi="Calibri" w:cs="Calibri"/>
                <w:color w:val="000000"/>
                <w:sz w:val="18"/>
              </w:rPr>
              <w:t>Sharing</w:t>
            </w:r>
          </w:p>
        </w:tc>
        <w:tc>
          <w:tcPr>
            <w:tcW w:w="717" w:type="dxa"/>
            <w:tcBorders>
              <w:top w:val="nil"/>
              <w:left w:val="nil"/>
              <w:bottom w:val="single" w:sz="4" w:space="0" w:color="auto"/>
              <w:right w:val="nil"/>
            </w:tcBorders>
            <w:noWrap/>
            <w:vAlign w:val="center"/>
            <w:hideMark/>
          </w:tcPr>
          <w:p w14:paraId="19D41056" w14:textId="77777777" w:rsidR="00842B5F" w:rsidRPr="00842B5F" w:rsidRDefault="00842B5F" w:rsidP="00842B5F">
            <w:pPr>
              <w:pStyle w:val="NoSpacing"/>
              <w:jc w:val="center"/>
              <w:rPr>
                <w:rFonts w:ascii="Calibri" w:hAnsi="Calibri" w:cs="Calibri"/>
                <w:color w:val="000000"/>
                <w:sz w:val="18"/>
              </w:rPr>
            </w:pPr>
            <w:r w:rsidRPr="00842B5F">
              <w:rPr>
                <w:rFonts w:ascii="Calibri" w:hAnsi="Calibri" w:cs="Calibri"/>
                <w:color w:val="000000"/>
                <w:sz w:val="18"/>
              </w:rPr>
              <w:t>Gifts</w:t>
            </w:r>
          </w:p>
        </w:tc>
      </w:tr>
      <w:tr w:rsidR="00842B5F" w:rsidRPr="00842B5F" w14:paraId="7C7C4154" w14:textId="77777777" w:rsidTr="00E84A78">
        <w:trPr>
          <w:trHeight w:val="45"/>
          <w:jc w:val="center"/>
        </w:trPr>
        <w:tc>
          <w:tcPr>
            <w:tcW w:w="853" w:type="dxa"/>
            <w:tcBorders>
              <w:top w:val="single" w:sz="4" w:space="0" w:color="auto"/>
              <w:left w:val="nil"/>
              <w:bottom w:val="nil"/>
              <w:right w:val="nil"/>
            </w:tcBorders>
            <w:noWrap/>
            <w:vAlign w:val="center"/>
            <w:hideMark/>
          </w:tcPr>
          <w:p w14:paraId="0A9A8965" w14:textId="77777777" w:rsidR="00842B5F" w:rsidRPr="00842B5F" w:rsidRDefault="00842B5F" w:rsidP="00842B5F">
            <w:pPr>
              <w:pStyle w:val="NoSpacing"/>
              <w:rPr>
                <w:rFonts w:ascii="Calibri" w:hAnsi="Calibri" w:cs="Calibri"/>
                <w:color w:val="000000"/>
                <w:sz w:val="18"/>
              </w:rPr>
            </w:pPr>
            <w:r w:rsidRPr="00842B5F">
              <w:rPr>
                <w:rFonts w:ascii="Calibri" w:hAnsi="Calibri" w:cs="Calibri"/>
                <w:color w:val="000000"/>
                <w:sz w:val="18"/>
              </w:rPr>
              <w:t>Advice</w:t>
            </w:r>
          </w:p>
        </w:tc>
        <w:tc>
          <w:tcPr>
            <w:tcW w:w="717" w:type="dxa"/>
            <w:tcBorders>
              <w:top w:val="single" w:sz="4" w:space="0" w:color="auto"/>
              <w:left w:val="nil"/>
              <w:bottom w:val="nil"/>
              <w:right w:val="nil"/>
            </w:tcBorders>
            <w:noWrap/>
            <w:vAlign w:val="center"/>
            <w:hideMark/>
          </w:tcPr>
          <w:p w14:paraId="36719DAD"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0.855</w:t>
            </w:r>
          </w:p>
        </w:tc>
        <w:tc>
          <w:tcPr>
            <w:tcW w:w="853" w:type="dxa"/>
            <w:tcBorders>
              <w:top w:val="single" w:sz="4" w:space="0" w:color="auto"/>
              <w:left w:val="nil"/>
              <w:bottom w:val="nil"/>
              <w:right w:val="nil"/>
            </w:tcBorders>
            <w:noWrap/>
            <w:vAlign w:val="center"/>
            <w:hideMark/>
          </w:tcPr>
          <w:p w14:paraId="3FBABA42"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0.679</w:t>
            </w:r>
          </w:p>
        </w:tc>
        <w:tc>
          <w:tcPr>
            <w:tcW w:w="717" w:type="dxa"/>
            <w:tcBorders>
              <w:top w:val="single" w:sz="4" w:space="0" w:color="auto"/>
              <w:left w:val="nil"/>
              <w:bottom w:val="nil"/>
              <w:right w:val="nil"/>
            </w:tcBorders>
            <w:noWrap/>
            <w:vAlign w:val="center"/>
            <w:hideMark/>
          </w:tcPr>
          <w:p w14:paraId="79884998"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0.443</w:t>
            </w:r>
          </w:p>
        </w:tc>
      </w:tr>
      <w:tr w:rsidR="00842B5F" w:rsidRPr="00842B5F" w14:paraId="3D352214" w14:textId="77777777" w:rsidTr="00E84A78">
        <w:trPr>
          <w:trHeight w:val="45"/>
          <w:jc w:val="center"/>
        </w:trPr>
        <w:tc>
          <w:tcPr>
            <w:tcW w:w="853" w:type="dxa"/>
            <w:tcBorders>
              <w:top w:val="nil"/>
              <w:left w:val="nil"/>
              <w:right w:val="nil"/>
            </w:tcBorders>
            <w:noWrap/>
            <w:vAlign w:val="center"/>
            <w:hideMark/>
          </w:tcPr>
          <w:p w14:paraId="45E3301F" w14:textId="77777777" w:rsidR="00842B5F" w:rsidRPr="00842B5F" w:rsidRDefault="00842B5F" w:rsidP="00842B5F">
            <w:pPr>
              <w:pStyle w:val="NoSpacing"/>
              <w:rPr>
                <w:rFonts w:ascii="Calibri" w:hAnsi="Calibri" w:cs="Calibri"/>
                <w:color w:val="000000"/>
                <w:sz w:val="18"/>
              </w:rPr>
            </w:pPr>
            <w:r w:rsidRPr="00842B5F">
              <w:rPr>
                <w:rFonts w:ascii="Calibri" w:hAnsi="Calibri" w:cs="Calibri"/>
                <w:color w:val="000000"/>
                <w:sz w:val="18"/>
              </w:rPr>
              <w:t>Help</w:t>
            </w:r>
          </w:p>
        </w:tc>
        <w:tc>
          <w:tcPr>
            <w:tcW w:w="717" w:type="dxa"/>
            <w:tcBorders>
              <w:top w:val="nil"/>
              <w:left w:val="nil"/>
              <w:right w:val="nil"/>
            </w:tcBorders>
            <w:noWrap/>
            <w:vAlign w:val="center"/>
          </w:tcPr>
          <w:p w14:paraId="737E0575" w14:textId="12B08A1B" w:rsidR="00842B5F" w:rsidRPr="00842B5F" w:rsidRDefault="00842B5F" w:rsidP="00842B5F">
            <w:pPr>
              <w:pStyle w:val="NoSpacing"/>
              <w:jc w:val="right"/>
              <w:rPr>
                <w:rFonts w:ascii="Calibri" w:hAnsi="Calibri" w:cs="Calibri"/>
                <w:color w:val="000000"/>
                <w:sz w:val="18"/>
              </w:rPr>
            </w:pPr>
          </w:p>
        </w:tc>
        <w:tc>
          <w:tcPr>
            <w:tcW w:w="853" w:type="dxa"/>
            <w:tcBorders>
              <w:top w:val="nil"/>
              <w:left w:val="nil"/>
              <w:right w:val="nil"/>
            </w:tcBorders>
            <w:noWrap/>
            <w:vAlign w:val="center"/>
            <w:hideMark/>
          </w:tcPr>
          <w:p w14:paraId="44A45E5A"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0.75</w:t>
            </w:r>
          </w:p>
        </w:tc>
        <w:tc>
          <w:tcPr>
            <w:tcW w:w="717" w:type="dxa"/>
            <w:tcBorders>
              <w:top w:val="nil"/>
              <w:left w:val="nil"/>
              <w:right w:val="nil"/>
            </w:tcBorders>
            <w:noWrap/>
            <w:vAlign w:val="center"/>
            <w:hideMark/>
          </w:tcPr>
          <w:p w14:paraId="70C47E7B"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0.452</w:t>
            </w:r>
          </w:p>
        </w:tc>
      </w:tr>
      <w:tr w:rsidR="00842B5F" w:rsidRPr="00842B5F" w14:paraId="7FDAA588" w14:textId="77777777" w:rsidTr="00E84A78">
        <w:trPr>
          <w:trHeight w:val="45"/>
          <w:jc w:val="center"/>
        </w:trPr>
        <w:tc>
          <w:tcPr>
            <w:tcW w:w="853" w:type="dxa"/>
            <w:tcBorders>
              <w:top w:val="nil"/>
              <w:left w:val="nil"/>
              <w:bottom w:val="single" w:sz="4" w:space="0" w:color="auto"/>
              <w:right w:val="nil"/>
            </w:tcBorders>
            <w:noWrap/>
            <w:vAlign w:val="center"/>
            <w:hideMark/>
          </w:tcPr>
          <w:p w14:paraId="3A693A99" w14:textId="77777777" w:rsidR="00842B5F" w:rsidRPr="00842B5F" w:rsidRDefault="00842B5F" w:rsidP="00842B5F">
            <w:pPr>
              <w:pStyle w:val="NoSpacing"/>
              <w:rPr>
                <w:rFonts w:ascii="Calibri" w:hAnsi="Calibri" w:cs="Calibri"/>
                <w:color w:val="000000"/>
                <w:sz w:val="18"/>
              </w:rPr>
            </w:pPr>
            <w:r w:rsidRPr="00842B5F">
              <w:rPr>
                <w:rFonts w:ascii="Calibri" w:hAnsi="Calibri" w:cs="Calibri"/>
                <w:color w:val="000000"/>
                <w:sz w:val="18"/>
              </w:rPr>
              <w:t>Sharing</w:t>
            </w:r>
          </w:p>
        </w:tc>
        <w:tc>
          <w:tcPr>
            <w:tcW w:w="717" w:type="dxa"/>
            <w:tcBorders>
              <w:top w:val="nil"/>
              <w:left w:val="nil"/>
              <w:bottom w:val="single" w:sz="4" w:space="0" w:color="auto"/>
              <w:right w:val="nil"/>
            </w:tcBorders>
            <w:noWrap/>
            <w:vAlign w:val="center"/>
          </w:tcPr>
          <w:p w14:paraId="18CEF924" w14:textId="19AEFB5D" w:rsidR="00842B5F" w:rsidRPr="00842B5F" w:rsidRDefault="00842B5F" w:rsidP="00842B5F">
            <w:pPr>
              <w:pStyle w:val="NoSpacing"/>
              <w:jc w:val="right"/>
              <w:rPr>
                <w:rFonts w:ascii="Calibri" w:hAnsi="Calibri" w:cs="Calibri"/>
                <w:color w:val="000000"/>
                <w:sz w:val="18"/>
              </w:rPr>
            </w:pPr>
          </w:p>
        </w:tc>
        <w:tc>
          <w:tcPr>
            <w:tcW w:w="853" w:type="dxa"/>
            <w:tcBorders>
              <w:top w:val="nil"/>
              <w:left w:val="nil"/>
              <w:bottom w:val="single" w:sz="4" w:space="0" w:color="auto"/>
              <w:right w:val="nil"/>
            </w:tcBorders>
            <w:noWrap/>
            <w:vAlign w:val="center"/>
            <w:hideMark/>
          </w:tcPr>
          <w:p w14:paraId="5738A77A" w14:textId="06A54625" w:rsidR="00842B5F" w:rsidRPr="00842B5F" w:rsidRDefault="00842B5F" w:rsidP="00842B5F">
            <w:pPr>
              <w:pStyle w:val="NoSpacing"/>
              <w:jc w:val="right"/>
              <w:rPr>
                <w:rFonts w:ascii="Calibri" w:hAnsi="Calibri" w:cs="Calibri"/>
                <w:color w:val="000000"/>
                <w:sz w:val="18"/>
              </w:rPr>
            </w:pPr>
          </w:p>
        </w:tc>
        <w:tc>
          <w:tcPr>
            <w:tcW w:w="717" w:type="dxa"/>
            <w:tcBorders>
              <w:top w:val="nil"/>
              <w:left w:val="nil"/>
              <w:bottom w:val="single" w:sz="4" w:space="0" w:color="auto"/>
              <w:right w:val="nil"/>
            </w:tcBorders>
            <w:noWrap/>
            <w:vAlign w:val="center"/>
            <w:hideMark/>
          </w:tcPr>
          <w:p w14:paraId="337DE583" w14:textId="77777777" w:rsidR="00842B5F" w:rsidRPr="00842B5F" w:rsidRDefault="00842B5F" w:rsidP="00842B5F">
            <w:pPr>
              <w:pStyle w:val="NoSpacing"/>
              <w:jc w:val="right"/>
              <w:rPr>
                <w:rFonts w:ascii="Calibri" w:hAnsi="Calibri" w:cs="Calibri"/>
                <w:color w:val="000000"/>
                <w:sz w:val="18"/>
              </w:rPr>
            </w:pPr>
            <w:r w:rsidRPr="00842B5F">
              <w:rPr>
                <w:rFonts w:ascii="Calibri" w:hAnsi="Calibri" w:cs="Calibri"/>
                <w:color w:val="000000"/>
                <w:sz w:val="18"/>
              </w:rPr>
              <w:t>0.495</w:t>
            </w:r>
          </w:p>
        </w:tc>
      </w:tr>
    </w:tbl>
    <w:p w14:paraId="626A1DB1" w14:textId="77777777" w:rsidR="00842B5F" w:rsidRPr="00DA11AE" w:rsidRDefault="00842B5F" w:rsidP="00621093">
      <w:pPr>
        <w:rPr>
          <w:noProof/>
        </w:rPr>
      </w:pPr>
    </w:p>
    <w:p w14:paraId="4B693CCD" w14:textId="669B2626" w:rsidR="00993FAA" w:rsidRPr="00DA11AE" w:rsidRDefault="00993FAA" w:rsidP="00993FAA">
      <w:pPr>
        <w:pStyle w:val="Caption"/>
        <w:keepNext/>
        <w:rPr>
          <w:noProof/>
          <w:lang w:val="en-GB"/>
        </w:rPr>
      </w:pPr>
      <w:r w:rsidRPr="00DA11AE">
        <w:rPr>
          <w:noProof/>
          <w:lang w:val="en-GB"/>
        </w:rPr>
        <w:t xml:space="preserve">Table </w:t>
      </w:r>
      <w:r w:rsidR="00806790" w:rsidRPr="00DA11AE">
        <w:rPr>
          <w:noProof/>
          <w:lang w:val="en-GB"/>
        </w:rPr>
        <w:t>S</w:t>
      </w:r>
      <w:r w:rsidRPr="00DA11AE">
        <w:rPr>
          <w:noProof/>
          <w:lang w:val="en-GB"/>
        </w:rPr>
        <w:fldChar w:fldCharType="begin"/>
      </w:r>
      <w:r w:rsidRPr="00DA11AE">
        <w:rPr>
          <w:noProof/>
          <w:lang w:val="en-GB"/>
        </w:rPr>
        <w:instrText xml:space="preserve"> SEQ Table \* ARABIC </w:instrText>
      </w:r>
      <w:r w:rsidRPr="00DA11AE">
        <w:rPr>
          <w:noProof/>
          <w:lang w:val="en-GB"/>
        </w:rPr>
        <w:fldChar w:fldCharType="separate"/>
      </w:r>
      <w:r w:rsidRPr="00DA11AE">
        <w:rPr>
          <w:noProof/>
          <w:lang w:val="en-GB"/>
        </w:rPr>
        <w:t>3</w:t>
      </w:r>
      <w:r w:rsidRPr="00DA11AE">
        <w:rPr>
          <w:noProof/>
          <w:lang w:val="en-GB"/>
        </w:rPr>
        <w:fldChar w:fldCharType="end"/>
      </w:r>
      <w:r w:rsidRPr="00DA11AE">
        <w:rPr>
          <w:noProof/>
          <w:lang w:val="en-GB"/>
        </w:rPr>
        <w:t>: Parameter estimates from the best-fitting social relations model</w:t>
      </w:r>
      <w:r w:rsidR="00035EB9">
        <w:rPr>
          <w:noProof/>
          <w:lang w:val="en-GB"/>
        </w:rPr>
        <w:t xml:space="preserve"> (relatedness + siida membership + gifts)</w:t>
      </w:r>
      <w:r w:rsidR="00A15733">
        <w:rPr>
          <w:noProof/>
          <w:lang w:val="en-GB"/>
        </w:rPr>
        <w:t>. ‘Ego interviewed’, ‘same siida’ and ‘gave gift’ are all binary predictors; relatedness is continuous</w:t>
      </w:r>
      <w:r w:rsidRPr="00DA11AE">
        <w:rPr>
          <w:noProof/>
          <w:lang w:val="en-GB"/>
        </w:rPr>
        <w:t>. All parameters are statistically different from zero.</w:t>
      </w:r>
    </w:p>
    <w:tbl>
      <w:tblPr>
        <w:tblW w:w="5388" w:type="dxa"/>
        <w:jc w:val="center"/>
        <w:tblLook w:val="04A0" w:firstRow="1" w:lastRow="0" w:firstColumn="1" w:lastColumn="0" w:noHBand="0" w:noVBand="1"/>
      </w:tblPr>
      <w:tblGrid>
        <w:gridCol w:w="2207"/>
        <w:gridCol w:w="1037"/>
        <w:gridCol w:w="1037"/>
        <w:gridCol w:w="1107"/>
      </w:tblGrid>
      <w:tr w:rsidR="000A298E" w:rsidRPr="00DA11AE" w14:paraId="0200408D" w14:textId="77777777" w:rsidTr="00E84A78">
        <w:trPr>
          <w:trHeight w:val="60"/>
          <w:jc w:val="center"/>
        </w:trPr>
        <w:tc>
          <w:tcPr>
            <w:tcW w:w="2207" w:type="dxa"/>
            <w:tcBorders>
              <w:top w:val="nil"/>
              <w:left w:val="nil"/>
              <w:bottom w:val="single" w:sz="4" w:space="0" w:color="auto"/>
              <w:right w:val="nil"/>
            </w:tcBorders>
            <w:shd w:val="clear" w:color="auto" w:fill="auto"/>
            <w:noWrap/>
            <w:vAlign w:val="center"/>
            <w:hideMark/>
          </w:tcPr>
          <w:p w14:paraId="1F4E6342" w14:textId="77777777" w:rsidR="000A298E" w:rsidRPr="00DA11AE" w:rsidRDefault="000A298E" w:rsidP="008508AA">
            <w:pPr>
              <w:spacing w:after="0" w:line="240" w:lineRule="auto"/>
              <w:jc w:val="center"/>
              <w:rPr>
                <w:rFonts w:ascii="Calibri" w:hAnsi="Calibri" w:cs="Calibri"/>
                <w:b/>
                <w:bCs/>
                <w:noProof/>
                <w:color w:val="000000"/>
                <w:sz w:val="18"/>
                <w:szCs w:val="18"/>
              </w:rPr>
            </w:pPr>
            <w:r w:rsidRPr="00DA11AE">
              <w:rPr>
                <w:rFonts w:ascii="Calibri" w:hAnsi="Calibri" w:cs="Calibri"/>
                <w:b/>
                <w:bCs/>
                <w:noProof/>
                <w:color w:val="000000"/>
                <w:sz w:val="18"/>
                <w:szCs w:val="18"/>
              </w:rPr>
              <w:t>Parameter</w:t>
            </w:r>
          </w:p>
        </w:tc>
        <w:tc>
          <w:tcPr>
            <w:tcW w:w="1037" w:type="dxa"/>
            <w:tcBorders>
              <w:top w:val="nil"/>
              <w:left w:val="nil"/>
              <w:bottom w:val="single" w:sz="4" w:space="0" w:color="auto"/>
              <w:right w:val="nil"/>
            </w:tcBorders>
            <w:shd w:val="clear" w:color="auto" w:fill="auto"/>
            <w:noWrap/>
            <w:vAlign w:val="center"/>
            <w:hideMark/>
          </w:tcPr>
          <w:p w14:paraId="1D42AC34" w14:textId="77777777" w:rsidR="000A298E" w:rsidRPr="00DA11AE" w:rsidRDefault="000A298E" w:rsidP="008508AA">
            <w:pPr>
              <w:spacing w:after="0" w:line="240" w:lineRule="auto"/>
              <w:jc w:val="center"/>
              <w:rPr>
                <w:rFonts w:ascii="Calibri" w:hAnsi="Calibri" w:cs="Calibri"/>
                <w:b/>
                <w:bCs/>
                <w:noProof/>
                <w:color w:val="000000"/>
                <w:sz w:val="18"/>
                <w:szCs w:val="18"/>
              </w:rPr>
            </w:pPr>
            <w:r w:rsidRPr="00DA11AE">
              <w:rPr>
                <w:rFonts w:ascii="Calibri" w:hAnsi="Calibri" w:cs="Calibri"/>
                <w:b/>
                <w:bCs/>
                <w:noProof/>
                <w:color w:val="000000"/>
                <w:sz w:val="18"/>
                <w:szCs w:val="18"/>
              </w:rPr>
              <w:t>Log-odds</w:t>
            </w:r>
          </w:p>
        </w:tc>
        <w:tc>
          <w:tcPr>
            <w:tcW w:w="2144" w:type="dxa"/>
            <w:gridSpan w:val="2"/>
            <w:tcBorders>
              <w:top w:val="nil"/>
              <w:left w:val="nil"/>
              <w:bottom w:val="single" w:sz="4" w:space="0" w:color="auto"/>
              <w:right w:val="nil"/>
            </w:tcBorders>
            <w:shd w:val="clear" w:color="auto" w:fill="auto"/>
            <w:noWrap/>
            <w:vAlign w:val="center"/>
            <w:hideMark/>
          </w:tcPr>
          <w:p w14:paraId="21D4F679" w14:textId="77777777" w:rsidR="000A298E" w:rsidRPr="00DA11AE" w:rsidRDefault="000A298E" w:rsidP="008508AA">
            <w:pPr>
              <w:spacing w:after="0" w:line="240" w:lineRule="auto"/>
              <w:jc w:val="center"/>
              <w:rPr>
                <w:rFonts w:ascii="Calibri" w:hAnsi="Calibri" w:cs="Calibri"/>
                <w:b/>
                <w:bCs/>
                <w:noProof/>
                <w:color w:val="000000"/>
                <w:sz w:val="18"/>
                <w:szCs w:val="18"/>
              </w:rPr>
            </w:pPr>
            <w:r w:rsidRPr="00DA11AE">
              <w:rPr>
                <w:rFonts w:ascii="Calibri" w:hAnsi="Calibri" w:cs="Calibri"/>
                <w:b/>
                <w:bCs/>
                <w:noProof/>
                <w:color w:val="000000"/>
                <w:sz w:val="18"/>
                <w:szCs w:val="18"/>
              </w:rPr>
              <w:t>95% credible interval</w:t>
            </w:r>
          </w:p>
        </w:tc>
      </w:tr>
      <w:tr w:rsidR="00B755E9" w:rsidRPr="00DA11AE" w14:paraId="3E218F92" w14:textId="77777777" w:rsidTr="00E84A78">
        <w:trPr>
          <w:trHeight w:val="50"/>
          <w:jc w:val="center"/>
        </w:trPr>
        <w:tc>
          <w:tcPr>
            <w:tcW w:w="2207" w:type="dxa"/>
            <w:tcBorders>
              <w:top w:val="single" w:sz="4" w:space="0" w:color="auto"/>
              <w:left w:val="nil"/>
              <w:bottom w:val="nil"/>
              <w:right w:val="nil"/>
            </w:tcBorders>
            <w:shd w:val="clear" w:color="auto" w:fill="auto"/>
            <w:noWrap/>
            <w:vAlign w:val="center"/>
            <w:hideMark/>
          </w:tcPr>
          <w:p w14:paraId="5EB9045D" w14:textId="77777777" w:rsidR="00B755E9" w:rsidRPr="00DA11AE" w:rsidRDefault="00B755E9" w:rsidP="00B755E9">
            <w:pPr>
              <w:spacing w:after="0" w:line="240" w:lineRule="auto"/>
              <w:rPr>
                <w:rFonts w:ascii="Calibri" w:hAnsi="Calibri" w:cs="Calibri"/>
                <w:noProof/>
                <w:color w:val="000000"/>
                <w:sz w:val="18"/>
                <w:szCs w:val="18"/>
              </w:rPr>
            </w:pPr>
            <w:r w:rsidRPr="00DA11AE">
              <w:rPr>
                <w:rFonts w:ascii="Calibri" w:hAnsi="Calibri" w:cs="Calibri"/>
                <w:noProof/>
                <w:color w:val="000000"/>
                <w:sz w:val="18"/>
                <w:szCs w:val="18"/>
              </w:rPr>
              <w:t>Intercept</w:t>
            </w:r>
          </w:p>
        </w:tc>
        <w:tc>
          <w:tcPr>
            <w:tcW w:w="1037" w:type="dxa"/>
            <w:tcBorders>
              <w:top w:val="single" w:sz="4" w:space="0" w:color="auto"/>
              <w:left w:val="nil"/>
              <w:bottom w:val="nil"/>
              <w:right w:val="nil"/>
            </w:tcBorders>
            <w:shd w:val="clear" w:color="auto" w:fill="auto"/>
            <w:noWrap/>
            <w:vAlign w:val="center"/>
            <w:hideMark/>
          </w:tcPr>
          <w:p w14:paraId="7AE944E4" w14:textId="4B07E7FF" w:rsidR="00B755E9" w:rsidRPr="00E84A78" w:rsidRDefault="00B755E9">
            <w:pPr>
              <w:pStyle w:val="NoSpacing"/>
              <w:jc w:val="right"/>
              <w:rPr>
                <w:sz w:val="18"/>
              </w:rPr>
            </w:pPr>
            <w:r w:rsidRPr="00E84A78">
              <w:rPr>
                <w:sz w:val="18"/>
              </w:rPr>
              <w:t>-6.054</w:t>
            </w:r>
          </w:p>
        </w:tc>
        <w:tc>
          <w:tcPr>
            <w:tcW w:w="1037" w:type="dxa"/>
            <w:tcBorders>
              <w:top w:val="single" w:sz="4" w:space="0" w:color="auto"/>
              <w:left w:val="nil"/>
              <w:bottom w:val="nil"/>
              <w:right w:val="nil"/>
            </w:tcBorders>
            <w:shd w:val="clear" w:color="auto" w:fill="auto"/>
            <w:noWrap/>
            <w:vAlign w:val="center"/>
            <w:hideMark/>
          </w:tcPr>
          <w:p w14:paraId="6204DF41" w14:textId="095BECCB" w:rsidR="00B755E9" w:rsidRPr="00E84A78" w:rsidRDefault="00B755E9">
            <w:pPr>
              <w:pStyle w:val="NoSpacing"/>
              <w:jc w:val="right"/>
              <w:rPr>
                <w:sz w:val="18"/>
              </w:rPr>
            </w:pPr>
            <w:r w:rsidRPr="00E84A78">
              <w:rPr>
                <w:sz w:val="18"/>
              </w:rPr>
              <w:t>-7.073</w:t>
            </w:r>
          </w:p>
        </w:tc>
        <w:tc>
          <w:tcPr>
            <w:tcW w:w="1107" w:type="dxa"/>
            <w:tcBorders>
              <w:top w:val="single" w:sz="4" w:space="0" w:color="auto"/>
              <w:left w:val="nil"/>
              <w:bottom w:val="nil"/>
              <w:right w:val="nil"/>
            </w:tcBorders>
            <w:shd w:val="clear" w:color="auto" w:fill="auto"/>
            <w:noWrap/>
            <w:vAlign w:val="center"/>
            <w:hideMark/>
          </w:tcPr>
          <w:p w14:paraId="6FF5A756" w14:textId="2697E258" w:rsidR="00B755E9" w:rsidRPr="00E84A78" w:rsidRDefault="00B755E9">
            <w:pPr>
              <w:pStyle w:val="NoSpacing"/>
              <w:jc w:val="right"/>
              <w:rPr>
                <w:sz w:val="18"/>
              </w:rPr>
            </w:pPr>
            <w:r w:rsidRPr="00E84A78">
              <w:rPr>
                <w:sz w:val="18"/>
              </w:rPr>
              <w:t>-5.168</w:t>
            </w:r>
          </w:p>
        </w:tc>
      </w:tr>
      <w:tr w:rsidR="00B755E9" w:rsidRPr="00DA11AE" w14:paraId="15C426E2" w14:textId="77777777" w:rsidTr="00E84A78">
        <w:trPr>
          <w:trHeight w:val="60"/>
          <w:jc w:val="center"/>
        </w:trPr>
        <w:tc>
          <w:tcPr>
            <w:tcW w:w="2207" w:type="dxa"/>
            <w:tcBorders>
              <w:top w:val="nil"/>
              <w:left w:val="nil"/>
              <w:bottom w:val="nil"/>
              <w:right w:val="nil"/>
            </w:tcBorders>
            <w:shd w:val="clear" w:color="auto" w:fill="auto"/>
            <w:noWrap/>
            <w:vAlign w:val="center"/>
            <w:hideMark/>
          </w:tcPr>
          <w:p w14:paraId="288D9B4C" w14:textId="3667BCE1" w:rsidR="00B755E9" w:rsidRPr="00DA11AE" w:rsidRDefault="00B755E9" w:rsidP="00B755E9">
            <w:pPr>
              <w:spacing w:after="0" w:line="240" w:lineRule="auto"/>
              <w:rPr>
                <w:rFonts w:ascii="Calibri" w:hAnsi="Calibri" w:cs="Calibri"/>
                <w:noProof/>
                <w:color w:val="000000"/>
                <w:sz w:val="18"/>
                <w:szCs w:val="18"/>
              </w:rPr>
            </w:pPr>
            <w:r w:rsidRPr="00DA11AE">
              <w:rPr>
                <w:rFonts w:ascii="Calibri" w:hAnsi="Calibri" w:cs="Calibri"/>
                <w:noProof/>
                <w:color w:val="000000"/>
                <w:sz w:val="18"/>
                <w:szCs w:val="18"/>
              </w:rPr>
              <w:t>Ego interviewed?</w:t>
            </w:r>
            <w:r w:rsidR="002505B9">
              <w:rPr>
                <w:rFonts w:ascii="Calibri" w:hAnsi="Calibri" w:cs="Calibri"/>
                <w:noProof/>
                <w:color w:val="000000"/>
                <w:sz w:val="18"/>
                <w:szCs w:val="18"/>
              </w:rPr>
              <w:t xml:space="preserve"> (ref: no)</w:t>
            </w:r>
          </w:p>
        </w:tc>
        <w:tc>
          <w:tcPr>
            <w:tcW w:w="1037" w:type="dxa"/>
            <w:tcBorders>
              <w:top w:val="nil"/>
              <w:left w:val="nil"/>
              <w:bottom w:val="nil"/>
              <w:right w:val="nil"/>
            </w:tcBorders>
            <w:shd w:val="clear" w:color="auto" w:fill="auto"/>
            <w:noWrap/>
            <w:vAlign w:val="center"/>
            <w:hideMark/>
          </w:tcPr>
          <w:p w14:paraId="5B8B827B" w14:textId="2BD2FF18" w:rsidR="00B755E9" w:rsidRPr="00E84A78" w:rsidRDefault="00B755E9">
            <w:pPr>
              <w:pStyle w:val="NoSpacing"/>
              <w:jc w:val="right"/>
              <w:rPr>
                <w:sz w:val="18"/>
              </w:rPr>
            </w:pPr>
            <w:r w:rsidRPr="00E84A78">
              <w:rPr>
                <w:sz w:val="18"/>
              </w:rPr>
              <w:t>2.587</w:t>
            </w:r>
          </w:p>
        </w:tc>
        <w:tc>
          <w:tcPr>
            <w:tcW w:w="1037" w:type="dxa"/>
            <w:tcBorders>
              <w:top w:val="nil"/>
              <w:left w:val="nil"/>
              <w:bottom w:val="nil"/>
              <w:right w:val="nil"/>
            </w:tcBorders>
            <w:shd w:val="clear" w:color="auto" w:fill="auto"/>
            <w:noWrap/>
            <w:vAlign w:val="center"/>
            <w:hideMark/>
          </w:tcPr>
          <w:p w14:paraId="12199AA7" w14:textId="58910D3D" w:rsidR="00B755E9" w:rsidRPr="00E84A78" w:rsidRDefault="00B755E9">
            <w:pPr>
              <w:pStyle w:val="NoSpacing"/>
              <w:jc w:val="right"/>
              <w:rPr>
                <w:sz w:val="18"/>
              </w:rPr>
            </w:pPr>
            <w:r w:rsidRPr="00E84A78">
              <w:rPr>
                <w:sz w:val="18"/>
              </w:rPr>
              <w:t>1.873</w:t>
            </w:r>
          </w:p>
        </w:tc>
        <w:tc>
          <w:tcPr>
            <w:tcW w:w="1107" w:type="dxa"/>
            <w:tcBorders>
              <w:top w:val="nil"/>
              <w:left w:val="nil"/>
              <w:bottom w:val="nil"/>
              <w:right w:val="nil"/>
            </w:tcBorders>
            <w:shd w:val="clear" w:color="auto" w:fill="auto"/>
            <w:noWrap/>
            <w:vAlign w:val="center"/>
            <w:hideMark/>
          </w:tcPr>
          <w:p w14:paraId="7B4EB6B5" w14:textId="4FB5CEFA" w:rsidR="00B755E9" w:rsidRPr="00E84A78" w:rsidRDefault="00B755E9">
            <w:pPr>
              <w:pStyle w:val="NoSpacing"/>
              <w:jc w:val="right"/>
              <w:rPr>
                <w:sz w:val="18"/>
              </w:rPr>
            </w:pPr>
            <w:r w:rsidRPr="00E84A78">
              <w:rPr>
                <w:sz w:val="18"/>
              </w:rPr>
              <w:t>3.373</w:t>
            </w:r>
          </w:p>
        </w:tc>
      </w:tr>
      <w:tr w:rsidR="00B755E9" w:rsidRPr="00DA11AE" w14:paraId="5EA79501" w14:textId="77777777" w:rsidTr="00E84A78">
        <w:trPr>
          <w:trHeight w:val="60"/>
          <w:jc w:val="center"/>
        </w:trPr>
        <w:tc>
          <w:tcPr>
            <w:tcW w:w="2207" w:type="dxa"/>
            <w:tcBorders>
              <w:top w:val="nil"/>
              <w:left w:val="nil"/>
              <w:bottom w:val="nil"/>
              <w:right w:val="nil"/>
            </w:tcBorders>
            <w:shd w:val="clear" w:color="auto" w:fill="auto"/>
            <w:noWrap/>
            <w:vAlign w:val="center"/>
            <w:hideMark/>
          </w:tcPr>
          <w:p w14:paraId="21145996" w14:textId="0CD2234A" w:rsidR="00B755E9" w:rsidRPr="00E84A78" w:rsidRDefault="00D60860" w:rsidP="00B755E9">
            <w:pPr>
              <w:spacing w:after="0" w:line="240" w:lineRule="auto"/>
              <w:rPr>
                <w:rFonts w:ascii="Calibri" w:hAnsi="Calibri" w:cs="Calibri"/>
                <w:iCs/>
                <w:noProof/>
                <w:color w:val="000000"/>
                <w:sz w:val="18"/>
                <w:szCs w:val="18"/>
              </w:rPr>
            </w:pPr>
            <w:r w:rsidRPr="00E84A78">
              <w:rPr>
                <w:rFonts w:ascii="Calibri" w:hAnsi="Calibri" w:cs="Calibri"/>
                <w:iCs/>
                <w:noProof/>
                <w:color w:val="000000"/>
                <w:sz w:val="18"/>
                <w:szCs w:val="18"/>
              </w:rPr>
              <w:t>Relatedness (</w:t>
            </w:r>
            <w:r w:rsidRPr="00E84A78">
              <w:rPr>
                <w:rFonts w:ascii="Calibri" w:hAnsi="Calibri" w:cs="Calibri"/>
                <w:i/>
                <w:iCs/>
                <w:noProof/>
                <w:color w:val="000000"/>
                <w:sz w:val="18"/>
                <w:szCs w:val="18"/>
              </w:rPr>
              <w:t>r</w:t>
            </w:r>
            <w:r w:rsidRPr="00E84A78">
              <w:rPr>
                <w:rFonts w:ascii="Calibri" w:hAnsi="Calibri" w:cs="Calibri"/>
                <w:iCs/>
                <w:noProof/>
                <w:color w:val="000000"/>
                <w:sz w:val="18"/>
                <w:szCs w:val="18"/>
              </w:rPr>
              <w:t>)</w:t>
            </w:r>
          </w:p>
        </w:tc>
        <w:tc>
          <w:tcPr>
            <w:tcW w:w="1037" w:type="dxa"/>
            <w:tcBorders>
              <w:top w:val="nil"/>
              <w:left w:val="nil"/>
              <w:bottom w:val="nil"/>
              <w:right w:val="nil"/>
            </w:tcBorders>
            <w:shd w:val="clear" w:color="auto" w:fill="auto"/>
            <w:noWrap/>
            <w:vAlign w:val="center"/>
            <w:hideMark/>
          </w:tcPr>
          <w:p w14:paraId="24BD8CC9" w14:textId="74A098E2" w:rsidR="00B755E9" w:rsidRPr="00E84A78" w:rsidRDefault="00B755E9">
            <w:pPr>
              <w:pStyle w:val="NoSpacing"/>
              <w:jc w:val="right"/>
              <w:rPr>
                <w:sz w:val="18"/>
              </w:rPr>
            </w:pPr>
            <w:r w:rsidRPr="00E84A78">
              <w:rPr>
                <w:sz w:val="18"/>
              </w:rPr>
              <w:t>4.639</w:t>
            </w:r>
          </w:p>
        </w:tc>
        <w:tc>
          <w:tcPr>
            <w:tcW w:w="1037" w:type="dxa"/>
            <w:tcBorders>
              <w:top w:val="nil"/>
              <w:left w:val="nil"/>
              <w:bottom w:val="nil"/>
              <w:right w:val="nil"/>
            </w:tcBorders>
            <w:shd w:val="clear" w:color="auto" w:fill="auto"/>
            <w:noWrap/>
            <w:vAlign w:val="center"/>
            <w:hideMark/>
          </w:tcPr>
          <w:p w14:paraId="16CEC4D4" w14:textId="50160F7C" w:rsidR="00B755E9" w:rsidRPr="00E84A78" w:rsidRDefault="00B755E9">
            <w:pPr>
              <w:pStyle w:val="NoSpacing"/>
              <w:jc w:val="right"/>
              <w:rPr>
                <w:sz w:val="18"/>
              </w:rPr>
            </w:pPr>
            <w:r w:rsidRPr="00E84A78">
              <w:rPr>
                <w:sz w:val="18"/>
              </w:rPr>
              <w:t>3.290</w:t>
            </w:r>
          </w:p>
        </w:tc>
        <w:tc>
          <w:tcPr>
            <w:tcW w:w="1107" w:type="dxa"/>
            <w:tcBorders>
              <w:top w:val="nil"/>
              <w:left w:val="nil"/>
              <w:bottom w:val="nil"/>
              <w:right w:val="nil"/>
            </w:tcBorders>
            <w:shd w:val="clear" w:color="auto" w:fill="auto"/>
            <w:noWrap/>
            <w:vAlign w:val="center"/>
            <w:hideMark/>
          </w:tcPr>
          <w:p w14:paraId="1561A946" w14:textId="795CEBC6" w:rsidR="00B755E9" w:rsidRPr="00E84A78" w:rsidRDefault="00B755E9">
            <w:pPr>
              <w:pStyle w:val="NoSpacing"/>
              <w:jc w:val="right"/>
              <w:rPr>
                <w:sz w:val="18"/>
              </w:rPr>
            </w:pPr>
            <w:r w:rsidRPr="00E84A78">
              <w:rPr>
                <w:sz w:val="18"/>
              </w:rPr>
              <w:t>6.100</w:t>
            </w:r>
          </w:p>
        </w:tc>
      </w:tr>
      <w:tr w:rsidR="00B755E9" w:rsidRPr="00DA11AE" w14:paraId="777CF9E8" w14:textId="77777777" w:rsidTr="00E84A78">
        <w:trPr>
          <w:trHeight w:val="60"/>
          <w:jc w:val="center"/>
        </w:trPr>
        <w:tc>
          <w:tcPr>
            <w:tcW w:w="2207" w:type="dxa"/>
            <w:tcBorders>
              <w:top w:val="nil"/>
              <w:left w:val="nil"/>
              <w:bottom w:val="nil"/>
              <w:right w:val="nil"/>
            </w:tcBorders>
            <w:shd w:val="clear" w:color="auto" w:fill="auto"/>
            <w:noWrap/>
            <w:vAlign w:val="center"/>
            <w:hideMark/>
          </w:tcPr>
          <w:p w14:paraId="5E0C3881" w14:textId="210EAF0B" w:rsidR="00B755E9" w:rsidRPr="00DA11AE" w:rsidRDefault="00B755E9" w:rsidP="00B755E9">
            <w:pPr>
              <w:spacing w:after="0" w:line="240" w:lineRule="auto"/>
              <w:rPr>
                <w:rFonts w:ascii="Calibri" w:hAnsi="Calibri" w:cs="Calibri"/>
                <w:noProof/>
                <w:color w:val="000000"/>
                <w:sz w:val="18"/>
                <w:szCs w:val="18"/>
              </w:rPr>
            </w:pPr>
            <w:r w:rsidRPr="00DA11AE">
              <w:rPr>
                <w:rFonts w:ascii="Calibri" w:hAnsi="Calibri" w:cs="Calibri"/>
                <w:noProof/>
                <w:color w:val="000000"/>
                <w:sz w:val="18"/>
                <w:szCs w:val="18"/>
              </w:rPr>
              <w:t>Same siida?</w:t>
            </w:r>
            <w:r w:rsidR="002505B9">
              <w:rPr>
                <w:rFonts w:ascii="Calibri" w:hAnsi="Calibri" w:cs="Calibri"/>
                <w:noProof/>
                <w:color w:val="000000"/>
                <w:sz w:val="18"/>
                <w:szCs w:val="18"/>
              </w:rPr>
              <w:t xml:space="preserve"> (ref: no)</w:t>
            </w:r>
          </w:p>
        </w:tc>
        <w:tc>
          <w:tcPr>
            <w:tcW w:w="1037" w:type="dxa"/>
            <w:tcBorders>
              <w:top w:val="nil"/>
              <w:left w:val="nil"/>
              <w:bottom w:val="nil"/>
              <w:right w:val="nil"/>
            </w:tcBorders>
            <w:shd w:val="clear" w:color="auto" w:fill="auto"/>
            <w:noWrap/>
            <w:vAlign w:val="center"/>
            <w:hideMark/>
          </w:tcPr>
          <w:p w14:paraId="15E09158" w14:textId="7CCE0210" w:rsidR="00B755E9" w:rsidRPr="00E84A78" w:rsidRDefault="00B755E9">
            <w:pPr>
              <w:pStyle w:val="NoSpacing"/>
              <w:jc w:val="right"/>
              <w:rPr>
                <w:sz w:val="18"/>
              </w:rPr>
            </w:pPr>
            <w:r w:rsidRPr="00E84A78">
              <w:rPr>
                <w:sz w:val="18"/>
              </w:rPr>
              <w:t>2.239</w:t>
            </w:r>
          </w:p>
        </w:tc>
        <w:tc>
          <w:tcPr>
            <w:tcW w:w="1037" w:type="dxa"/>
            <w:tcBorders>
              <w:top w:val="nil"/>
              <w:left w:val="nil"/>
              <w:bottom w:val="nil"/>
              <w:right w:val="nil"/>
            </w:tcBorders>
            <w:shd w:val="clear" w:color="auto" w:fill="auto"/>
            <w:noWrap/>
            <w:vAlign w:val="center"/>
            <w:hideMark/>
          </w:tcPr>
          <w:p w14:paraId="6334A6B2" w14:textId="063218D3" w:rsidR="00B755E9" w:rsidRPr="00E84A78" w:rsidRDefault="00B755E9">
            <w:pPr>
              <w:pStyle w:val="NoSpacing"/>
              <w:jc w:val="right"/>
              <w:rPr>
                <w:sz w:val="18"/>
              </w:rPr>
            </w:pPr>
            <w:r w:rsidRPr="00E84A78">
              <w:rPr>
                <w:sz w:val="18"/>
              </w:rPr>
              <w:t>1.873</w:t>
            </w:r>
          </w:p>
        </w:tc>
        <w:tc>
          <w:tcPr>
            <w:tcW w:w="1107" w:type="dxa"/>
            <w:tcBorders>
              <w:top w:val="nil"/>
              <w:left w:val="nil"/>
              <w:bottom w:val="nil"/>
              <w:right w:val="nil"/>
            </w:tcBorders>
            <w:shd w:val="clear" w:color="auto" w:fill="auto"/>
            <w:noWrap/>
            <w:vAlign w:val="center"/>
            <w:hideMark/>
          </w:tcPr>
          <w:p w14:paraId="75EBF0AC" w14:textId="4AEF179D" w:rsidR="00B755E9" w:rsidRPr="00E84A78" w:rsidRDefault="00B755E9">
            <w:pPr>
              <w:pStyle w:val="NoSpacing"/>
              <w:jc w:val="right"/>
              <w:rPr>
                <w:sz w:val="18"/>
              </w:rPr>
            </w:pPr>
            <w:r w:rsidRPr="00E84A78">
              <w:rPr>
                <w:sz w:val="18"/>
              </w:rPr>
              <w:t>2.710</w:t>
            </w:r>
          </w:p>
        </w:tc>
      </w:tr>
      <w:tr w:rsidR="00B755E9" w:rsidRPr="00DA11AE" w14:paraId="5696919A" w14:textId="77777777" w:rsidTr="00E84A78">
        <w:trPr>
          <w:trHeight w:val="60"/>
          <w:jc w:val="center"/>
        </w:trPr>
        <w:tc>
          <w:tcPr>
            <w:tcW w:w="2207" w:type="dxa"/>
            <w:tcBorders>
              <w:top w:val="nil"/>
              <w:left w:val="nil"/>
              <w:right w:val="nil"/>
            </w:tcBorders>
            <w:shd w:val="clear" w:color="auto" w:fill="auto"/>
            <w:noWrap/>
            <w:vAlign w:val="center"/>
            <w:hideMark/>
          </w:tcPr>
          <w:p w14:paraId="108C2A34" w14:textId="0CF8325D" w:rsidR="00B755E9" w:rsidRPr="00DA11AE" w:rsidRDefault="00B755E9" w:rsidP="00B755E9">
            <w:pPr>
              <w:spacing w:after="0" w:line="240" w:lineRule="auto"/>
              <w:rPr>
                <w:rFonts w:ascii="Calibri" w:hAnsi="Calibri" w:cs="Calibri"/>
                <w:noProof/>
                <w:color w:val="000000"/>
                <w:sz w:val="18"/>
                <w:szCs w:val="18"/>
              </w:rPr>
            </w:pPr>
            <w:r w:rsidRPr="00DA11AE">
              <w:rPr>
                <w:rFonts w:ascii="Calibri" w:hAnsi="Calibri" w:cs="Calibri"/>
                <w:noProof/>
                <w:color w:val="000000"/>
                <w:sz w:val="18"/>
                <w:szCs w:val="18"/>
              </w:rPr>
              <w:t>Gave gift?</w:t>
            </w:r>
            <w:r w:rsidR="002505B9">
              <w:rPr>
                <w:rFonts w:ascii="Calibri" w:hAnsi="Calibri" w:cs="Calibri"/>
                <w:noProof/>
                <w:color w:val="000000"/>
                <w:sz w:val="18"/>
                <w:szCs w:val="18"/>
              </w:rPr>
              <w:t xml:space="preserve"> (ref: no)</w:t>
            </w:r>
          </w:p>
        </w:tc>
        <w:tc>
          <w:tcPr>
            <w:tcW w:w="1037" w:type="dxa"/>
            <w:tcBorders>
              <w:top w:val="nil"/>
              <w:left w:val="nil"/>
              <w:right w:val="nil"/>
            </w:tcBorders>
            <w:shd w:val="clear" w:color="auto" w:fill="auto"/>
            <w:noWrap/>
            <w:vAlign w:val="center"/>
            <w:hideMark/>
          </w:tcPr>
          <w:p w14:paraId="6C3BB62C" w14:textId="5169CE61" w:rsidR="00B755E9" w:rsidRPr="00E84A78" w:rsidRDefault="00B755E9">
            <w:pPr>
              <w:pStyle w:val="NoSpacing"/>
              <w:jc w:val="right"/>
              <w:rPr>
                <w:sz w:val="18"/>
              </w:rPr>
            </w:pPr>
            <w:r w:rsidRPr="00E84A78">
              <w:rPr>
                <w:sz w:val="18"/>
              </w:rPr>
              <w:t>1.847</w:t>
            </w:r>
          </w:p>
        </w:tc>
        <w:tc>
          <w:tcPr>
            <w:tcW w:w="1037" w:type="dxa"/>
            <w:tcBorders>
              <w:top w:val="nil"/>
              <w:left w:val="nil"/>
              <w:right w:val="nil"/>
            </w:tcBorders>
            <w:shd w:val="clear" w:color="auto" w:fill="auto"/>
            <w:noWrap/>
            <w:vAlign w:val="center"/>
            <w:hideMark/>
          </w:tcPr>
          <w:p w14:paraId="49C8B969" w14:textId="631F521A" w:rsidR="00B755E9" w:rsidRPr="00E84A78" w:rsidRDefault="00B755E9">
            <w:pPr>
              <w:pStyle w:val="NoSpacing"/>
              <w:jc w:val="right"/>
              <w:rPr>
                <w:sz w:val="18"/>
              </w:rPr>
            </w:pPr>
            <w:r w:rsidRPr="00E84A78">
              <w:rPr>
                <w:sz w:val="18"/>
              </w:rPr>
              <w:t>1.139</w:t>
            </w:r>
          </w:p>
        </w:tc>
        <w:tc>
          <w:tcPr>
            <w:tcW w:w="1107" w:type="dxa"/>
            <w:tcBorders>
              <w:top w:val="nil"/>
              <w:left w:val="nil"/>
              <w:right w:val="nil"/>
            </w:tcBorders>
            <w:shd w:val="clear" w:color="auto" w:fill="auto"/>
            <w:noWrap/>
            <w:vAlign w:val="center"/>
            <w:hideMark/>
          </w:tcPr>
          <w:p w14:paraId="347DBBB3" w14:textId="439D9ABE" w:rsidR="00B755E9" w:rsidRPr="00E84A78" w:rsidRDefault="00B755E9">
            <w:pPr>
              <w:pStyle w:val="NoSpacing"/>
              <w:jc w:val="right"/>
              <w:rPr>
                <w:sz w:val="18"/>
              </w:rPr>
            </w:pPr>
            <w:r w:rsidRPr="00E84A78">
              <w:rPr>
                <w:sz w:val="18"/>
              </w:rPr>
              <w:t>2.549</w:t>
            </w:r>
          </w:p>
        </w:tc>
      </w:tr>
      <w:tr w:rsidR="00B755E9" w:rsidRPr="00DA11AE" w14:paraId="316B7B59" w14:textId="77777777" w:rsidTr="00E84A78">
        <w:trPr>
          <w:trHeight w:val="60"/>
          <w:jc w:val="center"/>
        </w:trPr>
        <w:tc>
          <w:tcPr>
            <w:tcW w:w="2207" w:type="dxa"/>
            <w:tcBorders>
              <w:top w:val="nil"/>
              <w:left w:val="nil"/>
              <w:bottom w:val="single" w:sz="4" w:space="0" w:color="auto"/>
              <w:right w:val="nil"/>
            </w:tcBorders>
            <w:shd w:val="clear" w:color="auto" w:fill="auto"/>
            <w:noWrap/>
            <w:vAlign w:val="center"/>
            <w:hideMark/>
          </w:tcPr>
          <w:p w14:paraId="695C9709" w14:textId="77777777" w:rsidR="00B755E9" w:rsidRPr="00DA11AE" w:rsidRDefault="00B755E9" w:rsidP="00B755E9">
            <w:pPr>
              <w:spacing w:after="0" w:line="240" w:lineRule="auto"/>
              <w:rPr>
                <w:rFonts w:ascii="Calibri" w:hAnsi="Calibri" w:cs="Calibri"/>
                <w:i/>
                <w:iCs/>
                <w:noProof/>
                <w:color w:val="000000"/>
                <w:sz w:val="18"/>
                <w:szCs w:val="18"/>
              </w:rPr>
            </w:pPr>
            <w:r w:rsidRPr="00DA11AE">
              <w:rPr>
                <w:rFonts w:ascii="Calibri" w:hAnsi="Calibri" w:cs="Calibri"/>
                <w:i/>
                <w:iCs/>
                <w:noProof/>
                <w:color w:val="000000"/>
                <w:sz w:val="18"/>
                <w:szCs w:val="18"/>
              </w:rPr>
              <w:t>r</w:t>
            </w:r>
            <w:r w:rsidRPr="00DA11AE">
              <w:rPr>
                <w:rFonts w:ascii="Calibri" w:hAnsi="Calibri" w:cs="Calibri"/>
                <w:noProof/>
                <w:color w:val="000000"/>
                <w:sz w:val="18"/>
                <w:szCs w:val="18"/>
              </w:rPr>
              <w:t xml:space="preserve"> × same siida</w:t>
            </w:r>
          </w:p>
        </w:tc>
        <w:tc>
          <w:tcPr>
            <w:tcW w:w="1037" w:type="dxa"/>
            <w:tcBorders>
              <w:top w:val="nil"/>
              <w:left w:val="nil"/>
              <w:bottom w:val="single" w:sz="4" w:space="0" w:color="auto"/>
              <w:right w:val="nil"/>
            </w:tcBorders>
            <w:shd w:val="clear" w:color="auto" w:fill="auto"/>
            <w:noWrap/>
            <w:vAlign w:val="center"/>
            <w:hideMark/>
          </w:tcPr>
          <w:p w14:paraId="201B2929" w14:textId="10464910" w:rsidR="00B755E9" w:rsidRPr="00E84A78" w:rsidRDefault="00B755E9">
            <w:pPr>
              <w:pStyle w:val="NoSpacing"/>
              <w:jc w:val="right"/>
              <w:rPr>
                <w:sz w:val="18"/>
              </w:rPr>
            </w:pPr>
            <w:r w:rsidRPr="00E84A78">
              <w:rPr>
                <w:sz w:val="18"/>
              </w:rPr>
              <w:t>-6.054</w:t>
            </w:r>
          </w:p>
        </w:tc>
        <w:tc>
          <w:tcPr>
            <w:tcW w:w="1037" w:type="dxa"/>
            <w:tcBorders>
              <w:top w:val="nil"/>
              <w:left w:val="nil"/>
              <w:bottom w:val="single" w:sz="4" w:space="0" w:color="auto"/>
              <w:right w:val="nil"/>
            </w:tcBorders>
            <w:shd w:val="clear" w:color="auto" w:fill="auto"/>
            <w:noWrap/>
            <w:vAlign w:val="center"/>
            <w:hideMark/>
          </w:tcPr>
          <w:p w14:paraId="4D06CB28" w14:textId="736D9CB6" w:rsidR="00B755E9" w:rsidRPr="00E84A78" w:rsidRDefault="00B755E9">
            <w:pPr>
              <w:pStyle w:val="NoSpacing"/>
              <w:jc w:val="right"/>
              <w:rPr>
                <w:sz w:val="18"/>
              </w:rPr>
            </w:pPr>
            <w:r w:rsidRPr="00E84A78">
              <w:rPr>
                <w:sz w:val="18"/>
              </w:rPr>
              <w:t>-7.073</w:t>
            </w:r>
          </w:p>
        </w:tc>
        <w:tc>
          <w:tcPr>
            <w:tcW w:w="1107" w:type="dxa"/>
            <w:tcBorders>
              <w:top w:val="nil"/>
              <w:left w:val="nil"/>
              <w:bottom w:val="single" w:sz="4" w:space="0" w:color="auto"/>
              <w:right w:val="nil"/>
            </w:tcBorders>
            <w:shd w:val="clear" w:color="auto" w:fill="auto"/>
            <w:noWrap/>
            <w:vAlign w:val="center"/>
            <w:hideMark/>
          </w:tcPr>
          <w:p w14:paraId="18AC9F64" w14:textId="4F21F145" w:rsidR="00B755E9" w:rsidRPr="00E84A78" w:rsidRDefault="00B755E9">
            <w:pPr>
              <w:pStyle w:val="NoSpacing"/>
              <w:jc w:val="right"/>
              <w:rPr>
                <w:sz w:val="18"/>
              </w:rPr>
            </w:pPr>
            <w:r w:rsidRPr="00E84A78">
              <w:rPr>
                <w:sz w:val="18"/>
              </w:rPr>
              <w:t>-5.168</w:t>
            </w:r>
          </w:p>
        </w:tc>
      </w:tr>
    </w:tbl>
    <w:p w14:paraId="0367CBC5" w14:textId="77777777" w:rsidR="00020B62" w:rsidRPr="00DA11AE" w:rsidRDefault="00020B62" w:rsidP="000A298E">
      <w:pPr>
        <w:rPr>
          <w:noProof/>
        </w:rPr>
      </w:pPr>
    </w:p>
    <w:p w14:paraId="2B91B934" w14:textId="0B1827B0" w:rsidR="000E3D0B" w:rsidRPr="00DA11AE" w:rsidRDefault="000E3D0B" w:rsidP="009E3EF1">
      <w:pPr>
        <w:rPr>
          <w:noProof/>
        </w:rPr>
      </w:pPr>
    </w:p>
    <w:p w14:paraId="024AC40D" w14:textId="77777777" w:rsidR="000E3D0B" w:rsidRPr="00DA11AE" w:rsidRDefault="000E3D0B">
      <w:pPr>
        <w:rPr>
          <w:noProof/>
        </w:rPr>
      </w:pPr>
      <w:r w:rsidRPr="00DA11AE">
        <w:rPr>
          <w:noProof/>
        </w:rPr>
        <w:br w:type="page"/>
      </w:r>
    </w:p>
    <w:p w14:paraId="3D092E1D" w14:textId="66197486" w:rsidR="009E3EF1" w:rsidRPr="00DA11AE" w:rsidRDefault="000E3D0B" w:rsidP="000E3D0B">
      <w:pPr>
        <w:pStyle w:val="Heading2"/>
        <w:rPr>
          <w:noProof/>
        </w:rPr>
      </w:pPr>
      <w:r w:rsidRPr="00DA11AE">
        <w:rPr>
          <w:noProof/>
        </w:rPr>
        <w:lastRenderedPageBreak/>
        <w:t>Supplementary references</w:t>
      </w:r>
    </w:p>
    <w:p w14:paraId="6C6C5795" w14:textId="4DEDCFE2" w:rsidR="00977E33" w:rsidRPr="00977E33" w:rsidRDefault="000E3D0B" w:rsidP="00977E33">
      <w:pPr>
        <w:widowControl w:val="0"/>
        <w:autoSpaceDE w:val="0"/>
        <w:autoSpaceDN w:val="0"/>
        <w:adjustRightInd w:val="0"/>
        <w:spacing w:line="240" w:lineRule="auto"/>
        <w:ind w:left="640" w:hanging="640"/>
        <w:rPr>
          <w:rFonts w:ascii="Calibri" w:hAnsi="Calibri" w:cs="Calibri"/>
          <w:noProof/>
          <w:szCs w:val="24"/>
        </w:rPr>
      </w:pPr>
      <w:r w:rsidRPr="00DA11AE">
        <w:rPr>
          <w:noProof/>
        </w:rPr>
        <w:fldChar w:fldCharType="begin" w:fldLock="1"/>
      </w:r>
      <w:r w:rsidRPr="00DA11AE">
        <w:rPr>
          <w:noProof/>
        </w:rPr>
        <w:instrText xml:space="preserve">ADDIN Mendeley Bibliography CSL_BIBLIOGRAPHY </w:instrText>
      </w:r>
      <w:r w:rsidRPr="00DA11AE">
        <w:rPr>
          <w:noProof/>
        </w:rPr>
        <w:fldChar w:fldCharType="separate"/>
      </w:r>
      <w:r w:rsidR="00977E33" w:rsidRPr="00977E33">
        <w:rPr>
          <w:rFonts w:ascii="Calibri" w:hAnsi="Calibri" w:cs="Calibri"/>
          <w:noProof/>
          <w:szCs w:val="24"/>
        </w:rPr>
        <w:t>1.</w:t>
      </w:r>
      <w:r w:rsidR="00977E33" w:rsidRPr="00977E33">
        <w:rPr>
          <w:rFonts w:ascii="Calibri" w:hAnsi="Calibri" w:cs="Calibri"/>
          <w:noProof/>
          <w:szCs w:val="24"/>
        </w:rPr>
        <w:tab/>
        <w:t xml:space="preserve">Paine, R. </w:t>
      </w:r>
      <w:r w:rsidR="00977E33" w:rsidRPr="00977E33">
        <w:rPr>
          <w:rFonts w:ascii="Calibri" w:hAnsi="Calibri" w:cs="Calibri"/>
          <w:i/>
          <w:iCs/>
          <w:noProof/>
          <w:szCs w:val="24"/>
        </w:rPr>
        <w:t>Herds of the Tundra: A Portrait of Saami Reindeer Pastoralism</w:t>
      </w:r>
      <w:r w:rsidR="00977E33" w:rsidRPr="00977E33">
        <w:rPr>
          <w:rFonts w:ascii="Calibri" w:hAnsi="Calibri" w:cs="Calibri"/>
          <w:noProof/>
          <w:szCs w:val="24"/>
        </w:rPr>
        <w:t>. (Smithsonian Institution Press, 1994).</w:t>
      </w:r>
    </w:p>
    <w:p w14:paraId="1368D2B6"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2.</w:t>
      </w:r>
      <w:r w:rsidRPr="00977E33">
        <w:rPr>
          <w:rFonts w:ascii="Calibri" w:hAnsi="Calibri" w:cs="Calibri"/>
          <w:noProof/>
          <w:szCs w:val="24"/>
        </w:rPr>
        <w:tab/>
        <w:t xml:space="preserve">Thomas, M. G., Næss, M. W., Bårdsen, B.-J. &amp; Mace, R. Smaller Saami herding groups cooperate more in a public goods experiment. </w:t>
      </w:r>
      <w:r w:rsidRPr="00977E33">
        <w:rPr>
          <w:rFonts w:ascii="Calibri" w:hAnsi="Calibri" w:cs="Calibri"/>
          <w:i/>
          <w:iCs/>
          <w:noProof/>
          <w:szCs w:val="24"/>
        </w:rPr>
        <w:t>Hum. Ecol.</w:t>
      </w:r>
      <w:r w:rsidRPr="00977E33">
        <w:rPr>
          <w:rFonts w:ascii="Calibri" w:hAnsi="Calibri" w:cs="Calibri"/>
          <w:noProof/>
          <w:szCs w:val="24"/>
        </w:rPr>
        <w:t xml:space="preserve"> </w:t>
      </w:r>
      <w:r w:rsidRPr="00977E33">
        <w:rPr>
          <w:rFonts w:ascii="Calibri" w:hAnsi="Calibri" w:cs="Calibri"/>
          <w:b/>
          <w:bCs/>
          <w:noProof/>
          <w:szCs w:val="24"/>
        </w:rPr>
        <w:t>44,</w:t>
      </w:r>
      <w:r w:rsidRPr="00977E33">
        <w:rPr>
          <w:rFonts w:ascii="Calibri" w:hAnsi="Calibri" w:cs="Calibri"/>
          <w:noProof/>
          <w:szCs w:val="24"/>
        </w:rPr>
        <w:t xml:space="preserve"> 633–642 (2016).</w:t>
      </w:r>
    </w:p>
    <w:p w14:paraId="37685307"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3.</w:t>
      </w:r>
      <w:r w:rsidRPr="00977E33">
        <w:rPr>
          <w:rFonts w:ascii="Calibri" w:hAnsi="Calibri" w:cs="Calibri"/>
          <w:noProof/>
          <w:szCs w:val="24"/>
        </w:rPr>
        <w:tab/>
        <w:t xml:space="preserve">Anonymous. </w:t>
      </w:r>
      <w:r w:rsidRPr="00977E33">
        <w:rPr>
          <w:rFonts w:ascii="Calibri" w:hAnsi="Calibri" w:cs="Calibri"/>
          <w:i/>
          <w:iCs/>
          <w:noProof/>
          <w:szCs w:val="24"/>
        </w:rPr>
        <w:t>Ressursregnskap for Reindriftsnæringen (Ecological statistics of reindeer husbandry)</w:t>
      </w:r>
      <w:r w:rsidRPr="00977E33">
        <w:rPr>
          <w:rFonts w:ascii="Calibri" w:hAnsi="Calibri" w:cs="Calibri"/>
          <w:noProof/>
          <w:szCs w:val="24"/>
        </w:rPr>
        <w:t>. (2016).</w:t>
      </w:r>
    </w:p>
    <w:p w14:paraId="38461540"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4.</w:t>
      </w:r>
      <w:r w:rsidRPr="00977E33">
        <w:rPr>
          <w:rFonts w:ascii="Calibri" w:hAnsi="Calibri" w:cs="Calibri"/>
          <w:noProof/>
          <w:szCs w:val="24"/>
        </w:rPr>
        <w:tab/>
        <w:t xml:space="preserve">Bårdsen, B.-J. &amp; Tveraa, T. Density-dependence vs. density-independence - linking reproductive allocation to population abundance and vegetation greenness. </w:t>
      </w:r>
      <w:r w:rsidRPr="00977E33">
        <w:rPr>
          <w:rFonts w:ascii="Calibri" w:hAnsi="Calibri" w:cs="Calibri"/>
          <w:i/>
          <w:iCs/>
          <w:noProof/>
          <w:szCs w:val="24"/>
        </w:rPr>
        <w:t>J. Anim. Ecol.</w:t>
      </w:r>
      <w:r w:rsidRPr="00977E33">
        <w:rPr>
          <w:rFonts w:ascii="Calibri" w:hAnsi="Calibri" w:cs="Calibri"/>
          <w:noProof/>
          <w:szCs w:val="24"/>
        </w:rPr>
        <w:t xml:space="preserve"> </w:t>
      </w:r>
      <w:r w:rsidRPr="00977E33">
        <w:rPr>
          <w:rFonts w:ascii="Calibri" w:hAnsi="Calibri" w:cs="Calibri"/>
          <w:b/>
          <w:bCs/>
          <w:noProof/>
          <w:szCs w:val="24"/>
        </w:rPr>
        <w:t>81,</w:t>
      </w:r>
      <w:r w:rsidRPr="00977E33">
        <w:rPr>
          <w:rFonts w:ascii="Calibri" w:hAnsi="Calibri" w:cs="Calibri"/>
          <w:noProof/>
          <w:szCs w:val="24"/>
        </w:rPr>
        <w:t xml:space="preserve"> 364–76 (2012).</w:t>
      </w:r>
    </w:p>
    <w:p w14:paraId="73AA0CB1"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5.</w:t>
      </w:r>
      <w:r w:rsidRPr="00977E33">
        <w:rPr>
          <w:rFonts w:ascii="Calibri" w:hAnsi="Calibri" w:cs="Calibri"/>
          <w:noProof/>
          <w:szCs w:val="24"/>
        </w:rPr>
        <w:tab/>
        <w:t xml:space="preserve">Thomas, M. G., Næss, M. W., Bårdsen, B.-J. &amp; Mace, R. Saami reindeer herders cooperate with social group members and genetic kin. </w:t>
      </w:r>
      <w:r w:rsidRPr="00977E33">
        <w:rPr>
          <w:rFonts w:ascii="Calibri" w:hAnsi="Calibri" w:cs="Calibri"/>
          <w:i/>
          <w:iCs/>
          <w:noProof/>
          <w:szCs w:val="24"/>
        </w:rPr>
        <w:t>Behav. Ecol.</w:t>
      </w:r>
      <w:r w:rsidRPr="00977E33">
        <w:rPr>
          <w:rFonts w:ascii="Calibri" w:hAnsi="Calibri" w:cs="Calibri"/>
          <w:noProof/>
          <w:szCs w:val="24"/>
        </w:rPr>
        <w:t xml:space="preserve"> </w:t>
      </w:r>
      <w:r w:rsidRPr="00977E33">
        <w:rPr>
          <w:rFonts w:ascii="Calibri" w:hAnsi="Calibri" w:cs="Calibri"/>
          <w:b/>
          <w:bCs/>
          <w:noProof/>
          <w:szCs w:val="24"/>
        </w:rPr>
        <w:t>26,</w:t>
      </w:r>
      <w:r w:rsidRPr="00977E33">
        <w:rPr>
          <w:rFonts w:ascii="Calibri" w:hAnsi="Calibri" w:cs="Calibri"/>
          <w:noProof/>
          <w:szCs w:val="24"/>
        </w:rPr>
        <w:t xml:space="preserve"> 1495–1501 (2015).</w:t>
      </w:r>
    </w:p>
    <w:p w14:paraId="5DB5D756"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6.</w:t>
      </w:r>
      <w:r w:rsidRPr="00977E33">
        <w:rPr>
          <w:rFonts w:ascii="Calibri" w:hAnsi="Calibri" w:cs="Calibri"/>
          <w:noProof/>
          <w:szCs w:val="24"/>
        </w:rPr>
        <w:tab/>
        <w:t xml:space="preserve">Sara, M. N. in </w:t>
      </w:r>
      <w:r w:rsidRPr="00977E33">
        <w:rPr>
          <w:rFonts w:ascii="Calibri" w:hAnsi="Calibri" w:cs="Calibri"/>
          <w:i/>
          <w:iCs/>
          <w:noProof/>
          <w:szCs w:val="24"/>
        </w:rPr>
        <w:t>Reindeer as a Keystone Species in the North</w:t>
      </w:r>
      <w:r w:rsidRPr="00977E33">
        <w:rPr>
          <w:rFonts w:ascii="Calibri" w:hAnsi="Calibri" w:cs="Calibri"/>
          <w:noProof/>
          <w:szCs w:val="24"/>
        </w:rPr>
        <w:t xml:space="preserve"> (eds. Soppela, P., Walther, R., Åhman, B. &amp; Riseth, J. Å.) 23–27 (University of Lapland, Arctic Centre, 2002).</w:t>
      </w:r>
    </w:p>
    <w:p w14:paraId="2412F3F5"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7.</w:t>
      </w:r>
      <w:r w:rsidRPr="00977E33">
        <w:rPr>
          <w:rFonts w:ascii="Calibri" w:hAnsi="Calibri" w:cs="Calibri"/>
          <w:noProof/>
          <w:szCs w:val="24"/>
        </w:rPr>
        <w:tab/>
        <w:t xml:space="preserve">Marin, A. &amp; Bjørklund, I. A tragedy of errors? Institutional dynamics and land tenure in Finnmark, Norway. </w:t>
      </w:r>
      <w:r w:rsidRPr="00977E33">
        <w:rPr>
          <w:rFonts w:ascii="Calibri" w:hAnsi="Calibri" w:cs="Calibri"/>
          <w:i/>
          <w:iCs/>
          <w:noProof/>
          <w:szCs w:val="24"/>
        </w:rPr>
        <w:t>Int. J. Commons</w:t>
      </w:r>
      <w:r w:rsidRPr="00977E33">
        <w:rPr>
          <w:rFonts w:ascii="Calibri" w:hAnsi="Calibri" w:cs="Calibri"/>
          <w:noProof/>
          <w:szCs w:val="24"/>
        </w:rPr>
        <w:t xml:space="preserve"> </w:t>
      </w:r>
      <w:r w:rsidRPr="00977E33">
        <w:rPr>
          <w:rFonts w:ascii="Calibri" w:hAnsi="Calibri" w:cs="Calibri"/>
          <w:b/>
          <w:bCs/>
          <w:noProof/>
          <w:szCs w:val="24"/>
        </w:rPr>
        <w:t>9,</w:t>
      </w:r>
      <w:r w:rsidRPr="00977E33">
        <w:rPr>
          <w:rFonts w:ascii="Calibri" w:hAnsi="Calibri" w:cs="Calibri"/>
          <w:noProof/>
          <w:szCs w:val="24"/>
        </w:rPr>
        <w:t xml:space="preserve"> 19–40 (2015).</w:t>
      </w:r>
    </w:p>
    <w:p w14:paraId="0625BF32"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8.</w:t>
      </w:r>
      <w:r w:rsidRPr="00977E33">
        <w:rPr>
          <w:rFonts w:ascii="Calibri" w:hAnsi="Calibri" w:cs="Calibri"/>
          <w:noProof/>
          <w:szCs w:val="24"/>
        </w:rPr>
        <w:tab/>
        <w:t xml:space="preserve">Næss, M. W., Bårdsen, B.-J., Fauchald, P. &amp; Tveraa, T. Cooperative pastoral production - The importance of kinship. </w:t>
      </w:r>
      <w:r w:rsidRPr="00977E33">
        <w:rPr>
          <w:rFonts w:ascii="Calibri" w:hAnsi="Calibri" w:cs="Calibri"/>
          <w:i/>
          <w:iCs/>
          <w:noProof/>
          <w:szCs w:val="24"/>
        </w:rPr>
        <w:t>Evol. Hum. Behav.</w:t>
      </w:r>
      <w:r w:rsidRPr="00977E33">
        <w:rPr>
          <w:rFonts w:ascii="Calibri" w:hAnsi="Calibri" w:cs="Calibri"/>
          <w:noProof/>
          <w:szCs w:val="24"/>
        </w:rPr>
        <w:t xml:space="preserve"> </w:t>
      </w:r>
      <w:r w:rsidRPr="00977E33">
        <w:rPr>
          <w:rFonts w:ascii="Calibri" w:hAnsi="Calibri" w:cs="Calibri"/>
          <w:b/>
          <w:bCs/>
          <w:noProof/>
          <w:szCs w:val="24"/>
        </w:rPr>
        <w:t>31,</w:t>
      </w:r>
      <w:r w:rsidRPr="00977E33">
        <w:rPr>
          <w:rFonts w:ascii="Calibri" w:hAnsi="Calibri" w:cs="Calibri"/>
          <w:noProof/>
          <w:szCs w:val="24"/>
        </w:rPr>
        <w:t xml:space="preserve"> 246–258 (2010).</w:t>
      </w:r>
    </w:p>
    <w:p w14:paraId="712495B0"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9.</w:t>
      </w:r>
      <w:r w:rsidRPr="00977E33">
        <w:rPr>
          <w:rFonts w:ascii="Calibri" w:hAnsi="Calibri" w:cs="Calibri"/>
          <w:noProof/>
          <w:szCs w:val="24"/>
        </w:rPr>
        <w:tab/>
        <w:t xml:space="preserve">Næss, M. W. &amp; Bårdsen, B.-J. Market economy vs. risk management: How do nomadic pastoralists respond to increasing meat prices? </w:t>
      </w:r>
      <w:r w:rsidRPr="00977E33">
        <w:rPr>
          <w:rFonts w:ascii="Calibri" w:hAnsi="Calibri" w:cs="Calibri"/>
          <w:i/>
          <w:iCs/>
          <w:noProof/>
          <w:szCs w:val="24"/>
        </w:rPr>
        <w:t>Hum. Ecol.</w:t>
      </w:r>
      <w:r w:rsidRPr="00977E33">
        <w:rPr>
          <w:rFonts w:ascii="Calibri" w:hAnsi="Calibri" w:cs="Calibri"/>
          <w:noProof/>
          <w:szCs w:val="24"/>
        </w:rPr>
        <w:t xml:space="preserve"> </w:t>
      </w:r>
      <w:r w:rsidRPr="00977E33">
        <w:rPr>
          <w:rFonts w:ascii="Calibri" w:hAnsi="Calibri" w:cs="Calibri"/>
          <w:b/>
          <w:bCs/>
          <w:noProof/>
          <w:szCs w:val="24"/>
        </w:rPr>
        <w:t>43,</w:t>
      </w:r>
      <w:r w:rsidRPr="00977E33">
        <w:rPr>
          <w:rFonts w:ascii="Calibri" w:hAnsi="Calibri" w:cs="Calibri"/>
          <w:noProof/>
          <w:szCs w:val="24"/>
        </w:rPr>
        <w:t xml:space="preserve"> 425–438 (2015).</w:t>
      </w:r>
    </w:p>
    <w:p w14:paraId="238F6771"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10.</w:t>
      </w:r>
      <w:r w:rsidRPr="00977E33">
        <w:rPr>
          <w:rFonts w:ascii="Calibri" w:hAnsi="Calibri" w:cs="Calibri"/>
          <w:noProof/>
          <w:szCs w:val="24"/>
        </w:rPr>
        <w:tab/>
        <w:t xml:space="preserve">Næss, M. W. &amp; Bårdsen, B.-J. Why herd size matters - Mitigating the effects of livestock crashes. </w:t>
      </w:r>
      <w:r w:rsidRPr="00977E33">
        <w:rPr>
          <w:rFonts w:ascii="Calibri" w:hAnsi="Calibri" w:cs="Calibri"/>
          <w:i/>
          <w:iCs/>
          <w:noProof/>
          <w:szCs w:val="24"/>
        </w:rPr>
        <w:t>PLoS One</w:t>
      </w:r>
      <w:r w:rsidRPr="00977E33">
        <w:rPr>
          <w:rFonts w:ascii="Calibri" w:hAnsi="Calibri" w:cs="Calibri"/>
          <w:noProof/>
          <w:szCs w:val="24"/>
        </w:rPr>
        <w:t xml:space="preserve"> </w:t>
      </w:r>
      <w:r w:rsidRPr="00977E33">
        <w:rPr>
          <w:rFonts w:ascii="Calibri" w:hAnsi="Calibri" w:cs="Calibri"/>
          <w:b/>
          <w:bCs/>
          <w:noProof/>
          <w:szCs w:val="24"/>
        </w:rPr>
        <w:t>8,</w:t>
      </w:r>
      <w:r w:rsidRPr="00977E33">
        <w:rPr>
          <w:rFonts w:ascii="Calibri" w:hAnsi="Calibri" w:cs="Calibri"/>
          <w:noProof/>
          <w:szCs w:val="24"/>
        </w:rPr>
        <w:t xml:space="preserve"> e70161 (2013).</w:t>
      </w:r>
    </w:p>
    <w:p w14:paraId="4F80201C"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11.</w:t>
      </w:r>
      <w:r w:rsidRPr="00977E33">
        <w:rPr>
          <w:rFonts w:ascii="Calibri" w:hAnsi="Calibri" w:cs="Calibri"/>
          <w:noProof/>
          <w:szCs w:val="24"/>
        </w:rPr>
        <w:tab/>
        <w:t xml:space="preserve">Næss, M. W. &amp; Bårdsen, B.-J. Environmental stochasticity and long-term livestock viability - Herd-accumulation as a risk reducing strategy. </w:t>
      </w:r>
      <w:r w:rsidRPr="00977E33">
        <w:rPr>
          <w:rFonts w:ascii="Calibri" w:hAnsi="Calibri" w:cs="Calibri"/>
          <w:i/>
          <w:iCs/>
          <w:noProof/>
          <w:szCs w:val="24"/>
        </w:rPr>
        <w:t>Hum. Ecol.</w:t>
      </w:r>
      <w:r w:rsidRPr="00977E33">
        <w:rPr>
          <w:rFonts w:ascii="Calibri" w:hAnsi="Calibri" w:cs="Calibri"/>
          <w:noProof/>
          <w:szCs w:val="24"/>
        </w:rPr>
        <w:t xml:space="preserve"> </w:t>
      </w:r>
      <w:r w:rsidRPr="00977E33">
        <w:rPr>
          <w:rFonts w:ascii="Calibri" w:hAnsi="Calibri" w:cs="Calibri"/>
          <w:b/>
          <w:bCs/>
          <w:noProof/>
          <w:szCs w:val="24"/>
        </w:rPr>
        <w:t>38,</w:t>
      </w:r>
      <w:r w:rsidRPr="00977E33">
        <w:rPr>
          <w:rFonts w:ascii="Calibri" w:hAnsi="Calibri" w:cs="Calibri"/>
          <w:noProof/>
          <w:szCs w:val="24"/>
        </w:rPr>
        <w:t xml:space="preserve"> 3–17 (2010).</w:t>
      </w:r>
    </w:p>
    <w:p w14:paraId="015CA5A5"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12.</w:t>
      </w:r>
      <w:r w:rsidRPr="00977E33">
        <w:rPr>
          <w:rFonts w:ascii="Calibri" w:hAnsi="Calibri" w:cs="Calibri"/>
          <w:noProof/>
          <w:szCs w:val="24"/>
        </w:rPr>
        <w:tab/>
        <w:t xml:space="preserve">Hausner, V. H., Fauchald, P. &amp; Tveraa, T. The ghost of development past: The impact of economic security policies on Saami pastoral ecosystems. </w:t>
      </w:r>
      <w:r w:rsidRPr="00977E33">
        <w:rPr>
          <w:rFonts w:ascii="Calibri" w:hAnsi="Calibri" w:cs="Calibri"/>
          <w:i/>
          <w:iCs/>
          <w:noProof/>
          <w:szCs w:val="24"/>
        </w:rPr>
        <w:t>Ecol. Soc.</w:t>
      </w:r>
      <w:r w:rsidRPr="00977E33">
        <w:rPr>
          <w:rFonts w:ascii="Calibri" w:hAnsi="Calibri" w:cs="Calibri"/>
          <w:noProof/>
          <w:szCs w:val="24"/>
        </w:rPr>
        <w:t xml:space="preserve"> </w:t>
      </w:r>
      <w:r w:rsidRPr="00977E33">
        <w:rPr>
          <w:rFonts w:ascii="Calibri" w:hAnsi="Calibri" w:cs="Calibri"/>
          <w:b/>
          <w:bCs/>
          <w:noProof/>
          <w:szCs w:val="24"/>
        </w:rPr>
        <w:t>16,</w:t>
      </w:r>
      <w:r w:rsidRPr="00977E33">
        <w:rPr>
          <w:rFonts w:ascii="Calibri" w:hAnsi="Calibri" w:cs="Calibri"/>
          <w:noProof/>
          <w:szCs w:val="24"/>
        </w:rPr>
        <w:t xml:space="preserve"> 1–24 (2011).</w:t>
      </w:r>
    </w:p>
    <w:p w14:paraId="5A4B6BC1"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13.</w:t>
      </w:r>
      <w:r w:rsidRPr="00977E33">
        <w:rPr>
          <w:rFonts w:ascii="Calibri" w:hAnsi="Calibri" w:cs="Calibri"/>
          <w:noProof/>
          <w:szCs w:val="24"/>
        </w:rPr>
        <w:tab/>
        <w:t xml:space="preserve">Koster, J. M. &amp; Leckie, G. Food sharing networks in lowland Nicaragua: An application of the social relations model to count data. </w:t>
      </w:r>
      <w:r w:rsidRPr="00977E33">
        <w:rPr>
          <w:rFonts w:ascii="Calibri" w:hAnsi="Calibri" w:cs="Calibri"/>
          <w:i/>
          <w:iCs/>
          <w:noProof/>
          <w:szCs w:val="24"/>
        </w:rPr>
        <w:t>Soc. Networks</w:t>
      </w:r>
      <w:r w:rsidRPr="00977E33">
        <w:rPr>
          <w:rFonts w:ascii="Calibri" w:hAnsi="Calibri" w:cs="Calibri"/>
          <w:noProof/>
          <w:szCs w:val="24"/>
        </w:rPr>
        <w:t xml:space="preserve"> </w:t>
      </w:r>
      <w:r w:rsidRPr="00977E33">
        <w:rPr>
          <w:rFonts w:ascii="Calibri" w:hAnsi="Calibri" w:cs="Calibri"/>
          <w:b/>
          <w:bCs/>
          <w:noProof/>
          <w:szCs w:val="24"/>
        </w:rPr>
        <w:t>38,</w:t>
      </w:r>
      <w:r w:rsidRPr="00977E33">
        <w:rPr>
          <w:rFonts w:ascii="Calibri" w:hAnsi="Calibri" w:cs="Calibri"/>
          <w:noProof/>
          <w:szCs w:val="24"/>
        </w:rPr>
        <w:t xml:space="preserve"> 100–110 (2014).</w:t>
      </w:r>
    </w:p>
    <w:p w14:paraId="1A71A987"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14.</w:t>
      </w:r>
      <w:r w:rsidRPr="00977E33">
        <w:rPr>
          <w:rFonts w:ascii="Calibri" w:hAnsi="Calibri" w:cs="Calibri"/>
          <w:noProof/>
          <w:szCs w:val="24"/>
        </w:rPr>
        <w:tab/>
        <w:t>Hoff, P., Fosdick, B., Volfovsky, A. &amp; He, Y. amen: Additive and Multiplicative Effects Models for Networks and Relational Data. (2015).</w:t>
      </w:r>
    </w:p>
    <w:p w14:paraId="158159E4"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szCs w:val="24"/>
        </w:rPr>
      </w:pPr>
      <w:r w:rsidRPr="00977E33">
        <w:rPr>
          <w:rFonts w:ascii="Calibri" w:hAnsi="Calibri" w:cs="Calibri"/>
          <w:noProof/>
          <w:szCs w:val="24"/>
        </w:rPr>
        <w:t>15.</w:t>
      </w:r>
      <w:r w:rsidRPr="00977E33">
        <w:rPr>
          <w:rFonts w:ascii="Calibri" w:hAnsi="Calibri" w:cs="Calibri"/>
          <w:noProof/>
          <w:szCs w:val="24"/>
        </w:rPr>
        <w:tab/>
        <w:t>Stan Development Team. rstanarm: {Bayesian} applied regression modeling via {Stan}. (2016).</w:t>
      </w:r>
    </w:p>
    <w:p w14:paraId="1E623BFF" w14:textId="77777777" w:rsidR="00977E33" w:rsidRPr="00977E33" w:rsidRDefault="00977E33" w:rsidP="00977E33">
      <w:pPr>
        <w:widowControl w:val="0"/>
        <w:autoSpaceDE w:val="0"/>
        <w:autoSpaceDN w:val="0"/>
        <w:adjustRightInd w:val="0"/>
        <w:spacing w:line="240" w:lineRule="auto"/>
        <w:ind w:left="640" w:hanging="640"/>
        <w:rPr>
          <w:rFonts w:ascii="Calibri" w:hAnsi="Calibri" w:cs="Calibri"/>
          <w:noProof/>
        </w:rPr>
      </w:pPr>
      <w:r w:rsidRPr="00977E33">
        <w:rPr>
          <w:rFonts w:ascii="Calibri" w:hAnsi="Calibri" w:cs="Calibri"/>
          <w:noProof/>
          <w:szCs w:val="24"/>
        </w:rPr>
        <w:t>16.</w:t>
      </w:r>
      <w:r w:rsidRPr="00977E33">
        <w:rPr>
          <w:rFonts w:ascii="Calibri" w:hAnsi="Calibri" w:cs="Calibri"/>
          <w:noProof/>
          <w:szCs w:val="24"/>
        </w:rPr>
        <w:tab/>
        <w:t xml:space="preserve">Vehtari, A., Gelman, A. &amp; Gabry, J. Practical Bayesian model evaluation using leave-one-out cross-validation and WAIC. </w:t>
      </w:r>
      <w:r w:rsidRPr="00977E33">
        <w:rPr>
          <w:rFonts w:ascii="Calibri" w:hAnsi="Calibri" w:cs="Calibri"/>
          <w:i/>
          <w:iCs/>
          <w:noProof/>
          <w:szCs w:val="24"/>
        </w:rPr>
        <w:t>Stat. Comput.</w:t>
      </w:r>
      <w:r w:rsidRPr="00977E33">
        <w:rPr>
          <w:rFonts w:ascii="Calibri" w:hAnsi="Calibri" w:cs="Calibri"/>
          <w:noProof/>
          <w:szCs w:val="24"/>
        </w:rPr>
        <w:t xml:space="preserve"> 1–20 (2016). doi:10.1007/s11222-016-9696-4</w:t>
      </w:r>
    </w:p>
    <w:p w14:paraId="79982300" w14:textId="4D4DC016" w:rsidR="000E3D0B" w:rsidRPr="00DA11AE" w:rsidRDefault="000E3D0B" w:rsidP="000E3D0B">
      <w:pPr>
        <w:rPr>
          <w:noProof/>
        </w:rPr>
      </w:pPr>
      <w:r w:rsidRPr="00DA11AE">
        <w:rPr>
          <w:noProof/>
        </w:rPr>
        <w:fldChar w:fldCharType="end"/>
      </w:r>
    </w:p>
    <w:sectPr w:rsidR="000E3D0B" w:rsidRPr="00DA11AE" w:rsidSect="00BB7AC7">
      <w:foot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5224" w14:textId="77777777" w:rsidR="00D17CE9" w:rsidRDefault="00D17CE9" w:rsidP="00323489">
      <w:pPr>
        <w:spacing w:after="0" w:line="240" w:lineRule="auto"/>
      </w:pPr>
      <w:r>
        <w:separator/>
      </w:r>
    </w:p>
  </w:endnote>
  <w:endnote w:type="continuationSeparator" w:id="0">
    <w:p w14:paraId="5B69AFA3" w14:textId="77777777" w:rsidR="00D17CE9" w:rsidRDefault="00D17CE9" w:rsidP="0032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17456"/>
      <w:docPartObj>
        <w:docPartGallery w:val="Page Numbers (Bottom of Page)"/>
        <w:docPartUnique/>
      </w:docPartObj>
    </w:sdtPr>
    <w:sdtEndPr>
      <w:rPr>
        <w:noProof/>
      </w:rPr>
    </w:sdtEndPr>
    <w:sdtContent>
      <w:p w14:paraId="5E252F9B" w14:textId="2FA077C2" w:rsidR="002C6B20" w:rsidRDefault="002C6B20">
        <w:pPr>
          <w:pStyle w:val="Footer"/>
          <w:jc w:val="center"/>
        </w:pPr>
        <w:r>
          <w:fldChar w:fldCharType="begin"/>
        </w:r>
        <w:r>
          <w:instrText xml:space="preserve"> PAGE   \* MERGEFORMAT </w:instrText>
        </w:r>
        <w:r>
          <w:fldChar w:fldCharType="separate"/>
        </w:r>
        <w:r w:rsidR="00BB7D98">
          <w:rPr>
            <w:noProof/>
          </w:rPr>
          <w:t>1</w:t>
        </w:r>
        <w:r>
          <w:rPr>
            <w:noProof/>
          </w:rPr>
          <w:fldChar w:fldCharType="end"/>
        </w:r>
      </w:p>
    </w:sdtContent>
  </w:sdt>
  <w:p w14:paraId="5763F56B" w14:textId="77777777" w:rsidR="002C6B20" w:rsidRDefault="002C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F9B7" w14:textId="77777777" w:rsidR="00D17CE9" w:rsidRDefault="00D17CE9" w:rsidP="00323489">
      <w:pPr>
        <w:spacing w:after="0" w:line="240" w:lineRule="auto"/>
      </w:pPr>
      <w:r>
        <w:separator/>
      </w:r>
    </w:p>
  </w:footnote>
  <w:footnote w:type="continuationSeparator" w:id="0">
    <w:p w14:paraId="516C2030" w14:textId="77777777" w:rsidR="00D17CE9" w:rsidRDefault="00D17CE9" w:rsidP="00323489">
      <w:pPr>
        <w:spacing w:after="0" w:line="240" w:lineRule="auto"/>
      </w:pPr>
      <w:r>
        <w:continuationSeparator/>
      </w:r>
    </w:p>
  </w:footnote>
  <w:footnote w:id="1">
    <w:p w14:paraId="3FC6C546" w14:textId="4C1424CA" w:rsidR="002C6B20" w:rsidRDefault="002C6B20">
      <w:pPr>
        <w:pStyle w:val="FootnoteText"/>
      </w:pPr>
      <w:r w:rsidRPr="00FC6630">
        <w:rPr>
          <w:rStyle w:val="FootnoteReference"/>
        </w:rPr>
        <w:footnoteRef/>
      </w:r>
      <w:r>
        <w:t xml:space="preserve"> Norway is currently the only country that is home to reindeer herders to have ratified this convention.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2D9B"/>
    <w:multiLevelType w:val="hybridMultilevel"/>
    <w:tmpl w:val="B5C86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8F"/>
    <w:rsid w:val="00000713"/>
    <w:rsid w:val="00017A9B"/>
    <w:rsid w:val="00020B62"/>
    <w:rsid w:val="00035EB9"/>
    <w:rsid w:val="000400CE"/>
    <w:rsid w:val="00045EE4"/>
    <w:rsid w:val="00047702"/>
    <w:rsid w:val="0005739A"/>
    <w:rsid w:val="000629A9"/>
    <w:rsid w:val="00080C46"/>
    <w:rsid w:val="000A298E"/>
    <w:rsid w:val="000B2793"/>
    <w:rsid w:val="000C0BEF"/>
    <w:rsid w:val="000C32C7"/>
    <w:rsid w:val="000C7359"/>
    <w:rsid w:val="000D68B2"/>
    <w:rsid w:val="000E3D0B"/>
    <w:rsid w:val="0010327A"/>
    <w:rsid w:val="001040B6"/>
    <w:rsid w:val="001119BB"/>
    <w:rsid w:val="00116D6F"/>
    <w:rsid w:val="00120A74"/>
    <w:rsid w:val="001250BA"/>
    <w:rsid w:val="00136EC7"/>
    <w:rsid w:val="00166612"/>
    <w:rsid w:val="0018301D"/>
    <w:rsid w:val="00190F00"/>
    <w:rsid w:val="001A2DD9"/>
    <w:rsid w:val="001A48BE"/>
    <w:rsid w:val="001C1B0F"/>
    <w:rsid w:val="001C3408"/>
    <w:rsid w:val="001D3201"/>
    <w:rsid w:val="001E20A8"/>
    <w:rsid w:val="001F04FF"/>
    <w:rsid w:val="001F6483"/>
    <w:rsid w:val="00203D5E"/>
    <w:rsid w:val="00211DC0"/>
    <w:rsid w:val="0022386B"/>
    <w:rsid w:val="00234DB9"/>
    <w:rsid w:val="00242225"/>
    <w:rsid w:val="0025043E"/>
    <w:rsid w:val="00250456"/>
    <w:rsid w:val="002505B9"/>
    <w:rsid w:val="002560C6"/>
    <w:rsid w:val="0026279D"/>
    <w:rsid w:val="002777A3"/>
    <w:rsid w:val="0028503B"/>
    <w:rsid w:val="0028754F"/>
    <w:rsid w:val="002B3000"/>
    <w:rsid w:val="002B3C85"/>
    <w:rsid w:val="002C1243"/>
    <w:rsid w:val="002C6B20"/>
    <w:rsid w:val="002D6AB1"/>
    <w:rsid w:val="002E0703"/>
    <w:rsid w:val="002E4AD9"/>
    <w:rsid w:val="002F15B2"/>
    <w:rsid w:val="003005EF"/>
    <w:rsid w:val="00301117"/>
    <w:rsid w:val="00315C3D"/>
    <w:rsid w:val="00323489"/>
    <w:rsid w:val="003304C0"/>
    <w:rsid w:val="003536B8"/>
    <w:rsid w:val="003718B9"/>
    <w:rsid w:val="0037640F"/>
    <w:rsid w:val="003A56AB"/>
    <w:rsid w:val="003A7ECE"/>
    <w:rsid w:val="003B0DBC"/>
    <w:rsid w:val="003B5E49"/>
    <w:rsid w:val="003C3131"/>
    <w:rsid w:val="003E3214"/>
    <w:rsid w:val="003E7FBB"/>
    <w:rsid w:val="003F2D67"/>
    <w:rsid w:val="0040761D"/>
    <w:rsid w:val="00407FBC"/>
    <w:rsid w:val="0041422B"/>
    <w:rsid w:val="00424838"/>
    <w:rsid w:val="004370FB"/>
    <w:rsid w:val="004409D7"/>
    <w:rsid w:val="0044258F"/>
    <w:rsid w:val="00444437"/>
    <w:rsid w:val="00453656"/>
    <w:rsid w:val="00454608"/>
    <w:rsid w:val="00472910"/>
    <w:rsid w:val="0047589D"/>
    <w:rsid w:val="00483C4F"/>
    <w:rsid w:val="00485299"/>
    <w:rsid w:val="00486A45"/>
    <w:rsid w:val="00496FB2"/>
    <w:rsid w:val="004A1774"/>
    <w:rsid w:val="004A3F9B"/>
    <w:rsid w:val="004F0C99"/>
    <w:rsid w:val="004F1D8A"/>
    <w:rsid w:val="00502658"/>
    <w:rsid w:val="0050700A"/>
    <w:rsid w:val="00510937"/>
    <w:rsid w:val="0052282D"/>
    <w:rsid w:val="005278A1"/>
    <w:rsid w:val="005366E4"/>
    <w:rsid w:val="005517DE"/>
    <w:rsid w:val="005572F2"/>
    <w:rsid w:val="00567A65"/>
    <w:rsid w:val="0057133D"/>
    <w:rsid w:val="00571353"/>
    <w:rsid w:val="00594EA8"/>
    <w:rsid w:val="005A5C4D"/>
    <w:rsid w:val="005A668C"/>
    <w:rsid w:val="005C5EE2"/>
    <w:rsid w:val="005C6082"/>
    <w:rsid w:val="005D1FE2"/>
    <w:rsid w:val="005E2E4B"/>
    <w:rsid w:val="00614117"/>
    <w:rsid w:val="00621093"/>
    <w:rsid w:val="0062448B"/>
    <w:rsid w:val="0062674D"/>
    <w:rsid w:val="006441DB"/>
    <w:rsid w:val="00652CAD"/>
    <w:rsid w:val="006657D2"/>
    <w:rsid w:val="006665E5"/>
    <w:rsid w:val="00672D82"/>
    <w:rsid w:val="0068099C"/>
    <w:rsid w:val="006858F7"/>
    <w:rsid w:val="00691208"/>
    <w:rsid w:val="00693D91"/>
    <w:rsid w:val="006B2AEE"/>
    <w:rsid w:val="006B308C"/>
    <w:rsid w:val="006B773D"/>
    <w:rsid w:val="006D0244"/>
    <w:rsid w:val="006F3D5B"/>
    <w:rsid w:val="0072138F"/>
    <w:rsid w:val="00725A76"/>
    <w:rsid w:val="00733A05"/>
    <w:rsid w:val="00734293"/>
    <w:rsid w:val="007445A1"/>
    <w:rsid w:val="00775DC3"/>
    <w:rsid w:val="00777F64"/>
    <w:rsid w:val="00786B9E"/>
    <w:rsid w:val="00786DCC"/>
    <w:rsid w:val="00792781"/>
    <w:rsid w:val="007A5F30"/>
    <w:rsid w:val="007B3396"/>
    <w:rsid w:val="007B50CC"/>
    <w:rsid w:val="007B6A0E"/>
    <w:rsid w:val="007C0627"/>
    <w:rsid w:val="007D5AA9"/>
    <w:rsid w:val="007D79F9"/>
    <w:rsid w:val="007E5A0D"/>
    <w:rsid w:val="007F2A4A"/>
    <w:rsid w:val="007F4ECA"/>
    <w:rsid w:val="00800650"/>
    <w:rsid w:val="00806790"/>
    <w:rsid w:val="00807389"/>
    <w:rsid w:val="008209DF"/>
    <w:rsid w:val="008305C4"/>
    <w:rsid w:val="00842B5F"/>
    <w:rsid w:val="008508AA"/>
    <w:rsid w:val="00853FAF"/>
    <w:rsid w:val="008663D1"/>
    <w:rsid w:val="00866651"/>
    <w:rsid w:val="00866783"/>
    <w:rsid w:val="008703CC"/>
    <w:rsid w:val="008711CD"/>
    <w:rsid w:val="008730E1"/>
    <w:rsid w:val="00875BBC"/>
    <w:rsid w:val="008764AF"/>
    <w:rsid w:val="00886861"/>
    <w:rsid w:val="00893158"/>
    <w:rsid w:val="008B16D9"/>
    <w:rsid w:val="008B22B1"/>
    <w:rsid w:val="008C13B8"/>
    <w:rsid w:val="008D1F9A"/>
    <w:rsid w:val="008D71B1"/>
    <w:rsid w:val="008E6DA7"/>
    <w:rsid w:val="008F1D38"/>
    <w:rsid w:val="008F1FC7"/>
    <w:rsid w:val="00906897"/>
    <w:rsid w:val="009113CD"/>
    <w:rsid w:val="00912843"/>
    <w:rsid w:val="00927130"/>
    <w:rsid w:val="00930092"/>
    <w:rsid w:val="00945797"/>
    <w:rsid w:val="00953ED4"/>
    <w:rsid w:val="00957570"/>
    <w:rsid w:val="00977E33"/>
    <w:rsid w:val="00984545"/>
    <w:rsid w:val="00985BD4"/>
    <w:rsid w:val="00993FAA"/>
    <w:rsid w:val="009A0E57"/>
    <w:rsid w:val="009A1B3A"/>
    <w:rsid w:val="009A6C23"/>
    <w:rsid w:val="009B1F78"/>
    <w:rsid w:val="009C6BF7"/>
    <w:rsid w:val="009E3EF1"/>
    <w:rsid w:val="009E78CE"/>
    <w:rsid w:val="009F0D22"/>
    <w:rsid w:val="00A070E8"/>
    <w:rsid w:val="00A07FB5"/>
    <w:rsid w:val="00A10DBB"/>
    <w:rsid w:val="00A15733"/>
    <w:rsid w:val="00A22F6D"/>
    <w:rsid w:val="00A45F17"/>
    <w:rsid w:val="00A5794C"/>
    <w:rsid w:val="00A61E39"/>
    <w:rsid w:val="00A772F1"/>
    <w:rsid w:val="00A7781F"/>
    <w:rsid w:val="00A77E08"/>
    <w:rsid w:val="00AA6B5B"/>
    <w:rsid w:val="00AC6440"/>
    <w:rsid w:val="00AC6B74"/>
    <w:rsid w:val="00AD380E"/>
    <w:rsid w:val="00B006E0"/>
    <w:rsid w:val="00B04243"/>
    <w:rsid w:val="00B07123"/>
    <w:rsid w:val="00B45625"/>
    <w:rsid w:val="00B5011E"/>
    <w:rsid w:val="00B50126"/>
    <w:rsid w:val="00B54F1D"/>
    <w:rsid w:val="00B73F74"/>
    <w:rsid w:val="00B755E9"/>
    <w:rsid w:val="00BA561F"/>
    <w:rsid w:val="00BB7AC7"/>
    <w:rsid w:val="00BB7D98"/>
    <w:rsid w:val="00BD3FC0"/>
    <w:rsid w:val="00BE6179"/>
    <w:rsid w:val="00BF0A3E"/>
    <w:rsid w:val="00C36A23"/>
    <w:rsid w:val="00C53FF9"/>
    <w:rsid w:val="00C55C94"/>
    <w:rsid w:val="00C5694A"/>
    <w:rsid w:val="00C60B8F"/>
    <w:rsid w:val="00C73B10"/>
    <w:rsid w:val="00C73CF0"/>
    <w:rsid w:val="00C755F7"/>
    <w:rsid w:val="00C831C8"/>
    <w:rsid w:val="00C97986"/>
    <w:rsid w:val="00C97AEF"/>
    <w:rsid w:val="00CA757C"/>
    <w:rsid w:val="00CB4896"/>
    <w:rsid w:val="00CC017A"/>
    <w:rsid w:val="00CC3F91"/>
    <w:rsid w:val="00CC5E0E"/>
    <w:rsid w:val="00CD6784"/>
    <w:rsid w:val="00CE1944"/>
    <w:rsid w:val="00CF0177"/>
    <w:rsid w:val="00D16D38"/>
    <w:rsid w:val="00D17CE9"/>
    <w:rsid w:val="00D219D5"/>
    <w:rsid w:val="00D373B4"/>
    <w:rsid w:val="00D41997"/>
    <w:rsid w:val="00D52C32"/>
    <w:rsid w:val="00D5542E"/>
    <w:rsid w:val="00D60860"/>
    <w:rsid w:val="00D625AD"/>
    <w:rsid w:val="00D81433"/>
    <w:rsid w:val="00D83A50"/>
    <w:rsid w:val="00D916FF"/>
    <w:rsid w:val="00DA11AE"/>
    <w:rsid w:val="00DA1BB9"/>
    <w:rsid w:val="00DA1D3D"/>
    <w:rsid w:val="00DA33DC"/>
    <w:rsid w:val="00DB1C96"/>
    <w:rsid w:val="00DC7705"/>
    <w:rsid w:val="00DD2CCD"/>
    <w:rsid w:val="00DF2888"/>
    <w:rsid w:val="00DF592A"/>
    <w:rsid w:val="00E14585"/>
    <w:rsid w:val="00E438A0"/>
    <w:rsid w:val="00E53B83"/>
    <w:rsid w:val="00E8473D"/>
    <w:rsid w:val="00E84A78"/>
    <w:rsid w:val="00E91746"/>
    <w:rsid w:val="00E9493A"/>
    <w:rsid w:val="00EA3464"/>
    <w:rsid w:val="00EA3F43"/>
    <w:rsid w:val="00EA50DE"/>
    <w:rsid w:val="00EC1306"/>
    <w:rsid w:val="00F01EE8"/>
    <w:rsid w:val="00F06FA2"/>
    <w:rsid w:val="00F10864"/>
    <w:rsid w:val="00F139DC"/>
    <w:rsid w:val="00F15DBA"/>
    <w:rsid w:val="00F177A0"/>
    <w:rsid w:val="00F200FC"/>
    <w:rsid w:val="00F216A5"/>
    <w:rsid w:val="00F32941"/>
    <w:rsid w:val="00F3647D"/>
    <w:rsid w:val="00F441AF"/>
    <w:rsid w:val="00F52093"/>
    <w:rsid w:val="00F55035"/>
    <w:rsid w:val="00F7217D"/>
    <w:rsid w:val="00FA5F97"/>
    <w:rsid w:val="00FB3D52"/>
    <w:rsid w:val="00FC6630"/>
    <w:rsid w:val="00FC6AAA"/>
    <w:rsid w:val="00FC7F4C"/>
    <w:rsid w:val="00FF293E"/>
  </w:rsids>
  <m:mathPr>
    <m:mathFont m:val="Cambria Math"/>
    <m:brkBin m:val="before"/>
    <m:brkBinSub m:val="--"/>
    <m:smallFrac m:val="0"/>
    <m:dispDef/>
    <m:lMargin m:val="0"/>
    <m:rMargin m:val="0"/>
    <m:defJc m:val="centerGroup"/>
    <m:wrapIndent m:val="1440"/>
    <m:intLim m:val="subSup"/>
    <m:naryLim m:val="undOvr"/>
  </m:mathPr>
  <w:themeFontLang w:val="nb-N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CE40"/>
  <w15:chartTrackingRefBased/>
  <w15:docId w15:val="{0E29E9B6-D5B3-412D-BBD4-CDDE3296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65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0065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00650"/>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8F"/>
    <w:pPr>
      <w:spacing w:after="200" w:line="240" w:lineRule="auto"/>
      <w:ind w:left="720"/>
      <w:contextualSpacing/>
    </w:pPr>
    <w:rPr>
      <w:rFonts w:eastAsiaTheme="minorHAnsi" w:hAnsiTheme="minorHAnsi" w:cstheme="minorBidi"/>
      <w:szCs w:val="24"/>
      <w:lang w:val="en-US" w:eastAsia="en-US"/>
    </w:rPr>
  </w:style>
  <w:style w:type="character" w:customStyle="1" w:styleId="Heading2Char">
    <w:name w:val="Heading 2 Char"/>
    <w:basedOn w:val="DefaultParagraphFont"/>
    <w:link w:val="Heading2"/>
    <w:uiPriority w:val="9"/>
    <w:rsid w:val="00800650"/>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800650"/>
    <w:rPr>
      <w:rFonts w:asciiTheme="majorHAnsi" w:eastAsiaTheme="majorEastAsia" w:hAnsiTheme="majorHAnsi" w:cstheme="majorBidi"/>
      <w:sz w:val="32"/>
      <w:szCs w:val="32"/>
    </w:rPr>
  </w:style>
  <w:style w:type="paragraph" w:styleId="Caption">
    <w:name w:val="caption"/>
    <w:basedOn w:val="Normal"/>
    <w:next w:val="Normal"/>
    <w:uiPriority w:val="35"/>
    <w:unhideWhenUsed/>
    <w:qFormat/>
    <w:rsid w:val="00CB4896"/>
    <w:pPr>
      <w:spacing w:after="200" w:line="240" w:lineRule="auto"/>
    </w:pPr>
    <w:rPr>
      <w:rFonts w:eastAsiaTheme="minorHAnsi" w:hAnsiTheme="minorHAnsi" w:cstheme="minorBidi"/>
      <w:iCs/>
      <w:sz w:val="18"/>
      <w:szCs w:val="18"/>
      <w:lang w:val="en-US" w:eastAsia="en-US"/>
    </w:rPr>
  </w:style>
  <w:style w:type="paragraph" w:styleId="NoSpacing">
    <w:name w:val="No Spacing"/>
    <w:uiPriority w:val="1"/>
    <w:qFormat/>
    <w:rsid w:val="00CB4896"/>
    <w:pPr>
      <w:spacing w:after="0" w:line="240" w:lineRule="auto"/>
    </w:pPr>
    <w:rPr>
      <w:rFonts w:eastAsiaTheme="minorHAnsi" w:hAnsiTheme="minorHAnsi" w:cstheme="minorBidi"/>
      <w:sz w:val="24"/>
      <w:szCs w:val="24"/>
      <w:lang w:val="en-US" w:eastAsia="en-US"/>
    </w:rPr>
  </w:style>
  <w:style w:type="character" w:styleId="PlaceholderText">
    <w:name w:val="Placeholder Text"/>
    <w:basedOn w:val="DefaultParagraphFont"/>
    <w:uiPriority w:val="99"/>
    <w:semiHidden/>
    <w:rsid w:val="00652CAD"/>
    <w:rPr>
      <w:color w:val="808080"/>
    </w:rPr>
  </w:style>
  <w:style w:type="character" w:styleId="CommentReference">
    <w:name w:val="annotation reference"/>
    <w:basedOn w:val="DefaultParagraphFont"/>
    <w:uiPriority w:val="99"/>
    <w:semiHidden/>
    <w:unhideWhenUsed/>
    <w:rsid w:val="004F0C99"/>
    <w:rPr>
      <w:sz w:val="16"/>
      <w:szCs w:val="16"/>
    </w:rPr>
  </w:style>
  <w:style w:type="paragraph" w:styleId="CommentText">
    <w:name w:val="annotation text"/>
    <w:basedOn w:val="Normal"/>
    <w:link w:val="CommentTextChar"/>
    <w:uiPriority w:val="99"/>
    <w:semiHidden/>
    <w:unhideWhenUsed/>
    <w:rsid w:val="004F0C99"/>
    <w:pPr>
      <w:spacing w:after="200" w:line="240" w:lineRule="auto"/>
    </w:pPr>
    <w:rPr>
      <w:rFonts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F0C99"/>
    <w:rPr>
      <w:rFonts w:eastAsiaTheme="minorHAnsi" w:hAnsiTheme="minorHAnsi" w:cstheme="minorBidi"/>
      <w:sz w:val="20"/>
      <w:szCs w:val="20"/>
      <w:lang w:val="en-US" w:eastAsia="en-US"/>
    </w:rPr>
  </w:style>
  <w:style w:type="paragraph" w:styleId="BalloonText">
    <w:name w:val="Balloon Text"/>
    <w:basedOn w:val="Normal"/>
    <w:link w:val="BalloonTextChar"/>
    <w:uiPriority w:val="99"/>
    <w:semiHidden/>
    <w:unhideWhenUsed/>
    <w:rsid w:val="004F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99"/>
    <w:rPr>
      <w:rFonts w:ascii="Segoe UI" w:hAnsi="Segoe UI" w:cs="Segoe UI"/>
      <w:sz w:val="18"/>
      <w:szCs w:val="18"/>
    </w:rPr>
  </w:style>
  <w:style w:type="paragraph" w:styleId="FootnoteText">
    <w:name w:val="footnote text"/>
    <w:basedOn w:val="Normal"/>
    <w:link w:val="FootnoteTextChar"/>
    <w:uiPriority w:val="99"/>
    <w:semiHidden/>
    <w:unhideWhenUsed/>
    <w:rsid w:val="0032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489"/>
    <w:rPr>
      <w:sz w:val="20"/>
      <w:szCs w:val="20"/>
    </w:rPr>
  </w:style>
  <w:style w:type="character" w:styleId="FootnoteReference">
    <w:name w:val="footnote reference"/>
    <w:basedOn w:val="DefaultParagraphFont"/>
    <w:uiPriority w:val="99"/>
    <w:semiHidden/>
    <w:unhideWhenUsed/>
    <w:rsid w:val="00323489"/>
    <w:rPr>
      <w:vertAlign w:val="superscript"/>
    </w:rPr>
  </w:style>
  <w:style w:type="character" w:customStyle="1" w:styleId="Heading3Char">
    <w:name w:val="Heading 3 Char"/>
    <w:basedOn w:val="DefaultParagraphFont"/>
    <w:link w:val="Heading3"/>
    <w:uiPriority w:val="9"/>
    <w:rsid w:val="00800650"/>
    <w:rPr>
      <w:rFonts w:asciiTheme="majorHAnsi" w:eastAsiaTheme="majorEastAsia" w:hAnsiTheme="majorHAnsi" w:cstheme="majorBidi"/>
      <w:sz w:val="24"/>
      <w:szCs w:val="24"/>
    </w:rPr>
  </w:style>
  <w:style w:type="character" w:styleId="EndnoteReference">
    <w:name w:val="endnote reference"/>
    <w:basedOn w:val="DefaultParagraphFont"/>
    <w:uiPriority w:val="99"/>
    <w:semiHidden/>
    <w:unhideWhenUsed/>
    <w:rsid w:val="00315C3D"/>
    <w:rPr>
      <w:vertAlign w:val="superscript"/>
    </w:rPr>
  </w:style>
  <w:style w:type="paragraph" w:styleId="CommentSubject">
    <w:name w:val="annotation subject"/>
    <w:basedOn w:val="CommentText"/>
    <w:next w:val="CommentText"/>
    <w:link w:val="CommentSubjectChar"/>
    <w:uiPriority w:val="99"/>
    <w:semiHidden/>
    <w:unhideWhenUsed/>
    <w:rsid w:val="003A7ECE"/>
    <w:pPr>
      <w:spacing w:after="160"/>
    </w:pPr>
    <w:rPr>
      <w:rFonts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3A7ECE"/>
    <w:rPr>
      <w:rFonts w:eastAsiaTheme="minorHAnsi" w:hAnsiTheme="minorHAnsi" w:cstheme="minorBidi"/>
      <w:b/>
      <w:bCs/>
      <w:sz w:val="20"/>
      <w:szCs w:val="20"/>
      <w:lang w:val="en-US" w:eastAsia="en-US"/>
    </w:rPr>
  </w:style>
  <w:style w:type="paragraph" w:styleId="Header">
    <w:name w:val="header"/>
    <w:basedOn w:val="Normal"/>
    <w:link w:val="HeaderChar"/>
    <w:uiPriority w:val="99"/>
    <w:unhideWhenUsed/>
    <w:rsid w:val="00D52C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C32"/>
  </w:style>
  <w:style w:type="paragraph" w:styleId="Footer">
    <w:name w:val="footer"/>
    <w:basedOn w:val="Normal"/>
    <w:link w:val="FooterChar"/>
    <w:uiPriority w:val="99"/>
    <w:unhideWhenUsed/>
    <w:rsid w:val="00D52C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C32"/>
  </w:style>
  <w:style w:type="character" w:styleId="Hyperlink">
    <w:name w:val="Hyperlink"/>
    <w:basedOn w:val="DefaultParagraphFont"/>
    <w:uiPriority w:val="99"/>
    <w:unhideWhenUsed/>
    <w:rsid w:val="001119BB"/>
    <w:rPr>
      <w:color w:val="0563C1" w:themeColor="hyperlink"/>
      <w:u w:val="single"/>
    </w:rPr>
  </w:style>
  <w:style w:type="character" w:styleId="FollowedHyperlink">
    <w:name w:val="FollowedHyperlink"/>
    <w:basedOn w:val="DefaultParagraphFont"/>
    <w:uiPriority w:val="99"/>
    <w:semiHidden/>
    <w:unhideWhenUsed/>
    <w:rsid w:val="00680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4361">
      <w:bodyDiv w:val="1"/>
      <w:marLeft w:val="0"/>
      <w:marRight w:val="0"/>
      <w:marTop w:val="0"/>
      <w:marBottom w:val="0"/>
      <w:divBdr>
        <w:top w:val="none" w:sz="0" w:space="0" w:color="auto"/>
        <w:left w:val="none" w:sz="0" w:space="0" w:color="auto"/>
        <w:bottom w:val="none" w:sz="0" w:space="0" w:color="auto"/>
        <w:right w:val="none" w:sz="0" w:space="0" w:color="auto"/>
      </w:divBdr>
    </w:div>
    <w:div w:id="574821223">
      <w:bodyDiv w:val="1"/>
      <w:marLeft w:val="0"/>
      <w:marRight w:val="0"/>
      <w:marTop w:val="0"/>
      <w:marBottom w:val="0"/>
      <w:divBdr>
        <w:top w:val="none" w:sz="0" w:space="0" w:color="auto"/>
        <w:left w:val="none" w:sz="0" w:space="0" w:color="auto"/>
        <w:bottom w:val="none" w:sz="0" w:space="0" w:color="auto"/>
        <w:right w:val="none" w:sz="0" w:space="0" w:color="auto"/>
      </w:divBdr>
    </w:div>
    <w:div w:id="771512947">
      <w:bodyDiv w:val="1"/>
      <w:marLeft w:val="0"/>
      <w:marRight w:val="0"/>
      <w:marTop w:val="0"/>
      <w:marBottom w:val="0"/>
      <w:divBdr>
        <w:top w:val="none" w:sz="0" w:space="0" w:color="auto"/>
        <w:left w:val="none" w:sz="0" w:space="0" w:color="auto"/>
        <w:bottom w:val="none" w:sz="0" w:space="0" w:color="auto"/>
        <w:right w:val="none" w:sz="0" w:space="0" w:color="auto"/>
      </w:divBdr>
    </w:div>
    <w:div w:id="1024789641">
      <w:bodyDiv w:val="1"/>
      <w:marLeft w:val="0"/>
      <w:marRight w:val="0"/>
      <w:marTop w:val="0"/>
      <w:marBottom w:val="0"/>
      <w:divBdr>
        <w:top w:val="none" w:sz="0" w:space="0" w:color="auto"/>
        <w:left w:val="none" w:sz="0" w:space="0" w:color="auto"/>
        <w:bottom w:val="none" w:sz="0" w:space="0" w:color="auto"/>
        <w:right w:val="none" w:sz="0" w:space="0" w:color="auto"/>
      </w:divBdr>
    </w:div>
    <w:div w:id="1124229008">
      <w:bodyDiv w:val="1"/>
      <w:marLeft w:val="0"/>
      <w:marRight w:val="0"/>
      <w:marTop w:val="0"/>
      <w:marBottom w:val="0"/>
      <w:divBdr>
        <w:top w:val="none" w:sz="0" w:space="0" w:color="auto"/>
        <w:left w:val="none" w:sz="0" w:space="0" w:color="auto"/>
        <w:bottom w:val="none" w:sz="0" w:space="0" w:color="auto"/>
        <w:right w:val="none" w:sz="0" w:space="0" w:color="auto"/>
      </w:divBdr>
    </w:div>
    <w:div w:id="1361206103">
      <w:bodyDiv w:val="1"/>
      <w:marLeft w:val="0"/>
      <w:marRight w:val="0"/>
      <w:marTop w:val="0"/>
      <w:marBottom w:val="0"/>
      <w:divBdr>
        <w:top w:val="none" w:sz="0" w:space="0" w:color="auto"/>
        <w:left w:val="none" w:sz="0" w:space="0" w:color="auto"/>
        <w:bottom w:val="none" w:sz="0" w:space="0" w:color="auto"/>
        <w:right w:val="none" w:sz="0" w:space="0" w:color="auto"/>
      </w:divBdr>
    </w:div>
    <w:div w:id="17739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B4CC-0828-4C60-B9DC-04F5412F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9</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Matthew</dc:creator>
  <cp:keywords/>
  <dc:description/>
  <cp:lastModifiedBy>mgt</cp:lastModifiedBy>
  <cp:revision>227</cp:revision>
  <dcterms:created xsi:type="dcterms:W3CDTF">2017-04-11T10:46:00Z</dcterms:created>
  <dcterms:modified xsi:type="dcterms:W3CDTF">2018-01-27T11:28:00Z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http://www.zotero.org/styles/royal-society-open-science</vt:lpwstr>
  </property>
  <property fmtid="{D5CDD505-2E9C-101B-9397-08002B2CF9AE}" pid="21" name="Mendeley Recent Style Name 9_1">
    <vt:lpwstr>Royal Society Open Science</vt:lpwstr>
  </property>
  <property fmtid="{D5CDD505-2E9C-101B-9397-08002B2CF9AE}" pid="22" name="Mendeley Document_1">
    <vt:lpwstr>True</vt:lpwstr>
  </property>
  <property fmtid="{D5CDD505-2E9C-101B-9397-08002B2CF9AE}" pid="23" name="Mendeley Unique User Id_1">
    <vt:lpwstr>45ab2253-ec03-3654-bcc8-35b53e4ebb51</vt:lpwstr>
  </property>
  <property fmtid="{D5CDD505-2E9C-101B-9397-08002B2CF9AE}" pid="24" name="Mendeley Citation Style_1">
    <vt:lpwstr>http://www.zotero.org/styles/nature</vt:lpwstr>
  </property>
</Properties>
</file>