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1C" w:rsidRPr="004E7BC2" w:rsidRDefault="00DE791C" w:rsidP="00DE791C">
      <w:pPr>
        <w:widowControl w:val="0"/>
        <w:spacing w:after="0" w:line="480" w:lineRule="auto"/>
        <w:contextualSpacing/>
        <w:rPr>
          <w:rFonts w:ascii="Arial" w:eastAsia="PMingLiU" w:hAnsi="Arial" w:cs="Arial"/>
          <w:b/>
          <w:sz w:val="24"/>
          <w:szCs w:val="24"/>
          <w:lang w:val="en-GB"/>
        </w:rPr>
      </w:pPr>
      <w:r w:rsidRPr="004E7BC2">
        <w:rPr>
          <w:rFonts w:ascii="Arial" w:eastAsia="PMingLiU" w:hAnsi="Arial" w:cs="Arial"/>
          <w:b/>
          <w:sz w:val="24"/>
          <w:szCs w:val="24"/>
          <w:lang w:val="en-GB"/>
        </w:rPr>
        <w:t>Supplementary Information</w:t>
      </w:r>
    </w:p>
    <w:p w:rsidR="00DE791C" w:rsidRPr="004E7BC2" w:rsidRDefault="00DE791C" w:rsidP="00DE791C">
      <w:pPr>
        <w:widowControl w:val="0"/>
        <w:spacing w:after="0" w:line="480" w:lineRule="auto"/>
        <w:contextualSpacing/>
        <w:rPr>
          <w:rFonts w:ascii="Arial" w:eastAsia="PMingLiU" w:hAnsi="Arial" w:cs="Arial"/>
          <w:sz w:val="24"/>
          <w:szCs w:val="24"/>
          <w:lang w:val="en-GB"/>
        </w:rPr>
      </w:pPr>
    </w:p>
    <w:p w:rsidR="00DE791C" w:rsidRPr="004E7BC2" w:rsidRDefault="00DE791C" w:rsidP="00DE791C">
      <w:pPr>
        <w:pStyle w:val="Paragraph"/>
        <w:spacing w:line="480" w:lineRule="auto"/>
        <w:rPr>
          <w:rFonts w:ascii="Arial" w:hAnsi="Arial" w:cs="Arial"/>
        </w:rPr>
      </w:pPr>
      <w:r w:rsidRPr="004E7BC2">
        <w:rPr>
          <w:rFonts w:ascii="Arial" w:hAnsi="Arial" w:cs="Arial"/>
        </w:rPr>
        <w:t>The protein concentration of the lots of PF-06438179/GP1111, infliximab</w:t>
      </w:r>
      <w:r w:rsidRPr="004E7BC2">
        <w:rPr>
          <w:rFonts w:ascii="Arial" w:hAnsi="Arial" w:cs="Arial"/>
        </w:rPr>
        <w:noBreakHyphen/>
        <w:t>EU, and infliximab</w:t>
      </w:r>
      <w:r w:rsidRPr="004E7BC2">
        <w:rPr>
          <w:rFonts w:ascii="Arial" w:hAnsi="Arial" w:cs="Arial"/>
        </w:rPr>
        <w:noBreakHyphen/>
        <w:t>US used in the PK study are provided in Supplementary Table 1.</w:t>
      </w:r>
    </w:p>
    <w:p w:rsidR="00DE791C" w:rsidRPr="004E7BC2" w:rsidRDefault="00DE791C" w:rsidP="00DE791C">
      <w:pPr>
        <w:pStyle w:val="Paragraph"/>
        <w:spacing w:line="480" w:lineRule="auto"/>
        <w:rPr>
          <w:rFonts w:ascii="Arial" w:hAnsi="Arial" w:cs="Arial"/>
        </w:rPr>
      </w:pPr>
      <w:r w:rsidRPr="004E7BC2">
        <w:rPr>
          <w:rFonts w:ascii="Arial" w:hAnsi="Arial" w:cs="Arial"/>
          <w:b/>
        </w:rPr>
        <w:t>Supplementary Table 1.</w:t>
      </w:r>
      <w:r w:rsidRPr="004E7BC2">
        <w:rPr>
          <w:rFonts w:ascii="Arial" w:hAnsi="Arial" w:cs="Arial"/>
        </w:rPr>
        <w:t xml:space="preserve"> Protein concentration of test and reference products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4114"/>
      </w:tblGrid>
      <w:tr w:rsidR="00DE791C" w:rsidRPr="004E7BC2" w:rsidTr="00A64617">
        <w:trPr>
          <w:jc w:val="center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DE791C" w:rsidRPr="004E7BC2" w:rsidRDefault="00DE791C" w:rsidP="00A64617">
            <w:pPr>
              <w:pStyle w:val="Paragraph"/>
              <w:spacing w:line="480" w:lineRule="auto"/>
              <w:rPr>
                <w:rFonts w:ascii="Arial" w:hAnsi="Arial" w:cs="Arial"/>
              </w:rPr>
            </w:pPr>
            <w:r w:rsidRPr="004E7BC2">
              <w:rPr>
                <w:rFonts w:ascii="Arial" w:hAnsi="Arial" w:cs="Arial"/>
              </w:rPr>
              <w:t>Product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</w:tcPr>
          <w:p w:rsidR="00DE791C" w:rsidRPr="004E7BC2" w:rsidRDefault="00DE791C" w:rsidP="00A64617">
            <w:pPr>
              <w:pStyle w:val="Paragraph"/>
              <w:spacing w:line="480" w:lineRule="auto"/>
              <w:jc w:val="center"/>
              <w:rPr>
                <w:rFonts w:ascii="Arial" w:hAnsi="Arial" w:cs="Arial"/>
              </w:rPr>
            </w:pPr>
            <w:r w:rsidRPr="004E7BC2">
              <w:rPr>
                <w:rFonts w:ascii="Arial" w:hAnsi="Arial" w:cs="Arial"/>
                <w:color w:val="000000"/>
              </w:rPr>
              <w:t>Protein concentration (mg/mL)</w:t>
            </w:r>
          </w:p>
        </w:tc>
      </w:tr>
      <w:tr w:rsidR="00DE791C" w:rsidRPr="004E7BC2" w:rsidTr="00A64617">
        <w:trPr>
          <w:jc w:val="center"/>
        </w:trPr>
        <w:tc>
          <w:tcPr>
            <w:tcW w:w="3116" w:type="dxa"/>
            <w:tcBorders>
              <w:top w:val="single" w:sz="4" w:space="0" w:color="auto"/>
            </w:tcBorders>
          </w:tcPr>
          <w:p w:rsidR="00DE791C" w:rsidRPr="004E7BC2" w:rsidRDefault="00DE791C" w:rsidP="00A64617">
            <w:pPr>
              <w:pStyle w:val="TableText"/>
              <w:spacing w:line="480" w:lineRule="auto"/>
              <w:rPr>
                <w:rFonts w:ascii="Arial" w:hAnsi="Arial"/>
                <w:sz w:val="24"/>
                <w:szCs w:val="24"/>
              </w:rPr>
            </w:pPr>
            <w:r w:rsidRPr="004E7BC2">
              <w:rPr>
                <w:rFonts w:ascii="Arial" w:hAnsi="Arial"/>
                <w:caps/>
                <w:sz w:val="24"/>
                <w:szCs w:val="24"/>
              </w:rPr>
              <w:t>PF-06438179/GP1111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E791C" w:rsidRPr="004E7BC2" w:rsidRDefault="00DE791C" w:rsidP="00A64617">
            <w:pPr>
              <w:pStyle w:val="Paragraph"/>
              <w:spacing w:line="480" w:lineRule="auto"/>
              <w:jc w:val="center"/>
              <w:rPr>
                <w:rFonts w:ascii="Arial" w:hAnsi="Arial" w:cs="Arial"/>
              </w:rPr>
            </w:pPr>
            <w:r w:rsidRPr="004E7BC2">
              <w:rPr>
                <w:rFonts w:ascii="Arial" w:hAnsi="Arial" w:cs="Arial"/>
              </w:rPr>
              <w:t>10.3</w:t>
            </w:r>
          </w:p>
        </w:tc>
      </w:tr>
      <w:tr w:rsidR="00DE791C" w:rsidRPr="004E7BC2" w:rsidTr="00A64617">
        <w:trPr>
          <w:jc w:val="center"/>
        </w:trPr>
        <w:tc>
          <w:tcPr>
            <w:tcW w:w="3116" w:type="dxa"/>
          </w:tcPr>
          <w:p w:rsidR="00DE791C" w:rsidRPr="004E7BC2" w:rsidRDefault="00DE791C" w:rsidP="00A64617">
            <w:pPr>
              <w:pStyle w:val="TableText"/>
              <w:spacing w:line="480" w:lineRule="auto"/>
              <w:rPr>
                <w:rFonts w:ascii="Arial" w:hAnsi="Arial"/>
                <w:sz w:val="24"/>
                <w:szCs w:val="24"/>
              </w:rPr>
            </w:pPr>
            <w:r w:rsidRPr="004E7BC2">
              <w:rPr>
                <w:rFonts w:ascii="Arial" w:hAnsi="Arial"/>
                <w:sz w:val="24"/>
                <w:szCs w:val="24"/>
              </w:rPr>
              <w:t>Infliximab</w:t>
            </w:r>
            <w:r w:rsidRPr="004E7BC2">
              <w:rPr>
                <w:rFonts w:ascii="Arial" w:hAnsi="Arial"/>
                <w:sz w:val="24"/>
                <w:szCs w:val="24"/>
              </w:rPr>
              <w:noBreakHyphen/>
              <w:t>EU</w:t>
            </w:r>
          </w:p>
        </w:tc>
        <w:tc>
          <w:tcPr>
            <w:tcW w:w="4114" w:type="dxa"/>
          </w:tcPr>
          <w:p w:rsidR="00DE791C" w:rsidRPr="004E7BC2" w:rsidRDefault="00DE791C" w:rsidP="00A64617">
            <w:pPr>
              <w:pStyle w:val="Paragraph"/>
              <w:spacing w:line="480" w:lineRule="auto"/>
              <w:jc w:val="center"/>
              <w:rPr>
                <w:rFonts w:ascii="Arial" w:hAnsi="Arial" w:cs="Arial"/>
              </w:rPr>
            </w:pPr>
            <w:r w:rsidRPr="004E7BC2">
              <w:rPr>
                <w:rFonts w:ascii="Arial" w:hAnsi="Arial" w:cs="Arial"/>
              </w:rPr>
              <w:t>9.5</w:t>
            </w:r>
          </w:p>
        </w:tc>
      </w:tr>
      <w:tr w:rsidR="00DE791C" w:rsidRPr="004E7BC2" w:rsidTr="00A64617">
        <w:trPr>
          <w:jc w:val="center"/>
        </w:trPr>
        <w:tc>
          <w:tcPr>
            <w:tcW w:w="3116" w:type="dxa"/>
            <w:tcBorders>
              <w:bottom w:val="single" w:sz="4" w:space="0" w:color="auto"/>
            </w:tcBorders>
          </w:tcPr>
          <w:p w:rsidR="00DE791C" w:rsidRPr="004E7BC2" w:rsidRDefault="00DE791C" w:rsidP="00A64617">
            <w:pPr>
              <w:pStyle w:val="Paragraph"/>
              <w:spacing w:line="480" w:lineRule="auto"/>
              <w:rPr>
                <w:rFonts w:ascii="Arial" w:hAnsi="Arial" w:cs="Arial"/>
              </w:rPr>
            </w:pPr>
            <w:r w:rsidRPr="004E7BC2">
              <w:rPr>
                <w:rFonts w:ascii="Arial" w:hAnsi="Arial" w:cs="Arial"/>
              </w:rPr>
              <w:t>Infliximab</w:t>
            </w:r>
            <w:r w:rsidRPr="004E7BC2">
              <w:rPr>
                <w:rFonts w:ascii="Arial" w:hAnsi="Arial" w:cs="Arial"/>
              </w:rPr>
              <w:noBreakHyphen/>
              <w:t>US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DE791C" w:rsidRPr="004E7BC2" w:rsidRDefault="00DE791C" w:rsidP="00A64617">
            <w:pPr>
              <w:pStyle w:val="Paragraph"/>
              <w:spacing w:line="480" w:lineRule="auto"/>
              <w:jc w:val="center"/>
              <w:rPr>
                <w:rFonts w:ascii="Arial" w:hAnsi="Arial" w:cs="Arial"/>
              </w:rPr>
            </w:pPr>
            <w:r w:rsidRPr="004E7BC2">
              <w:rPr>
                <w:rFonts w:ascii="Arial" w:hAnsi="Arial" w:cs="Arial"/>
              </w:rPr>
              <w:t>9.7</w:t>
            </w:r>
          </w:p>
        </w:tc>
      </w:tr>
    </w:tbl>
    <w:p w:rsidR="00DE791C" w:rsidRPr="004E7BC2" w:rsidRDefault="00DE791C" w:rsidP="00DE791C">
      <w:pPr>
        <w:pStyle w:val="Paragraph"/>
        <w:spacing w:line="480" w:lineRule="auto"/>
        <w:rPr>
          <w:rFonts w:ascii="Arial" w:hAnsi="Arial" w:cs="Arial"/>
        </w:rPr>
      </w:pPr>
      <w:r w:rsidRPr="004E7BC2">
        <w:rPr>
          <w:rFonts w:ascii="Arial" w:hAnsi="Arial" w:cs="Arial"/>
          <w:lang w:eastAsia="zh-CN"/>
        </w:rPr>
        <w:t>EU, European Union; US, United States</w:t>
      </w:r>
    </w:p>
    <w:p w:rsidR="00DE791C" w:rsidRPr="004E7BC2" w:rsidRDefault="00DE791C" w:rsidP="00DE791C">
      <w:pPr>
        <w:widowControl w:val="0"/>
        <w:spacing w:after="0" w:line="480" w:lineRule="auto"/>
        <w:contextualSpacing/>
        <w:rPr>
          <w:rFonts w:ascii="Arial" w:eastAsia="PMingLiU" w:hAnsi="Arial" w:cs="Arial"/>
          <w:sz w:val="24"/>
          <w:szCs w:val="24"/>
          <w:lang w:val="en-GB"/>
        </w:rPr>
      </w:pPr>
      <w:r w:rsidRPr="004E7BC2">
        <w:rPr>
          <w:rFonts w:ascii="Arial" w:eastAsia="PMingLiU" w:hAnsi="Arial" w:cs="Arial"/>
          <w:sz w:val="24"/>
          <w:szCs w:val="24"/>
          <w:lang w:val="en-GB"/>
        </w:rPr>
        <w:t>The following formula was used to calculate the protein-content corrected value for each subject’s PK exposure parameters (</w:t>
      </w:r>
      <w:r w:rsidRPr="004E7BC2">
        <w:rPr>
          <w:rFonts w:ascii="Arial" w:eastAsia="PMingLiU" w:hAnsi="Arial" w:cs="Arial"/>
          <w:b/>
          <w:sz w:val="24"/>
          <w:szCs w:val="24"/>
          <w:lang w:val="en-GB"/>
        </w:rPr>
        <w:t>Supplementary Figure 1</w:t>
      </w:r>
      <w:r w:rsidRPr="004E7BC2">
        <w:rPr>
          <w:rFonts w:ascii="Arial" w:eastAsia="PMingLiU" w:hAnsi="Arial" w:cs="Arial"/>
          <w:sz w:val="24"/>
          <w:szCs w:val="24"/>
          <w:lang w:val="en-GB"/>
        </w:rPr>
        <w:t>).</w:t>
      </w:r>
    </w:p>
    <w:p w:rsidR="00DE791C" w:rsidRPr="004E7BC2" w:rsidRDefault="00DE791C" w:rsidP="00DE791C">
      <w:pPr>
        <w:widowControl w:val="0"/>
        <w:spacing w:after="0" w:line="480" w:lineRule="auto"/>
        <w:contextualSpacing/>
        <w:rPr>
          <w:rFonts w:ascii="Arial" w:eastAsia="PMingLiU" w:hAnsi="Arial" w:cs="Arial"/>
          <w:sz w:val="24"/>
          <w:szCs w:val="24"/>
          <w:lang w:val="en-GB"/>
        </w:rPr>
      </w:pPr>
    </w:p>
    <w:p w:rsidR="00DE791C" w:rsidRPr="004E7BC2" w:rsidRDefault="00DE791C" w:rsidP="00DE791C">
      <w:pPr>
        <w:widowControl w:val="0"/>
        <w:spacing w:after="0" w:line="480" w:lineRule="auto"/>
        <w:contextualSpacing/>
        <w:rPr>
          <w:rFonts w:ascii="Arial" w:eastAsia="PMingLiU" w:hAnsi="Arial" w:cs="Arial"/>
          <w:sz w:val="24"/>
          <w:szCs w:val="24"/>
          <w:lang w:val="en-GB"/>
        </w:rPr>
      </w:pPr>
      <w:r w:rsidRPr="004E7BC2">
        <w:rPr>
          <w:rFonts w:ascii="Arial" w:eastAsia="PMingLiU" w:hAnsi="Arial" w:cs="Arial"/>
          <w:b/>
          <w:sz w:val="24"/>
          <w:szCs w:val="24"/>
          <w:lang w:val="en-GB"/>
        </w:rPr>
        <w:t>Supplementary Figure 1.</w:t>
      </w:r>
      <w:r w:rsidRPr="004E7BC2">
        <w:rPr>
          <w:rFonts w:ascii="Arial" w:eastAsia="PMingLiU" w:hAnsi="Arial" w:cs="Arial"/>
          <w:sz w:val="24"/>
          <w:szCs w:val="24"/>
          <w:lang w:val="en-GB"/>
        </w:rPr>
        <w:t xml:space="preserve"> Calculation of protein-content corrected PK parameters </w:t>
      </w:r>
    </w:p>
    <w:p w:rsidR="00DE791C" w:rsidRPr="004E7BC2" w:rsidRDefault="00DE791C" w:rsidP="00DE791C">
      <w:pPr>
        <w:widowControl w:val="0"/>
        <w:spacing w:after="0" w:line="480" w:lineRule="auto"/>
        <w:contextualSpacing/>
        <w:rPr>
          <w:rFonts w:ascii="Arial" w:eastAsia="PMingLiU" w:hAnsi="Arial" w:cs="Arial"/>
          <w:sz w:val="24"/>
          <w:szCs w:val="24"/>
          <w:lang w:val="en-GB"/>
        </w:rPr>
      </w:pPr>
    </w:p>
    <w:p w:rsidR="00DE791C" w:rsidRPr="004E7BC2" w:rsidRDefault="00DE791C" w:rsidP="00DE791C">
      <w:pPr>
        <w:widowControl w:val="0"/>
        <w:spacing w:after="0" w:line="480" w:lineRule="auto"/>
        <w:contextualSpacing/>
        <w:rPr>
          <w:rFonts w:ascii="Arial" w:eastAsia="PMingLiU" w:hAnsi="Arial" w:cs="Arial"/>
          <w:sz w:val="24"/>
          <w:szCs w:val="24"/>
          <w:lang w:val="en-GB"/>
        </w:rPr>
      </w:pPr>
      <w:r w:rsidRPr="004E7BC2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7F762AF2" wp14:editId="735A891C">
            <wp:extent cx="5943600" cy="6597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91C" w:rsidRPr="004E7BC2" w:rsidRDefault="00DE791C" w:rsidP="00DE791C">
      <w:pPr>
        <w:widowControl w:val="0"/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4E7BC2">
        <w:rPr>
          <w:rFonts w:ascii="Arial" w:eastAsia="PMingLiU" w:hAnsi="Arial" w:cs="Arial"/>
          <w:sz w:val="24"/>
          <w:szCs w:val="24"/>
          <w:lang w:val="en-GB"/>
        </w:rPr>
        <w:t>Statistical comparisons of the protein-content corrected PK exposure parameters between the test (</w:t>
      </w:r>
      <w:r w:rsidRPr="004E7BC2">
        <w:rPr>
          <w:rFonts w:ascii="Arial" w:hAnsi="Arial" w:cs="Arial"/>
          <w:sz w:val="24"/>
          <w:szCs w:val="24"/>
        </w:rPr>
        <w:t xml:space="preserve">PF-06438179/GP1111), </w:t>
      </w:r>
      <w:r w:rsidRPr="004E7BC2">
        <w:rPr>
          <w:rFonts w:ascii="Arial" w:eastAsia="PMingLiU" w:hAnsi="Arial" w:cs="Arial"/>
          <w:sz w:val="24"/>
          <w:szCs w:val="24"/>
          <w:lang w:val="en-GB"/>
        </w:rPr>
        <w:t>and reference products</w:t>
      </w:r>
      <w:r w:rsidRPr="004E7BC2">
        <w:rPr>
          <w:rFonts w:ascii="Arial" w:hAnsi="Arial" w:cs="Arial"/>
          <w:sz w:val="24"/>
          <w:szCs w:val="24"/>
        </w:rPr>
        <w:t xml:space="preserve"> (infliximab</w:t>
      </w:r>
      <w:r w:rsidRPr="004E7BC2">
        <w:rPr>
          <w:rFonts w:ascii="Arial" w:hAnsi="Arial" w:cs="Arial"/>
          <w:sz w:val="24"/>
          <w:szCs w:val="24"/>
        </w:rPr>
        <w:noBreakHyphen/>
        <w:t>EU, and infliximab</w:t>
      </w:r>
      <w:r w:rsidRPr="004E7BC2">
        <w:rPr>
          <w:rFonts w:ascii="Arial" w:hAnsi="Arial" w:cs="Arial"/>
          <w:sz w:val="24"/>
          <w:szCs w:val="24"/>
        </w:rPr>
        <w:noBreakHyphen/>
        <w:t xml:space="preserve">US) are shown in </w:t>
      </w:r>
      <w:r w:rsidRPr="004E7BC2">
        <w:rPr>
          <w:rFonts w:ascii="Arial" w:hAnsi="Arial" w:cs="Arial"/>
          <w:b/>
          <w:sz w:val="24"/>
          <w:szCs w:val="24"/>
        </w:rPr>
        <w:t>Supplementary Table 2</w:t>
      </w:r>
      <w:r w:rsidRPr="004E7BC2">
        <w:rPr>
          <w:rFonts w:ascii="Arial" w:hAnsi="Arial" w:cs="Arial"/>
          <w:sz w:val="24"/>
          <w:szCs w:val="24"/>
        </w:rPr>
        <w:t>.</w:t>
      </w:r>
    </w:p>
    <w:p w:rsidR="00DE791C" w:rsidRPr="004E7BC2" w:rsidRDefault="00DE791C" w:rsidP="00DE791C">
      <w:pPr>
        <w:widowControl w:val="0"/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  <w:sectPr w:rsidR="00DE791C" w:rsidRPr="004E7BC2" w:rsidSect="00FB6D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791C" w:rsidRPr="004E7BC2" w:rsidRDefault="00DE791C" w:rsidP="00DE791C">
      <w:pPr>
        <w:widowControl w:val="0"/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E7BC2">
        <w:rPr>
          <w:rFonts w:ascii="Arial" w:hAnsi="Arial" w:cs="Arial"/>
          <w:b/>
          <w:sz w:val="24"/>
          <w:szCs w:val="24"/>
        </w:rPr>
        <w:lastRenderedPageBreak/>
        <w:t>Supplementary Table 2.</w:t>
      </w:r>
      <w:r w:rsidRPr="004E7BC2">
        <w:rPr>
          <w:rFonts w:ascii="Arial" w:hAnsi="Arial" w:cs="Arial"/>
          <w:sz w:val="24"/>
          <w:szCs w:val="24"/>
        </w:rPr>
        <w:t xml:space="preserve"> Statistical comparison of protein-content corrected PK exposure parameters between test and reference products: Per-protocol analysis set</w:t>
      </w:r>
    </w:p>
    <w:tbl>
      <w:tblPr>
        <w:tblStyle w:val="TableGrid5"/>
        <w:tblW w:w="12758" w:type="dxa"/>
        <w:tblLook w:val="04A0" w:firstRow="1" w:lastRow="0" w:firstColumn="1" w:lastColumn="0" w:noHBand="0" w:noVBand="1"/>
      </w:tblPr>
      <w:tblGrid>
        <w:gridCol w:w="1998"/>
        <w:gridCol w:w="1787"/>
        <w:gridCol w:w="1943"/>
        <w:gridCol w:w="884"/>
        <w:gridCol w:w="1804"/>
        <w:gridCol w:w="1697"/>
        <w:gridCol w:w="2645"/>
      </w:tblGrid>
      <w:tr w:rsidR="00DE791C" w:rsidRPr="004E7BC2" w:rsidTr="00A64617">
        <w:tc>
          <w:tcPr>
            <w:tcW w:w="1998" w:type="dxa"/>
            <w:tcBorders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87" w:type="dxa"/>
            <w:tcBorders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30" w:type="dxa"/>
            <w:gridSpan w:val="4"/>
            <w:tcBorders>
              <w:left w:val="nil"/>
              <w:right w:val="nil"/>
            </w:tcBorders>
            <w:vAlign w:val="center"/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b/>
                <w:sz w:val="24"/>
                <w:szCs w:val="24"/>
                <w:lang w:val="en-GB"/>
              </w:rPr>
              <w:t>Adjusted geometric mean</w:t>
            </w:r>
          </w:p>
        </w:tc>
      </w:tr>
      <w:tr w:rsidR="00DE791C" w:rsidRPr="004E7BC2" w:rsidTr="00A64617"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b/>
                <w:sz w:val="24"/>
                <w:szCs w:val="24"/>
                <w:lang w:val="en-GB"/>
              </w:rPr>
              <w:t>Test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b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b/>
                <w:sz w:val="24"/>
                <w:szCs w:val="24"/>
                <w:lang w:val="en-GB"/>
              </w:rPr>
              <w:t>Parameter</w:t>
            </w: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b/>
                <w:sz w:val="24"/>
                <w:szCs w:val="24"/>
                <w:lang w:val="en-GB"/>
              </w:rPr>
              <w:t>Test</w:t>
            </w: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b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b/>
                <w:sz w:val="24"/>
                <w:szCs w:val="24"/>
                <w:lang w:val="en-GB"/>
              </w:rPr>
              <w:t>Ratio (%)</w:t>
            </w:r>
            <w:r w:rsidRPr="004E7BC2">
              <w:rPr>
                <w:rFonts w:ascii="Arial" w:hAnsi="Arial" w:cs="Arial"/>
                <w:b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26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b/>
                <w:sz w:val="24"/>
                <w:szCs w:val="24"/>
                <w:lang w:val="en-GB"/>
              </w:rPr>
              <w:t>90% CI (%)</w:t>
            </w:r>
          </w:p>
        </w:tc>
      </w:tr>
      <w:tr w:rsidR="00DE791C" w:rsidRPr="004E7BC2" w:rsidTr="00A64617">
        <w:trPr>
          <w:trHeight w:val="107"/>
        </w:trPr>
        <w:tc>
          <w:tcPr>
            <w:tcW w:w="1998" w:type="dxa"/>
            <w:vMerge w:val="restart"/>
            <w:tcBorders>
              <w:left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t>PF-06438179/</w:t>
            </w: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br/>
              <w:t>GP1111</w:t>
            </w:r>
          </w:p>
        </w:tc>
        <w:tc>
          <w:tcPr>
            <w:tcW w:w="1787" w:type="dxa"/>
            <w:tcBorders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t>Infliximab-EU</w:t>
            </w: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Pr="004E7BC2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max</w:t>
            </w: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t>, μg/mL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211.1</w:t>
            </w: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208.0</w:t>
            </w:r>
          </w:p>
        </w:tc>
        <w:tc>
          <w:tcPr>
            <w:tcW w:w="1697" w:type="dxa"/>
            <w:tcBorders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101.48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93.45 – 110.21</w:t>
            </w:r>
          </w:p>
        </w:tc>
      </w:tr>
      <w:tr w:rsidR="00DE791C" w:rsidRPr="004E7BC2" w:rsidTr="00A64617">
        <w:tc>
          <w:tcPr>
            <w:tcW w:w="1998" w:type="dxa"/>
            <w:vMerge/>
            <w:tcBorders>
              <w:left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t>AUC</w:t>
            </w:r>
            <w:r w:rsidRPr="004E7BC2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T</w:t>
            </w: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t>, μg·h/mL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53990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52270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103.29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94.86 – 112.45</w:t>
            </w:r>
          </w:p>
        </w:tc>
      </w:tr>
      <w:tr w:rsidR="00DE791C" w:rsidRPr="004E7BC2" w:rsidTr="00A64617">
        <w:tc>
          <w:tcPr>
            <w:tcW w:w="19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t>AUC</w:t>
            </w:r>
            <w:r w:rsidRPr="004E7BC2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inf</w:t>
            </w: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t>, μg·h/mL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58010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56930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101.91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92.85 – 111.86</w:t>
            </w:r>
          </w:p>
        </w:tc>
      </w:tr>
      <w:tr w:rsidR="00DE791C" w:rsidRPr="004E7BC2" w:rsidTr="00A64617">
        <w:tc>
          <w:tcPr>
            <w:tcW w:w="1998" w:type="dxa"/>
            <w:vMerge w:val="restart"/>
            <w:tcBorders>
              <w:left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t>PF-06438179/</w:t>
            </w: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br/>
              <w:t>GP1111</w:t>
            </w:r>
          </w:p>
        </w:tc>
        <w:tc>
          <w:tcPr>
            <w:tcW w:w="1787" w:type="dxa"/>
            <w:tcBorders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t>Infliximab-US</w:t>
            </w: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Pr="004E7BC2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max</w:t>
            </w: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t>, μg/mL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211.1</w:t>
            </w: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209.4</w:t>
            </w:r>
          </w:p>
        </w:tc>
        <w:tc>
          <w:tcPr>
            <w:tcW w:w="1697" w:type="dxa"/>
            <w:tcBorders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100.81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92.79 – 109.53</w:t>
            </w:r>
          </w:p>
        </w:tc>
      </w:tr>
      <w:tr w:rsidR="00DE791C" w:rsidRPr="004E7BC2" w:rsidTr="00A64617">
        <w:tc>
          <w:tcPr>
            <w:tcW w:w="1998" w:type="dxa"/>
            <w:vMerge/>
            <w:tcBorders>
              <w:left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t>AUC</w:t>
            </w:r>
            <w:r w:rsidRPr="004E7BC2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T</w:t>
            </w: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t>, μg·h/mL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53990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53240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101.40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93.09 – 110.45</w:t>
            </w:r>
          </w:p>
        </w:tc>
      </w:tr>
      <w:tr w:rsidR="00DE791C" w:rsidRPr="004E7BC2" w:rsidTr="00A64617">
        <w:tc>
          <w:tcPr>
            <w:tcW w:w="19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t>AUC</w:t>
            </w:r>
            <w:r w:rsidRPr="004E7BC2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inf</w:t>
            </w: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t>, μg·h/mL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58010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57540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100.83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91.81 – 110.73</w:t>
            </w:r>
          </w:p>
        </w:tc>
      </w:tr>
      <w:tr w:rsidR="00DE791C" w:rsidRPr="004E7BC2" w:rsidTr="00A64617">
        <w:tc>
          <w:tcPr>
            <w:tcW w:w="1998" w:type="dxa"/>
            <w:tcBorders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t>Infliximab-EU</w:t>
            </w:r>
          </w:p>
        </w:tc>
        <w:tc>
          <w:tcPr>
            <w:tcW w:w="1787" w:type="dxa"/>
            <w:tcBorders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t>Infliximab-US</w:t>
            </w: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Pr="004E7BC2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max</w:t>
            </w: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t>, μg/mL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208.0</w:t>
            </w: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209.4</w:t>
            </w:r>
          </w:p>
        </w:tc>
        <w:tc>
          <w:tcPr>
            <w:tcW w:w="1697" w:type="dxa"/>
            <w:tcBorders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99.34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91.61 – 107.72</w:t>
            </w:r>
          </w:p>
        </w:tc>
      </w:tr>
      <w:tr w:rsidR="00DE791C" w:rsidRPr="004E7BC2" w:rsidTr="00A64617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t>AUC</w:t>
            </w:r>
            <w:r w:rsidRPr="004E7BC2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T</w:t>
            </w: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t>, μg·h/mL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52270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53240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98.17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90.31 – 106.73</w:t>
            </w:r>
          </w:p>
        </w:tc>
      </w:tr>
      <w:tr w:rsidR="00DE791C" w:rsidRPr="004E7BC2" w:rsidTr="00A64617">
        <w:tc>
          <w:tcPr>
            <w:tcW w:w="1998" w:type="dxa"/>
            <w:tcBorders>
              <w:top w:val="nil"/>
              <w:left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t>AUC</w:t>
            </w:r>
            <w:r w:rsidRPr="004E7BC2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>inf</w:t>
            </w:r>
            <w:r w:rsidRPr="004E7BC2">
              <w:rPr>
                <w:rFonts w:ascii="Arial" w:hAnsi="Arial" w:cs="Arial"/>
                <w:sz w:val="24"/>
                <w:szCs w:val="24"/>
                <w:lang w:val="en-GB"/>
              </w:rPr>
              <w:t>, μg·h/mL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56930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57540</w:t>
            </w: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98.94</w:t>
            </w:r>
          </w:p>
        </w:tc>
        <w:tc>
          <w:tcPr>
            <w:tcW w:w="2645" w:type="dxa"/>
            <w:tcBorders>
              <w:top w:val="nil"/>
              <w:left w:val="nil"/>
              <w:right w:val="nil"/>
            </w:tcBorders>
          </w:tcPr>
          <w:p w:rsidR="00DE791C" w:rsidRPr="004E7BC2" w:rsidRDefault="00DE791C" w:rsidP="00A64617">
            <w:pPr>
              <w:widowControl w:val="0"/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7BC2">
              <w:rPr>
                <w:rFonts w:ascii="Arial" w:hAnsi="Arial" w:cs="Arial"/>
                <w:sz w:val="24"/>
                <w:szCs w:val="24"/>
              </w:rPr>
              <w:t>90.29 – 108.41</w:t>
            </w:r>
          </w:p>
        </w:tc>
      </w:tr>
    </w:tbl>
    <w:p w:rsidR="00DE791C" w:rsidRPr="004E7BC2" w:rsidRDefault="00DE791C" w:rsidP="00DE791C">
      <w:pPr>
        <w:widowControl w:val="0"/>
        <w:spacing w:after="0" w:line="480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4E7BC2">
        <w:rPr>
          <w:rFonts w:ascii="Arial" w:hAnsi="Arial" w:cs="Arial"/>
          <w:sz w:val="24"/>
          <w:szCs w:val="24"/>
          <w:vertAlign w:val="superscript"/>
          <w:lang w:val="en-GB"/>
        </w:rPr>
        <w:t>a</w:t>
      </w:r>
      <w:r w:rsidRPr="004E7BC2">
        <w:rPr>
          <w:rFonts w:ascii="Arial" w:hAnsi="Arial" w:cs="Arial"/>
          <w:sz w:val="24"/>
          <w:szCs w:val="24"/>
          <w:lang w:val="en-GB"/>
        </w:rPr>
        <w:t>Test/reference ratio of adjusted geometric means.</w:t>
      </w:r>
    </w:p>
    <w:p w:rsidR="009520DD" w:rsidRDefault="00DE791C" w:rsidP="00DE791C">
      <w:r w:rsidRPr="004E7BC2">
        <w:rPr>
          <w:rFonts w:ascii="Arial" w:hAnsi="Arial" w:cs="Arial"/>
          <w:sz w:val="24"/>
          <w:szCs w:val="24"/>
          <w:lang w:val="en-GB"/>
        </w:rPr>
        <w:t>AUC</w:t>
      </w:r>
      <w:r w:rsidRPr="004E7BC2">
        <w:rPr>
          <w:rFonts w:ascii="Arial" w:hAnsi="Arial" w:cs="Arial"/>
          <w:sz w:val="24"/>
          <w:szCs w:val="24"/>
          <w:vertAlign w:val="subscript"/>
          <w:lang w:val="en-GB"/>
        </w:rPr>
        <w:t>inf</w:t>
      </w:r>
      <w:r w:rsidRPr="004E7BC2">
        <w:rPr>
          <w:rFonts w:ascii="Arial" w:hAnsi="Arial" w:cs="Arial"/>
          <w:sz w:val="24"/>
          <w:szCs w:val="24"/>
          <w:lang w:val="en-GB"/>
        </w:rPr>
        <w:t>, area under the concentration–time curve from time 0 extrapolated to infinite time; AUC</w:t>
      </w:r>
      <w:r w:rsidRPr="004E7BC2">
        <w:rPr>
          <w:rFonts w:ascii="Arial" w:hAnsi="Arial" w:cs="Arial"/>
          <w:sz w:val="24"/>
          <w:szCs w:val="24"/>
          <w:vertAlign w:val="subscript"/>
          <w:lang w:val="en-GB"/>
        </w:rPr>
        <w:t>T</w:t>
      </w:r>
      <w:r w:rsidRPr="004E7BC2">
        <w:rPr>
          <w:rFonts w:ascii="Arial" w:hAnsi="Arial" w:cs="Arial"/>
          <w:sz w:val="24"/>
          <w:szCs w:val="24"/>
          <w:lang w:val="en-GB"/>
        </w:rPr>
        <w:t>, area under the concentration–time curve from time 0 to last time point of measurable concentration; CI, confidence interval; C</w:t>
      </w:r>
      <w:r w:rsidRPr="004E7BC2">
        <w:rPr>
          <w:rFonts w:ascii="Arial" w:hAnsi="Arial" w:cs="Arial"/>
          <w:sz w:val="24"/>
          <w:szCs w:val="24"/>
          <w:vertAlign w:val="subscript"/>
          <w:lang w:val="en-GB"/>
        </w:rPr>
        <w:t>max</w:t>
      </w:r>
      <w:r w:rsidRPr="004E7BC2">
        <w:rPr>
          <w:rFonts w:ascii="Arial" w:hAnsi="Arial" w:cs="Arial"/>
          <w:sz w:val="24"/>
          <w:szCs w:val="24"/>
          <w:lang w:val="en-GB"/>
        </w:rPr>
        <w:t>, maximum serum concentration; PK, pharmacokinetic</w:t>
      </w:r>
    </w:p>
    <w:sectPr w:rsidR="009520DD" w:rsidSect="00DE79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1C"/>
    <w:rsid w:val="009520DD"/>
    <w:rsid w:val="00D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5E60B-A27A-40F7-B963-E54CB0F0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1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791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link w:val="TableTextChar"/>
    <w:qFormat/>
    <w:rsid w:val="00DE791C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US"/>
    </w:rPr>
  </w:style>
  <w:style w:type="character" w:customStyle="1" w:styleId="TableTextChar">
    <w:name w:val="TableText Char"/>
    <w:link w:val="TableText"/>
    <w:rsid w:val="00DE791C"/>
    <w:rPr>
      <w:rFonts w:ascii="Times New Roman" w:eastAsia="Times New Roman" w:hAnsi="Times New Roman" w:cs="Arial"/>
      <w:sz w:val="20"/>
      <w:szCs w:val="20"/>
      <w:lang w:val="en-US"/>
    </w:rPr>
  </w:style>
  <w:style w:type="paragraph" w:customStyle="1" w:styleId="Paragraph">
    <w:name w:val="Paragraph"/>
    <w:link w:val="ParagraphChar"/>
    <w:qFormat/>
    <w:rsid w:val="00DE791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Char">
    <w:name w:val="Paragraph Char"/>
    <w:link w:val="Paragraph"/>
    <w:rsid w:val="00DE791C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DE79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Iain</dc:creator>
  <cp:keywords/>
  <dc:description/>
  <cp:lastModifiedBy>McDonald, Iain</cp:lastModifiedBy>
  <cp:revision>1</cp:revision>
  <dcterms:created xsi:type="dcterms:W3CDTF">2018-02-22T15:40:00Z</dcterms:created>
  <dcterms:modified xsi:type="dcterms:W3CDTF">2018-02-22T15:41:00Z</dcterms:modified>
</cp:coreProperties>
</file>