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DD" w:rsidRPr="0029146F" w:rsidRDefault="00501BDD" w:rsidP="00501BDD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OLE_LINK21"/>
      <w:bookmarkStart w:id="1" w:name="OLE_LINK22"/>
      <w:bookmarkStart w:id="2" w:name="_GoBack"/>
      <w:bookmarkEnd w:id="2"/>
      <w:r w:rsidRPr="0029146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Microarray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and </w:t>
      </w:r>
      <w:r w:rsidRPr="0029146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B</w:t>
      </w:r>
      <w:r w:rsidRPr="0029146F">
        <w:rPr>
          <w:rFonts w:ascii="Times New Roman" w:eastAsia="宋体" w:hAnsi="Times New Roman" w:cs="Times New Roman"/>
          <w:b/>
          <w:kern w:val="0"/>
          <w:sz w:val="24"/>
          <w:szCs w:val="24"/>
        </w:rPr>
        <w:t>ioinformatic</w:t>
      </w:r>
      <w:r w:rsidRPr="0029146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</w:t>
      </w:r>
      <w:r w:rsidRPr="0029146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29146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a</w:t>
      </w:r>
      <w:r w:rsidRPr="0029146F">
        <w:rPr>
          <w:rFonts w:ascii="Times New Roman" w:eastAsia="宋体" w:hAnsi="Times New Roman" w:cs="Times New Roman"/>
          <w:b/>
          <w:kern w:val="0"/>
          <w:sz w:val="24"/>
          <w:szCs w:val="24"/>
        </w:rPr>
        <w:t>nalysis</w:t>
      </w:r>
      <w:bookmarkEnd w:id="0"/>
      <w:bookmarkEnd w:id="1"/>
    </w:p>
    <w:p w:rsidR="00501BDD" w:rsidRPr="00A46C33" w:rsidRDefault="00501BDD" w:rsidP="00501BDD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Times New Roman" w:eastAsia="GulliverRM" w:hAnsi="Times New Roman" w:cs="Times New Roman"/>
          <w:kern w:val="0"/>
          <w:sz w:val="24"/>
          <w:szCs w:val="24"/>
        </w:rPr>
      </w:pPr>
      <w:r w:rsidRPr="00E278A1">
        <w:rPr>
          <w:rFonts w:ascii="Times New Roman" w:eastAsia="黑体" w:hAnsi="Times New Roman" w:cs="Times New Roman"/>
          <w:sz w:val="24"/>
          <w:szCs w:val="24"/>
        </w:rPr>
        <w:t xml:space="preserve">For </w:t>
      </w:r>
      <w:proofErr w:type="spellStart"/>
      <w:r w:rsidRPr="00E278A1">
        <w:rPr>
          <w:rFonts w:ascii="Times New Roman" w:eastAsia="黑体" w:hAnsi="Times New Roman" w:cs="Times New Roman"/>
          <w:sz w:val="24"/>
          <w:szCs w:val="24"/>
        </w:rPr>
        <w:t>Affymetrix</w:t>
      </w:r>
      <w:bookmarkStart w:id="3" w:name="OLE_LINK84"/>
      <w:proofErr w:type="spellEnd"/>
      <w:r w:rsidRPr="00E278A1">
        <w:rPr>
          <w:rFonts w:ascii="Times New Roman" w:eastAsia="黑体" w:hAnsi="Times New Roman" w:cs="Times New Roman"/>
          <w:sz w:val="24"/>
          <w:szCs w:val="24"/>
          <w:vertAlign w:val="superscript"/>
        </w:rPr>
        <w:t>®</w:t>
      </w:r>
      <w:bookmarkEnd w:id="3"/>
      <w:r w:rsidRPr="00E278A1">
        <w:rPr>
          <w:rFonts w:ascii="Times New Roman" w:eastAsia="黑体" w:hAnsi="Times New Roman" w:cs="Times New Roman"/>
          <w:sz w:val="24"/>
          <w:szCs w:val="24"/>
        </w:rPr>
        <w:t xml:space="preserve"> microarray profiling, </w:t>
      </w:r>
      <w:r>
        <w:rPr>
          <w:rFonts w:ascii="Times New Roman" w:eastAsia="黑体" w:hAnsi="Times New Roman" w:cs="Times New Roman" w:hint="eastAsia"/>
          <w:sz w:val="24"/>
          <w:szCs w:val="24"/>
        </w:rPr>
        <w:t>the t</w:t>
      </w:r>
      <w:r w:rsidRPr="003B2436">
        <w:rPr>
          <w:rFonts w:ascii="Times New Roman" w:eastAsia="黑体" w:hAnsi="Times New Roman" w:cs="Times New Roman"/>
          <w:sz w:val="24"/>
          <w:szCs w:val="24"/>
        </w:rPr>
        <w:t>otal</w:t>
      </w:r>
      <w:r w:rsidRPr="003B2436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Pr="003B2436">
        <w:rPr>
          <w:rFonts w:ascii="Times New Roman" w:eastAsia="黑体" w:hAnsi="Times New Roman" w:cs="Times New Roman"/>
          <w:sz w:val="24"/>
          <w:szCs w:val="24"/>
        </w:rPr>
        <w:t>RNA was isolated fro</w:t>
      </w:r>
      <w:r>
        <w:rPr>
          <w:rFonts w:ascii="Times New Roman" w:eastAsia="黑体" w:hAnsi="Times New Roman" w:cs="Times New Roman"/>
          <w:sz w:val="24"/>
          <w:szCs w:val="24"/>
        </w:rPr>
        <w:t xml:space="preserve">m 30 </w:t>
      </w:r>
      <w:r>
        <w:rPr>
          <w:rFonts w:ascii="Times New Roman" w:eastAsia="黑体" w:hAnsi="Times New Roman" w:cs="Times New Roman" w:hint="eastAsia"/>
          <w:sz w:val="24"/>
          <w:szCs w:val="24"/>
        </w:rPr>
        <w:t>zebrafish embryos</w:t>
      </w:r>
      <w:r>
        <w:rPr>
          <w:rFonts w:ascii="Times New Roman" w:eastAsia="黑体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黑体" w:hAnsi="Times New Roman" w:cs="Times New Roman" w:hint="eastAsia"/>
          <w:sz w:val="24"/>
          <w:szCs w:val="24"/>
        </w:rPr>
        <w:t>SiNPs</w:t>
      </w:r>
      <w:proofErr w:type="spellEnd"/>
      <w:r>
        <w:rPr>
          <w:rFonts w:ascii="Times New Roman" w:eastAsia="黑体" w:hAnsi="Times New Roman" w:cs="Times New Roman" w:hint="eastAsia"/>
          <w:sz w:val="24"/>
          <w:szCs w:val="24"/>
        </w:rPr>
        <w:t>-</w:t>
      </w:r>
      <w:r>
        <w:rPr>
          <w:rFonts w:ascii="Times New Roman" w:eastAsia="黑体" w:hAnsi="Times New Roman" w:cs="Times New Roman"/>
          <w:sz w:val="24"/>
          <w:szCs w:val="24"/>
        </w:rPr>
        <w:t>treatment group</w:t>
      </w:r>
      <w:r w:rsidRPr="003B2436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</w:rPr>
        <w:t>(3 ng/</w:t>
      </w:r>
      <w:proofErr w:type="spellStart"/>
      <w:r w:rsidR="000E50DD">
        <w:rPr>
          <w:rFonts w:ascii="Times New Roman" w:eastAsia="黑体" w:hAnsi="Times New Roman" w:cs="Times New Roman" w:hint="eastAsia"/>
          <w:sz w:val="24"/>
          <w:szCs w:val="24"/>
        </w:rPr>
        <w:t>n</w:t>
      </w:r>
      <w:r>
        <w:rPr>
          <w:rFonts w:ascii="Times New Roman" w:eastAsia="黑体" w:hAnsi="Times New Roman" w:cs="Times New Roman" w:hint="eastAsia"/>
          <w:sz w:val="24"/>
          <w:szCs w:val="24"/>
        </w:rPr>
        <w:t>L</w:t>
      </w:r>
      <w:proofErr w:type="spellEnd"/>
      <w:r>
        <w:rPr>
          <w:rFonts w:ascii="Times New Roman" w:eastAsia="黑体" w:hAnsi="Times New Roman" w:cs="Times New Roman" w:hint="eastAsia"/>
          <w:sz w:val="24"/>
          <w:szCs w:val="24"/>
        </w:rPr>
        <w:t>) by</w:t>
      </w:r>
      <w:r w:rsidRPr="003B2436">
        <w:rPr>
          <w:rFonts w:ascii="Times New Roman" w:eastAsia="黑体" w:hAnsi="Times New Roman" w:cs="Times New Roman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sz w:val="24"/>
          <w:szCs w:val="24"/>
        </w:rPr>
        <w:t>the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proofErr w:type="spellStart"/>
      <w:r w:rsidRPr="003B2436">
        <w:rPr>
          <w:rFonts w:ascii="Times New Roman" w:eastAsia="黑体" w:hAnsi="Times New Roman" w:cs="Times New Roman"/>
          <w:sz w:val="24"/>
          <w:szCs w:val="24"/>
        </w:rPr>
        <w:t>TRIzol</w:t>
      </w:r>
      <w:proofErr w:type="spellEnd"/>
      <w:r w:rsidRPr="003B2436">
        <w:rPr>
          <w:rFonts w:ascii="Times New Roman" w:eastAsia="黑体" w:hAnsi="Times New Roman" w:cs="Times New Roman"/>
          <w:sz w:val="24"/>
          <w:szCs w:val="24"/>
        </w:rPr>
        <w:t xml:space="preserve"> </w:t>
      </w:r>
      <w:bookmarkStart w:id="4" w:name="OLE_LINK122"/>
      <w:bookmarkStart w:id="5" w:name="OLE_LINK123"/>
      <w:r w:rsidRPr="003B2436">
        <w:rPr>
          <w:rFonts w:ascii="Times New Roman" w:eastAsia="黑体" w:hAnsi="Times New Roman" w:cs="Times New Roman"/>
          <w:sz w:val="24"/>
          <w:szCs w:val="24"/>
        </w:rPr>
        <w:t>reagent (Invitrogen, Carlsbad,</w:t>
      </w:r>
      <w:r w:rsidRPr="003B2436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Pr="00E278A1">
        <w:rPr>
          <w:rFonts w:ascii="Times New Roman" w:eastAsia="黑体" w:hAnsi="Times New Roman" w:cs="Times New Roman" w:hint="eastAsia"/>
          <w:sz w:val="24"/>
          <w:szCs w:val="24"/>
        </w:rPr>
        <w:t>Canada</w:t>
      </w:r>
      <w:r w:rsidRPr="003B2436">
        <w:rPr>
          <w:rFonts w:ascii="Times New Roman" w:eastAsia="黑体" w:hAnsi="Times New Roman" w:cs="Times New Roman"/>
          <w:sz w:val="24"/>
          <w:szCs w:val="24"/>
        </w:rPr>
        <w:t>)</w:t>
      </w:r>
      <w:bookmarkEnd w:id="4"/>
      <w:bookmarkEnd w:id="5"/>
      <w:r w:rsidRPr="003B2436">
        <w:rPr>
          <w:rFonts w:ascii="Times New Roman" w:eastAsia="黑体" w:hAnsi="Times New Roman" w:cs="Times New Roman"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and </w:t>
      </w:r>
      <w:r w:rsidRPr="00E278A1">
        <w:rPr>
          <w:rFonts w:ascii="Times New Roman" w:eastAsia="黑体" w:hAnsi="Times New Roman" w:cs="Times New Roman" w:hint="eastAsia"/>
          <w:sz w:val="24"/>
          <w:szCs w:val="24"/>
        </w:rPr>
        <w:t>purifi</w:t>
      </w:r>
      <w:r w:rsidRPr="00E278A1">
        <w:rPr>
          <w:rFonts w:ascii="Times New Roman" w:eastAsia="黑体" w:hAnsi="Times New Roman" w:cs="Times New Roman"/>
          <w:sz w:val="24"/>
          <w:szCs w:val="24"/>
        </w:rPr>
        <w:t xml:space="preserve">ed 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with an </w:t>
      </w:r>
      <w:r w:rsidRPr="00E278A1">
        <w:rPr>
          <w:rFonts w:ascii="Times New Roman" w:eastAsia="黑体" w:hAnsi="Times New Roman" w:cs="Times New Roman"/>
          <w:sz w:val="24"/>
          <w:szCs w:val="24"/>
        </w:rPr>
        <w:t>RNeasy Mini Kit</w:t>
      </w:r>
      <w:r w:rsidRPr="003B2436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E278A1">
        <w:rPr>
          <w:rFonts w:ascii="Times New Roman" w:eastAsia="黑体" w:hAnsi="Times New Roman" w:cs="Times New Roman"/>
          <w:sz w:val="24"/>
          <w:szCs w:val="24"/>
        </w:rPr>
        <w:t>(</w:t>
      </w:r>
      <w:proofErr w:type="spellStart"/>
      <w:r w:rsidRPr="00E278A1">
        <w:rPr>
          <w:rFonts w:ascii="Times New Roman" w:eastAsia="黑体" w:hAnsi="Times New Roman" w:cs="Times New Roman"/>
          <w:sz w:val="24"/>
          <w:szCs w:val="24"/>
        </w:rPr>
        <w:t>Qiagen</w:t>
      </w:r>
      <w:proofErr w:type="spellEnd"/>
      <w:r w:rsidRPr="00E278A1">
        <w:rPr>
          <w:rFonts w:ascii="Times New Roman" w:eastAsia="黑体" w:hAnsi="Times New Roman" w:cs="Times New Roman" w:hint="eastAsia"/>
          <w:sz w:val="24"/>
          <w:szCs w:val="24"/>
        </w:rPr>
        <w:t xml:space="preserve">, </w:t>
      </w:r>
      <w:r w:rsidRPr="003B2436">
        <w:rPr>
          <w:rFonts w:ascii="Times New Roman" w:eastAsia="黑体" w:hAnsi="Times New Roman" w:cs="Times New Roman"/>
          <w:sz w:val="24"/>
          <w:szCs w:val="24"/>
        </w:rPr>
        <w:t>Hilden, Germany</w:t>
      </w:r>
      <w:r w:rsidRPr="00E278A1">
        <w:rPr>
          <w:rFonts w:ascii="Times New Roman" w:eastAsia="黑体" w:hAnsi="Times New Roman" w:cs="Times New Roman"/>
          <w:sz w:val="24"/>
          <w:szCs w:val="24"/>
        </w:rPr>
        <w:t>)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Pr="003B2436">
        <w:rPr>
          <w:rFonts w:ascii="Times New Roman" w:eastAsia="黑体" w:hAnsi="Times New Roman" w:cs="Times New Roman"/>
          <w:sz w:val="24"/>
          <w:szCs w:val="24"/>
        </w:rPr>
        <w:t>according to the manufacturer</w:t>
      </w:r>
      <w:r>
        <w:rPr>
          <w:rFonts w:ascii="Times New Roman" w:eastAsia="黑体" w:hAnsi="Times New Roman" w:cs="Times New Roman"/>
          <w:sz w:val="24"/>
          <w:szCs w:val="24"/>
        </w:rPr>
        <w:t>’s protocol</w:t>
      </w:r>
      <w:r w:rsidRPr="00E278A1">
        <w:rPr>
          <w:rFonts w:ascii="Times New Roman" w:eastAsia="黑体" w:hAnsi="Times New Roman" w:cs="Times New Roman"/>
          <w:sz w:val="24"/>
          <w:szCs w:val="24"/>
        </w:rPr>
        <w:t xml:space="preserve">. </w:t>
      </w:r>
      <w:r>
        <w:rPr>
          <w:rFonts w:ascii="Times New Roman" w:eastAsia="黑体" w:hAnsi="Times New Roman" w:cs="Times New Roman" w:hint="eastAsia"/>
          <w:sz w:val="24"/>
          <w:szCs w:val="24"/>
        </w:rPr>
        <w:t>The amount and quality of</w:t>
      </w:r>
      <w:r w:rsidRPr="00E278A1">
        <w:rPr>
          <w:rFonts w:ascii="Times New Roman" w:eastAsia="黑体" w:hAnsi="Times New Roman" w:cs="Times New Roman"/>
          <w:sz w:val="24"/>
          <w:szCs w:val="24"/>
        </w:rPr>
        <w:t xml:space="preserve"> RNA were determined by 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a </w:t>
      </w:r>
      <w:r w:rsidRPr="002F2893">
        <w:rPr>
          <w:rFonts w:ascii="Times New Roman" w:eastAsia="黑体" w:hAnsi="Times New Roman" w:cs="Times New Roman"/>
          <w:sz w:val="24"/>
          <w:szCs w:val="24"/>
        </w:rPr>
        <w:t>UV-Vis Spectrophotometer</w:t>
      </w:r>
      <w:r w:rsidRPr="00E278A1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E278A1">
        <w:rPr>
          <w:rFonts w:ascii="Times New Roman" w:eastAsia="黑体" w:hAnsi="Times New Roman" w:cs="Times New Roman" w:hint="eastAsia"/>
          <w:sz w:val="24"/>
          <w:szCs w:val="24"/>
        </w:rPr>
        <w:t>(</w:t>
      </w:r>
      <w:proofErr w:type="spellStart"/>
      <w:r w:rsidRPr="00E278A1">
        <w:rPr>
          <w:rFonts w:ascii="Times New Roman" w:eastAsia="黑体" w:hAnsi="Times New Roman" w:cs="Times New Roman" w:hint="eastAsia"/>
          <w:sz w:val="24"/>
          <w:szCs w:val="24"/>
        </w:rPr>
        <w:t>Thermo</w:t>
      </w:r>
      <w:proofErr w:type="spellEnd"/>
      <w:r w:rsidRPr="00E278A1">
        <w:rPr>
          <w:rFonts w:ascii="Times New Roman" w:eastAsia="黑体" w:hAnsi="Times New Roman" w:cs="Times New Roman" w:hint="eastAsia"/>
          <w:sz w:val="24"/>
          <w:szCs w:val="24"/>
        </w:rPr>
        <w:t xml:space="preserve">, </w:t>
      </w:r>
      <w:proofErr w:type="spellStart"/>
      <w:r w:rsidRPr="00E278A1">
        <w:rPr>
          <w:rFonts w:ascii="Times New Roman" w:eastAsia="黑体" w:hAnsi="Times New Roman" w:cs="Times New Roman" w:hint="eastAsia"/>
          <w:sz w:val="24"/>
          <w:szCs w:val="24"/>
        </w:rPr>
        <w:t>NanoDrop</w:t>
      </w:r>
      <w:proofErr w:type="spellEnd"/>
      <w:r w:rsidRPr="00E278A1">
        <w:rPr>
          <w:rFonts w:ascii="Times New Roman" w:eastAsia="黑体" w:hAnsi="Times New Roman" w:cs="Times New Roman" w:hint="eastAsia"/>
          <w:sz w:val="24"/>
          <w:szCs w:val="24"/>
        </w:rPr>
        <w:t xml:space="preserve"> 2000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eastAsia="黑体" w:hAnsi="Times New Roman" w:cs="Times New Roman" w:hint="eastAsia"/>
          <w:sz w:val="24"/>
          <w:szCs w:val="24"/>
        </w:rPr>
        <w:t>USA</w:t>
      </w:r>
      <w:proofErr w:type="gramEnd"/>
      <w:r w:rsidRPr="00E278A1">
        <w:rPr>
          <w:rFonts w:ascii="Times New Roman" w:eastAsia="黑体" w:hAnsi="Times New Roman" w:cs="Times New Roman" w:hint="eastAsia"/>
          <w:sz w:val="24"/>
          <w:szCs w:val="24"/>
        </w:rPr>
        <w:t>)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at </w:t>
      </w:r>
      <w:r w:rsidRPr="00E278A1">
        <w:rPr>
          <w:rFonts w:ascii="Times New Roman" w:eastAsia="黑体" w:hAnsi="Times New Roman" w:cs="Times New Roman"/>
          <w:sz w:val="24"/>
          <w:szCs w:val="24"/>
        </w:rPr>
        <w:t xml:space="preserve">the absorbance </w:t>
      </w:r>
      <w:r>
        <w:rPr>
          <w:rFonts w:ascii="Times New Roman" w:eastAsia="黑体" w:hAnsi="Times New Roman" w:cs="Times New Roman" w:hint="eastAsia"/>
          <w:sz w:val="24"/>
          <w:szCs w:val="24"/>
        </w:rPr>
        <w:t>of</w:t>
      </w:r>
      <w:r w:rsidRPr="00E278A1">
        <w:rPr>
          <w:rFonts w:ascii="Times New Roman" w:eastAsia="黑体" w:hAnsi="Times New Roman" w:cs="Times New Roman"/>
          <w:sz w:val="24"/>
          <w:szCs w:val="24"/>
        </w:rPr>
        <w:t xml:space="preserve"> 260 nm</w:t>
      </w:r>
      <w:bookmarkStart w:id="6" w:name="OLE_LINK82"/>
      <w:bookmarkStart w:id="7" w:name="OLE_LINK83"/>
      <w:r w:rsidRPr="00E278A1">
        <w:rPr>
          <w:rFonts w:ascii="Times New Roman" w:eastAsia="黑体" w:hAnsi="Times New Roman" w:cs="Times New Roman"/>
          <w:sz w:val="24"/>
          <w:szCs w:val="24"/>
        </w:rPr>
        <w:t>.</w:t>
      </w:r>
      <w:bookmarkEnd w:id="6"/>
      <w:bookmarkEnd w:id="7"/>
      <w:r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Pr="005F7D24">
        <w:rPr>
          <w:rFonts w:ascii="Times New Roman" w:eastAsia="黑体" w:hAnsi="Times New Roman" w:cs="Times New Roman" w:hint="eastAsia"/>
          <w:sz w:val="24"/>
          <w:szCs w:val="24"/>
        </w:rPr>
        <w:t>The m</w:t>
      </w:r>
      <w:r w:rsidRPr="005F7D24">
        <w:rPr>
          <w:rFonts w:ascii="Times New Roman" w:eastAsia="黑体" w:hAnsi="Times New Roman" w:cs="Times New Roman"/>
          <w:sz w:val="24"/>
          <w:szCs w:val="24"/>
        </w:rPr>
        <w:t xml:space="preserve">RNA expression profiling was </w:t>
      </w:r>
      <w:r>
        <w:rPr>
          <w:rFonts w:ascii="Times New Roman" w:eastAsia="黑体" w:hAnsi="Times New Roman" w:cs="Times New Roman" w:hint="eastAsia"/>
          <w:sz w:val="24"/>
          <w:szCs w:val="24"/>
        </w:rPr>
        <w:t>measured</w:t>
      </w:r>
      <w:r w:rsidRPr="005F7D24">
        <w:rPr>
          <w:rFonts w:ascii="Times New Roman" w:eastAsia="黑体" w:hAnsi="Times New Roman" w:cs="Times New Roman"/>
          <w:sz w:val="24"/>
          <w:szCs w:val="24"/>
        </w:rPr>
        <w:t xml:space="preserve"> using </w:t>
      </w:r>
      <w:r w:rsidRPr="005F7D24">
        <w:rPr>
          <w:rFonts w:ascii="Times New Roman" w:hAnsi="Times New Roman" w:cs="Times New Roman"/>
          <w:sz w:val="24"/>
          <w:szCs w:val="24"/>
        </w:rPr>
        <w:t>Zebrafish Gene 1.0 ST Array</w:t>
      </w:r>
      <w:r w:rsidRPr="005F7D24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5F7D24">
        <w:rPr>
          <w:rFonts w:ascii="Times New Roman" w:eastAsia="黑体" w:hAnsi="Times New Roman" w:cs="Times New Roman"/>
          <w:sz w:val="24"/>
          <w:szCs w:val="24"/>
        </w:rPr>
        <w:t>Affymetrix</w:t>
      </w:r>
      <w:proofErr w:type="spellEnd"/>
      <w:r w:rsidRPr="005F7D24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proofErr w:type="spellStart"/>
      <w:r w:rsidRPr="005F7D24">
        <w:rPr>
          <w:rFonts w:ascii="Times New Roman" w:eastAsia="黑体" w:hAnsi="Times New Roman" w:cs="Times New Roman"/>
          <w:sz w:val="24"/>
          <w:szCs w:val="24"/>
        </w:rPr>
        <w:t>GeneChip</w:t>
      </w:r>
      <w:proofErr w:type="spellEnd"/>
      <w:r w:rsidRPr="005F7D24">
        <w:rPr>
          <w:rFonts w:ascii="Times New Roman" w:eastAsia="黑体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, </w:t>
      </w:r>
      <w:r w:rsidRPr="005F7D24">
        <w:rPr>
          <w:rFonts w:ascii="Times New Roman" w:eastAsia="黑体" w:hAnsi="Times New Roman" w:cs="Times New Roman" w:hint="eastAsia"/>
          <w:sz w:val="24"/>
          <w:szCs w:val="24"/>
        </w:rPr>
        <w:t>USA</w:t>
      </w:r>
      <w:r w:rsidRPr="005F7D24">
        <w:rPr>
          <w:rFonts w:ascii="Times New Roman" w:hAnsi="Times New Roman" w:cs="Times New Roman" w:hint="eastAsia"/>
          <w:sz w:val="24"/>
          <w:szCs w:val="24"/>
        </w:rPr>
        <w:t>)</w:t>
      </w:r>
      <w:r w:rsidRPr="005F7D24">
        <w:rPr>
          <w:rFonts w:ascii="Times New Roman" w:eastAsia="黑体" w:hAnsi="Times New Roman" w:cs="Times New Roman"/>
          <w:sz w:val="24"/>
          <w:szCs w:val="24"/>
        </w:rPr>
        <w:t>, which</w:t>
      </w:r>
      <w:r w:rsidRPr="005F7D24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Pr="005F7D24">
        <w:rPr>
          <w:rFonts w:ascii="Times New Roman" w:eastAsia="黑体" w:hAnsi="Times New Roman" w:cs="Times New Roman"/>
          <w:sz w:val="24"/>
          <w:szCs w:val="24"/>
        </w:rPr>
        <w:t>contain</w:t>
      </w:r>
      <w:r w:rsidRPr="005F7D24">
        <w:rPr>
          <w:rFonts w:ascii="Times New Roman" w:eastAsia="黑体" w:hAnsi="Times New Roman" w:cs="Times New Roman" w:hint="eastAsia"/>
          <w:sz w:val="24"/>
          <w:szCs w:val="24"/>
        </w:rPr>
        <w:t>s</w:t>
      </w:r>
      <w:r w:rsidRPr="005F7D24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5F7D24">
        <w:rPr>
          <w:rFonts w:ascii="Times New Roman" w:eastAsia="黑体" w:hAnsi="Times New Roman" w:cs="Times New Roman" w:hint="eastAsia"/>
          <w:sz w:val="24"/>
          <w:szCs w:val="24"/>
        </w:rPr>
        <w:t>59</w:t>
      </w:r>
      <w:r w:rsidRPr="005F7D24">
        <w:rPr>
          <w:rFonts w:ascii="Times New Roman" w:eastAsia="黑体" w:hAnsi="Times New Roman" w:cs="Times New Roman"/>
          <w:sz w:val="24"/>
          <w:szCs w:val="24"/>
        </w:rPr>
        <w:t>,</w:t>
      </w:r>
      <w:r w:rsidRPr="005F7D24">
        <w:rPr>
          <w:rFonts w:ascii="Times New Roman" w:eastAsia="黑体" w:hAnsi="Times New Roman" w:cs="Times New Roman" w:hint="eastAsia"/>
          <w:sz w:val="24"/>
          <w:szCs w:val="24"/>
        </w:rPr>
        <w:t>302</w:t>
      </w:r>
      <w:r w:rsidRPr="005F7D24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5F7D24">
        <w:rPr>
          <w:rFonts w:ascii="Times New Roman" w:eastAsia="黑体" w:hAnsi="Times New Roman" w:cs="Times New Roman" w:hint="eastAsia"/>
          <w:sz w:val="24"/>
          <w:szCs w:val="24"/>
        </w:rPr>
        <w:t xml:space="preserve">gene-level </w:t>
      </w:r>
      <w:r w:rsidRPr="005F7D24">
        <w:rPr>
          <w:rFonts w:ascii="Times New Roman" w:eastAsia="黑体" w:hAnsi="Times New Roman" w:cs="Times New Roman"/>
          <w:sz w:val="24"/>
          <w:szCs w:val="24"/>
        </w:rPr>
        <w:t>probe sets.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eastAsia="黑体" w:hAnsi="Times New Roman" w:cs="Times New Roman"/>
          <w:sz w:val="24"/>
          <w:szCs w:val="24"/>
        </w:rPr>
        <w:t>microarray analysis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was performed by </w:t>
      </w:r>
      <w:proofErr w:type="spellStart"/>
      <w:r w:rsidRPr="00E278A1">
        <w:rPr>
          <w:rFonts w:ascii="Times New Roman" w:eastAsia="黑体" w:hAnsi="Times New Roman" w:cs="Times New Roman"/>
          <w:sz w:val="24"/>
          <w:szCs w:val="24"/>
        </w:rPr>
        <w:t>Affymetrix</w:t>
      </w:r>
      <w:proofErr w:type="spellEnd"/>
      <w:r w:rsidRPr="00E278A1">
        <w:rPr>
          <w:rFonts w:ascii="Times New Roman" w:eastAsia="黑体" w:hAnsi="Times New Roman" w:cs="Times New Roman"/>
          <w:sz w:val="24"/>
          <w:szCs w:val="24"/>
          <w:vertAlign w:val="superscript"/>
        </w:rPr>
        <w:t xml:space="preserve">® </w:t>
      </w:r>
      <w:r w:rsidRPr="00E278A1">
        <w:rPr>
          <w:rFonts w:ascii="Times New Roman" w:eastAsia="黑体" w:hAnsi="Times New Roman" w:cs="Times New Roman"/>
          <w:sz w:val="24"/>
          <w:szCs w:val="24"/>
        </w:rPr>
        <w:t>Expression Console Software (version 1.</w:t>
      </w:r>
      <w:r w:rsidRPr="00E278A1">
        <w:rPr>
          <w:rFonts w:ascii="Times New Roman" w:eastAsia="黑体" w:hAnsi="Times New Roman" w:cs="Times New Roman" w:hint="eastAsia"/>
          <w:sz w:val="24"/>
          <w:szCs w:val="24"/>
        </w:rPr>
        <w:t>2</w:t>
      </w:r>
      <w:r w:rsidRPr="00E278A1">
        <w:rPr>
          <w:rFonts w:ascii="Times New Roman" w:eastAsia="黑体" w:hAnsi="Times New Roman" w:cs="Times New Roman"/>
          <w:sz w:val="24"/>
          <w:szCs w:val="24"/>
        </w:rPr>
        <w:t>.</w:t>
      </w:r>
      <w:r w:rsidRPr="00E278A1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Pr="00E278A1">
        <w:rPr>
          <w:rFonts w:ascii="Times New Roman" w:eastAsia="黑体" w:hAnsi="Times New Roman" w:cs="Times New Roman"/>
          <w:sz w:val="24"/>
          <w:szCs w:val="24"/>
        </w:rPr>
        <w:t>)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. </w:t>
      </w:r>
      <w:r w:rsidRPr="00E278A1">
        <w:rPr>
          <w:rFonts w:ascii="Times New Roman" w:eastAsia="黑体" w:hAnsi="Times New Roman" w:cs="Times New Roman"/>
          <w:sz w:val="24"/>
          <w:szCs w:val="24"/>
        </w:rPr>
        <w:t>Raw data (CEL files) were normalized at transcript level using robust multi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-array </w:t>
      </w:r>
      <w:r w:rsidRPr="00E278A1">
        <w:rPr>
          <w:rFonts w:ascii="Times New Roman" w:eastAsia="黑体" w:hAnsi="Times New Roman" w:cs="Times New Roman"/>
          <w:sz w:val="24"/>
          <w:szCs w:val="24"/>
        </w:rPr>
        <w:t xml:space="preserve">average method (RMA workflow). Median summarization of transcript expressions was calculated. Gene-level data was then filtered to include only those probe sets that are in the ‘core’ </w:t>
      </w:r>
      <w:proofErr w:type="spellStart"/>
      <w:r w:rsidRPr="00E278A1">
        <w:rPr>
          <w:rFonts w:ascii="Times New Roman" w:eastAsia="黑体" w:hAnsi="Times New Roman" w:cs="Times New Roman"/>
          <w:sz w:val="24"/>
          <w:szCs w:val="24"/>
        </w:rPr>
        <w:t>metaprobe</w:t>
      </w:r>
      <w:proofErr w:type="spellEnd"/>
      <w:r w:rsidRPr="00E278A1">
        <w:rPr>
          <w:rFonts w:ascii="Times New Roman" w:eastAsia="黑体" w:hAnsi="Times New Roman" w:cs="Times New Roman"/>
          <w:sz w:val="24"/>
          <w:szCs w:val="24"/>
        </w:rPr>
        <w:t xml:space="preserve"> list, which represent </w:t>
      </w:r>
      <w:proofErr w:type="spellStart"/>
      <w:r w:rsidRPr="00E278A1">
        <w:rPr>
          <w:rFonts w:ascii="Times New Roman" w:eastAsia="黑体" w:hAnsi="Times New Roman" w:cs="Times New Roman"/>
          <w:sz w:val="24"/>
          <w:szCs w:val="24"/>
        </w:rPr>
        <w:t>RefSeq</w:t>
      </w:r>
      <w:proofErr w:type="spellEnd"/>
      <w:r w:rsidRPr="00E278A1">
        <w:rPr>
          <w:rFonts w:ascii="Times New Roman" w:eastAsia="黑体" w:hAnsi="Times New Roman" w:cs="Times New Roman"/>
          <w:sz w:val="24"/>
          <w:szCs w:val="24"/>
        </w:rPr>
        <w:t xml:space="preserve"> genes.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</w:p>
    <w:p w:rsidR="00501BDD" w:rsidRDefault="00501BDD" w:rsidP="00501BDD">
      <w:pPr>
        <w:spacing w:line="48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For m</w:t>
      </w:r>
      <w:r w:rsidRPr="004F29BA">
        <w:rPr>
          <w:rFonts w:ascii="Times New Roman" w:eastAsia="黑体" w:hAnsi="Times New Roman" w:cs="Times New Roman" w:hint="eastAsia"/>
          <w:sz w:val="24"/>
          <w:szCs w:val="24"/>
        </w:rPr>
        <w:t>icroarray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data analysis, </w:t>
      </w:r>
      <w:r w:rsidRPr="00A4145F">
        <w:rPr>
          <w:rFonts w:ascii="Times New Roman" w:eastAsia="宋体" w:hAnsi="Times New Roman" w:cs="Times New Roman"/>
          <w:kern w:val="0"/>
          <w:sz w:val="24"/>
          <w:szCs w:val="24"/>
        </w:rPr>
        <w:t>differential expression genes</w:t>
      </w:r>
      <w:r w:rsidRPr="00201E3F">
        <w:rPr>
          <w:rFonts w:ascii="Times New Roman" w:eastAsia="黑体" w:hAnsi="Times New Roman" w:cs="Times New Roman" w:hint="eastAsia"/>
          <w:sz w:val="24"/>
          <w:szCs w:val="24"/>
        </w:rPr>
        <w:t xml:space="preserve"> were identified based on </w:t>
      </w:r>
      <w:r w:rsidRPr="00201E3F">
        <w:rPr>
          <w:rFonts w:ascii="Times New Roman" w:eastAsia="黑体" w:hAnsi="Times New Roman" w:cs="Times New Roman"/>
          <w:sz w:val="24"/>
          <w:szCs w:val="24"/>
        </w:rPr>
        <w:t>random variance model</w:t>
      </w:r>
      <w:r w:rsidRPr="00201E3F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</w:rPr>
        <w:t>(</w:t>
      </w:r>
      <w:r w:rsidRPr="00201E3F">
        <w:rPr>
          <w:rFonts w:ascii="Times New Roman" w:eastAsia="黑体" w:hAnsi="Times New Roman" w:cs="Times New Roman" w:hint="eastAsia"/>
          <w:sz w:val="24"/>
          <w:szCs w:val="24"/>
        </w:rPr>
        <w:t>RVM</w:t>
      </w:r>
      <w:r>
        <w:rPr>
          <w:rFonts w:ascii="Times New Roman" w:eastAsia="黑体" w:hAnsi="Times New Roman" w:cs="Times New Roman" w:hint="eastAsia"/>
          <w:sz w:val="24"/>
          <w:szCs w:val="24"/>
        </w:rPr>
        <w:t>) t-</w:t>
      </w:r>
      <w:r w:rsidRPr="00201E3F">
        <w:rPr>
          <w:rFonts w:ascii="Times New Roman" w:eastAsia="黑体" w:hAnsi="Times New Roman" w:cs="Times New Roman" w:hint="eastAsia"/>
          <w:sz w:val="24"/>
          <w:szCs w:val="24"/>
        </w:rPr>
        <w:t>test.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And the </w:t>
      </w:r>
      <w:r w:rsidRPr="00A4145F">
        <w:rPr>
          <w:rFonts w:ascii="Times New Roman" w:eastAsia="宋体" w:hAnsi="Times New Roman" w:cs="Times New Roman"/>
          <w:kern w:val="0"/>
          <w:sz w:val="24"/>
          <w:szCs w:val="24"/>
        </w:rPr>
        <w:t>differential expression genes</w:t>
      </w:r>
      <w:r w:rsidRPr="00201E3F">
        <w:rPr>
          <w:rFonts w:ascii="Times New Roman" w:eastAsia="黑体" w:hAnsi="Times New Roman" w:cs="Times New Roman" w:hint="eastAsia"/>
          <w:sz w:val="24"/>
          <w:szCs w:val="24"/>
        </w:rPr>
        <w:t xml:space="preserve"> were considered to be up or down regulated with at least </w:t>
      </w:r>
      <w:r w:rsidRPr="00B7783D">
        <w:rPr>
          <w:rFonts w:ascii="Times New Roman" w:eastAsia="黑体" w:hAnsi="Times New Roman" w:cs="Times New Roman"/>
          <w:i/>
          <w:sz w:val="24"/>
          <w:szCs w:val="24"/>
        </w:rPr>
        <w:t>p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&lt; </w:t>
      </w:r>
      <w:r w:rsidRPr="00201E3F">
        <w:rPr>
          <w:rFonts w:ascii="Times New Roman" w:eastAsia="黑体" w:hAnsi="Times New Roman" w:cs="Times New Roman" w:hint="eastAsia"/>
          <w:sz w:val="24"/>
          <w:szCs w:val="24"/>
        </w:rPr>
        <w:t xml:space="preserve">0.05. </w:t>
      </w:r>
      <w:r w:rsidRPr="00201E3F">
        <w:rPr>
          <w:rFonts w:ascii="Times New Roman" w:eastAsia="黑体" w:hAnsi="Times New Roman" w:cs="Times New Roman"/>
          <w:sz w:val="24"/>
          <w:szCs w:val="24"/>
        </w:rPr>
        <w:t xml:space="preserve">Genes with similar expression patterns often </w:t>
      </w:r>
      <w:r>
        <w:rPr>
          <w:rFonts w:ascii="Times New Roman" w:eastAsia="黑体" w:hAnsi="Times New Roman" w:cs="Times New Roman" w:hint="eastAsia"/>
          <w:sz w:val="24"/>
          <w:szCs w:val="24"/>
        </w:rPr>
        <w:t>facilitate</w:t>
      </w:r>
      <w:r w:rsidRPr="00201E3F">
        <w:rPr>
          <w:rFonts w:ascii="Times New Roman" w:eastAsia="黑体" w:hAnsi="Times New Roman" w:cs="Times New Roman"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the </w:t>
      </w:r>
      <w:r w:rsidRPr="00201E3F">
        <w:rPr>
          <w:rFonts w:ascii="Times New Roman" w:eastAsia="黑体" w:hAnsi="Times New Roman" w:cs="Times New Roman"/>
          <w:sz w:val="24"/>
          <w:szCs w:val="24"/>
        </w:rPr>
        <w:t xml:space="preserve">overlapping functions. Accordingly, 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the </w:t>
      </w:r>
      <w:r w:rsidRPr="00201E3F">
        <w:rPr>
          <w:rFonts w:ascii="Times New Roman" w:eastAsia="黑体" w:hAnsi="Times New Roman" w:cs="Times New Roman"/>
          <w:sz w:val="24"/>
          <w:szCs w:val="24"/>
        </w:rPr>
        <w:t>cluster analysis of gene</w:t>
      </w:r>
      <w:r w:rsidRPr="00201E3F">
        <w:rPr>
          <w:rFonts w:ascii="Times New Roman" w:eastAsia="黑体" w:hAnsi="Times New Roman" w:cs="Times New Roman" w:hint="eastAsia"/>
          <w:sz w:val="24"/>
          <w:szCs w:val="24"/>
        </w:rPr>
        <w:t xml:space="preserve"> </w:t>
      </w:r>
      <w:r w:rsidRPr="00201E3F">
        <w:rPr>
          <w:rFonts w:ascii="Times New Roman" w:eastAsia="黑体" w:hAnsi="Times New Roman" w:cs="Times New Roman"/>
          <w:sz w:val="24"/>
          <w:szCs w:val="24"/>
        </w:rPr>
        <w:t xml:space="preserve">expression patterns </w:t>
      </w:r>
      <w:r>
        <w:rPr>
          <w:rFonts w:ascii="Times New Roman" w:eastAsia="黑体" w:hAnsi="Times New Roman" w:cs="Times New Roman" w:hint="eastAsia"/>
          <w:sz w:val="24"/>
          <w:szCs w:val="24"/>
        </w:rPr>
        <w:t>was analyzed</w:t>
      </w:r>
      <w:r w:rsidRPr="00201E3F">
        <w:rPr>
          <w:rFonts w:ascii="Times New Roman" w:eastAsia="黑体" w:hAnsi="Times New Roman" w:cs="Times New Roman"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by </w:t>
      </w:r>
      <w:r w:rsidRPr="00201E3F">
        <w:rPr>
          <w:rFonts w:ascii="Times New Roman" w:eastAsia="黑体" w:hAnsi="Times New Roman" w:cs="Times New Roman"/>
          <w:sz w:val="24"/>
          <w:szCs w:val="24"/>
        </w:rPr>
        <w:t xml:space="preserve">Cluster and Java </w:t>
      </w:r>
      <w:proofErr w:type="spellStart"/>
      <w:r w:rsidRPr="00201E3F">
        <w:rPr>
          <w:rFonts w:ascii="Times New Roman" w:eastAsia="黑体" w:hAnsi="Times New Roman" w:cs="Times New Roman"/>
          <w:sz w:val="24"/>
          <w:szCs w:val="24"/>
        </w:rPr>
        <w:t>Treeview</w:t>
      </w:r>
      <w:proofErr w:type="spellEnd"/>
      <w:r w:rsidRPr="00201E3F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0E2C75">
        <w:rPr>
          <w:rFonts w:ascii="Times New Roman" w:eastAsia="黑体" w:hAnsi="Times New Roman" w:cs="Times New Roman"/>
          <w:sz w:val="24"/>
          <w:szCs w:val="24"/>
        </w:rPr>
        <w:t xml:space="preserve">software. </w:t>
      </w:r>
      <w:r w:rsidRPr="000E2C75">
        <w:rPr>
          <w:rFonts w:ascii="Times New Roman" w:eastAsia="黑体" w:hAnsi="Times New Roman"/>
          <w:sz w:val="24"/>
          <w:szCs w:val="24"/>
        </w:rPr>
        <w:t>Pathway analysis was used to find out the significant pathway of the differential genes according to Kyoto Encyclopedia of Genes and</w:t>
      </w:r>
      <w:r>
        <w:rPr>
          <w:rFonts w:ascii="Times New Roman" w:eastAsia="黑体" w:hAnsi="Times New Roman"/>
          <w:sz w:val="24"/>
          <w:szCs w:val="24"/>
        </w:rPr>
        <w:t xml:space="preserve"> Genomes (KEGG) database</w:t>
      </w:r>
      <w:r>
        <w:rPr>
          <w:rFonts w:ascii="Times New Roman" w:eastAsia="黑体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eastAsia="AdvEPSTIM" w:hAnsi="Times New Roman" w:hint="eastAsia"/>
          <w:kern w:val="0"/>
          <w:sz w:val="24"/>
          <w:szCs w:val="24"/>
        </w:rPr>
        <w:t>Biocarta</w:t>
      </w:r>
      <w:proofErr w:type="spellEnd"/>
      <w:r>
        <w:rPr>
          <w:rFonts w:ascii="Times New Roman" w:eastAsia="AdvEPSTIM" w:hAnsi="Times New Roman" w:hint="eastAsia"/>
          <w:kern w:val="0"/>
          <w:sz w:val="24"/>
          <w:szCs w:val="24"/>
        </w:rPr>
        <w:t xml:space="preserve"> </w:t>
      </w:r>
      <w:r w:rsidRPr="00B45296">
        <w:rPr>
          <w:rFonts w:ascii="Times New Roman" w:eastAsia="AdvEPSTIM" w:hAnsi="Times New Roman" w:hint="eastAsia"/>
          <w:kern w:val="0"/>
          <w:sz w:val="24"/>
          <w:szCs w:val="24"/>
        </w:rPr>
        <w:t xml:space="preserve">and </w:t>
      </w:r>
      <w:proofErr w:type="spellStart"/>
      <w:r w:rsidRPr="00B45296">
        <w:rPr>
          <w:rFonts w:ascii="Times New Roman" w:eastAsia="AdvEPSTIM" w:hAnsi="Times New Roman" w:hint="eastAsia"/>
          <w:kern w:val="0"/>
          <w:sz w:val="24"/>
          <w:szCs w:val="24"/>
        </w:rPr>
        <w:t>Reatome</w:t>
      </w:r>
      <w:proofErr w:type="spellEnd"/>
      <w:r w:rsidRPr="00B45296">
        <w:rPr>
          <w:rFonts w:ascii="Times New Roman" w:eastAsia="AdvEPSTIM" w:hAnsi="Times New Roman" w:hint="eastAsia"/>
          <w:kern w:val="0"/>
          <w:sz w:val="24"/>
          <w:szCs w:val="24"/>
        </w:rPr>
        <w:t xml:space="preserve"> databases. </w:t>
      </w:r>
      <w:r w:rsidRPr="00B45296">
        <w:rPr>
          <w:rFonts w:ascii="Times New Roman" w:eastAsia="黑体" w:hAnsi="Times New Roman"/>
          <w:sz w:val="24"/>
          <w:szCs w:val="24"/>
        </w:rPr>
        <w:t xml:space="preserve">Fisher’s exact test was performed to select </w:t>
      </w:r>
      <w:r w:rsidRPr="00B45296">
        <w:rPr>
          <w:rFonts w:ascii="Times New Roman" w:eastAsia="黑体" w:hAnsi="Times New Roman"/>
          <w:sz w:val="24"/>
          <w:szCs w:val="24"/>
        </w:rPr>
        <w:lastRenderedPageBreak/>
        <w:t xml:space="preserve">the significant pathway, and the threshold of significance was considered as </w:t>
      </w:r>
      <w:r w:rsidRPr="00B45296">
        <w:rPr>
          <w:rFonts w:ascii="Times New Roman" w:eastAsia="黑体" w:hAnsi="Times New Roman"/>
          <w:i/>
          <w:sz w:val="24"/>
          <w:szCs w:val="24"/>
        </w:rPr>
        <w:t>p</w:t>
      </w:r>
      <w:r w:rsidRPr="00B45296">
        <w:rPr>
          <w:rFonts w:ascii="Times New Roman" w:eastAsia="黑体" w:hAnsi="Times New Roman"/>
          <w:sz w:val="24"/>
          <w:szCs w:val="24"/>
        </w:rPr>
        <w:t xml:space="preserve"> &lt; 0.05.</w:t>
      </w:r>
    </w:p>
    <w:p w:rsidR="00501BDD" w:rsidRDefault="00501BDD" w:rsidP="00501BDD">
      <w:pPr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Results from </w:t>
      </w:r>
      <w:r w:rsidRPr="0029146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Microarray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and </w:t>
      </w:r>
      <w:r w:rsidRPr="0029146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B</w:t>
      </w:r>
      <w:r w:rsidRPr="0029146F">
        <w:rPr>
          <w:rFonts w:ascii="Times New Roman" w:eastAsia="宋体" w:hAnsi="Times New Roman" w:cs="Times New Roman"/>
          <w:b/>
          <w:kern w:val="0"/>
          <w:sz w:val="24"/>
          <w:szCs w:val="24"/>
        </w:rPr>
        <w:t>ioinformatic</w:t>
      </w:r>
      <w:r w:rsidRPr="0029146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</w:t>
      </w:r>
      <w:r w:rsidRPr="0029146F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</w:t>
      </w:r>
      <w:r w:rsidRPr="0029146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a</w:t>
      </w:r>
      <w:r w:rsidRPr="0029146F">
        <w:rPr>
          <w:rFonts w:ascii="Times New Roman" w:eastAsia="宋体" w:hAnsi="Times New Roman" w:cs="Times New Roman"/>
          <w:b/>
          <w:kern w:val="0"/>
          <w:sz w:val="24"/>
          <w:szCs w:val="24"/>
        </w:rPr>
        <w:t>nalysis</w:t>
      </w:r>
    </w:p>
    <w:p w:rsidR="00501BDD" w:rsidRDefault="00501BDD" w:rsidP="00501BDD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50B5B">
        <w:rPr>
          <w:rFonts w:ascii="Times New Roman" w:hAnsi="Times New Roman" w:cs="Times New Roman"/>
          <w:kern w:val="0"/>
          <w:sz w:val="24"/>
          <w:szCs w:val="24"/>
        </w:rPr>
        <w:t xml:space="preserve">Microarray data analysis demonstrated that </w:t>
      </w:r>
      <w:proofErr w:type="spellStart"/>
      <w:r w:rsidRPr="00250B5B">
        <w:rPr>
          <w:rFonts w:ascii="Times New Roman" w:hAnsi="Times New Roman" w:cs="Times New Roman" w:hint="eastAsia"/>
          <w:kern w:val="0"/>
          <w:sz w:val="24"/>
          <w:szCs w:val="24"/>
        </w:rPr>
        <w:t>SiNPs</w:t>
      </w:r>
      <w:proofErr w:type="spellEnd"/>
      <w:r w:rsidRPr="00250B5B">
        <w:rPr>
          <w:rFonts w:ascii="Times New Roman" w:hAnsi="Times New Roman" w:cs="Times New Roman" w:hint="eastAsia"/>
          <w:kern w:val="0"/>
          <w:sz w:val="24"/>
          <w:szCs w:val="24"/>
        </w:rPr>
        <w:t>-induced toxicity</w:t>
      </w:r>
      <w:r w:rsidRPr="00250B5B"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r w:rsidRPr="00250B5B">
        <w:rPr>
          <w:rFonts w:ascii="Times New Roman" w:hAnsi="Times New Roman" w:cs="Times New Roman" w:hint="eastAsia"/>
          <w:kern w:val="0"/>
          <w:sz w:val="24"/>
          <w:szCs w:val="24"/>
        </w:rPr>
        <w:t>zebrafish embryos</w:t>
      </w:r>
      <w:r w:rsidRPr="00250B5B">
        <w:rPr>
          <w:rFonts w:ascii="Times New Roman" w:hAnsi="Times New Roman" w:cs="Times New Roman"/>
          <w:kern w:val="0"/>
          <w:sz w:val="24"/>
          <w:szCs w:val="24"/>
        </w:rPr>
        <w:t xml:space="preserve"> affected expression of 2</w:t>
      </w:r>
      <w:r w:rsidRPr="00250B5B">
        <w:rPr>
          <w:rFonts w:ascii="Times New Roman" w:hAnsi="Times New Roman" w:cs="Times New Roman" w:hint="eastAsia"/>
          <w:kern w:val="0"/>
          <w:sz w:val="24"/>
          <w:szCs w:val="24"/>
        </w:rPr>
        <w:t>515</w:t>
      </w:r>
      <w:r w:rsidRPr="00250B5B">
        <w:rPr>
          <w:rFonts w:ascii="Times New Roman" w:hAnsi="Times New Roman" w:cs="Times New Roman"/>
          <w:kern w:val="0"/>
          <w:sz w:val="24"/>
          <w:szCs w:val="24"/>
        </w:rPr>
        <w:t xml:space="preserve"> genes, </w:t>
      </w:r>
      <w:r w:rsidRPr="00250B5B">
        <w:rPr>
          <w:rFonts w:ascii="Times New Roman" w:hAnsi="Times New Roman" w:cs="Times New Roman" w:hint="eastAsia"/>
          <w:kern w:val="0"/>
          <w:sz w:val="24"/>
          <w:szCs w:val="24"/>
        </w:rPr>
        <w:t>including 1107</w:t>
      </w:r>
      <w:r w:rsidRPr="00250B5B">
        <w:rPr>
          <w:rFonts w:ascii="Times New Roman" w:hAnsi="Times New Roman" w:cs="Times New Roman"/>
          <w:kern w:val="0"/>
          <w:sz w:val="24"/>
          <w:szCs w:val="24"/>
        </w:rPr>
        <w:t xml:space="preserve"> genes were up-regulated and </w:t>
      </w:r>
      <w:r w:rsidRPr="00250B5B">
        <w:rPr>
          <w:rFonts w:ascii="Times New Roman" w:hAnsi="Times New Roman" w:cs="Times New Roman" w:hint="eastAsia"/>
          <w:kern w:val="0"/>
          <w:sz w:val="24"/>
          <w:szCs w:val="24"/>
        </w:rPr>
        <w:t>1408</w:t>
      </w:r>
      <w:r w:rsidRPr="00250B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50B5B">
        <w:rPr>
          <w:rFonts w:ascii="Times New Roman" w:hAnsi="Times New Roman" w:cs="Times New Roman" w:hint="eastAsia"/>
          <w:kern w:val="0"/>
          <w:sz w:val="24"/>
          <w:szCs w:val="24"/>
        </w:rPr>
        <w:t xml:space="preserve">genes were </w:t>
      </w:r>
      <w:r w:rsidR="00856F37">
        <w:rPr>
          <w:rFonts w:ascii="Times New Roman" w:hAnsi="Times New Roman" w:cs="Times New Roman"/>
          <w:kern w:val="0"/>
          <w:sz w:val="24"/>
          <w:szCs w:val="24"/>
        </w:rPr>
        <w:t>down-regulated</w:t>
      </w:r>
      <w:r w:rsidRPr="00F23770">
        <w:rPr>
          <w:rFonts w:ascii="Times New Roman" w:hAnsi="Times New Roman" w:cs="Times New Roman"/>
          <w:bCs/>
          <w:kern w:val="0"/>
          <w:sz w:val="24"/>
        </w:rPr>
        <w:t xml:space="preserve">. 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The</w:t>
      </w:r>
      <w:r w:rsidR="00FA71DD" w:rsidRPr="00A25CA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s</w:t>
      </w:r>
      <w:r w:rsidR="00FA71DD" w:rsidRPr="00A25CA4">
        <w:rPr>
          <w:rFonts w:ascii="Times New Roman" w:hAnsi="Times New Roman" w:cs="Times New Roman"/>
          <w:color w:val="221E1F"/>
          <w:sz w:val="24"/>
          <w:szCs w:val="24"/>
        </w:rPr>
        <w:t>ignificant pathway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s were analyzed according to the functions and interactions of </w:t>
      </w:r>
      <w:r w:rsidR="00FA71DD" w:rsidRPr="00693A1D">
        <w:rPr>
          <w:rFonts w:ascii="Times New Roman" w:hAnsi="Times New Roman" w:cs="Times New Roman" w:hint="eastAsia"/>
          <w:color w:val="221E1F"/>
          <w:sz w:val="24"/>
          <w:szCs w:val="24"/>
        </w:rPr>
        <w:t>d</w:t>
      </w:r>
      <w:r w:rsidR="00FA71DD" w:rsidRPr="00693A1D">
        <w:rPr>
          <w:rFonts w:ascii="Times New Roman" w:hAnsi="Times New Roman" w:cs="Times New Roman"/>
          <w:color w:val="221E1F"/>
          <w:sz w:val="24"/>
          <w:szCs w:val="24"/>
        </w:rPr>
        <w:t>ifferential gene</w:t>
      </w:r>
      <w:r w:rsidR="00FA71DD" w:rsidRPr="00693A1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s 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b</w:t>
      </w:r>
      <w:r w:rsidR="00FA71DD" w:rsidRPr="00A25CA4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ased on </w:t>
      </w:r>
      <w:r w:rsidR="00FA71DD" w:rsidRPr="00A25CA4">
        <w:rPr>
          <w:rFonts w:ascii="Times New Roman" w:hAnsi="Times New Roman" w:cs="Times New Roman"/>
          <w:color w:val="221E1F"/>
          <w:sz w:val="24"/>
          <w:szCs w:val="24"/>
        </w:rPr>
        <w:t>KEGG database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: </w:t>
      </w:r>
      <w:bookmarkStart w:id="8" w:name="OLE_LINK168"/>
      <w:bookmarkStart w:id="9" w:name="OLE_LINK169"/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the</w:t>
      </w:r>
      <w:r w:rsidR="00FA71DD" w:rsidRPr="00A25CA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up-regulation</w:t>
      </w:r>
      <w:r w:rsidR="00FA71DD" w:rsidRPr="00A25CA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s</w:t>
      </w:r>
      <w:r w:rsidR="00FA71DD" w:rsidRPr="00A25CA4">
        <w:rPr>
          <w:rFonts w:ascii="Times New Roman" w:hAnsi="Times New Roman" w:cs="Times New Roman"/>
          <w:color w:val="221E1F"/>
          <w:sz w:val="24"/>
          <w:szCs w:val="24"/>
        </w:rPr>
        <w:t>ignificant pathway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s</w:t>
      </w:r>
      <w:r w:rsidR="00FA71DD" w:rsidRPr="00A25CA4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 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are</w:t>
      </w:r>
      <w:r w:rsidR="00FA71DD" w:rsidRPr="00A25CA4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 </w:t>
      </w:r>
      <w:bookmarkStart w:id="10" w:name="OLE_LINK26"/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Ribosome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Herpes simplex infection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proofErr w:type="spellStart"/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Adipocytokine</w:t>
      </w:r>
      <w:proofErr w:type="spellEnd"/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 xml:space="preserve"> signaling pathway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Salmonella infection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Toll-like receptor signaling pathway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Apoptosis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Arachidonic acid metabolism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J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AK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-STAT signaling pathway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Cytokine-cytokine receptor interaction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and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MAPK signaling pathway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.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While the</w:t>
      </w:r>
      <w:r w:rsidR="00FA71DD" w:rsidRPr="00A25CA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down-regulation</w:t>
      </w:r>
      <w:r w:rsidR="00FA71DD" w:rsidRPr="00A25CA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s</w:t>
      </w:r>
      <w:r w:rsidR="00FA71DD" w:rsidRPr="00A25CA4">
        <w:rPr>
          <w:rFonts w:ascii="Times New Roman" w:hAnsi="Times New Roman" w:cs="Times New Roman"/>
          <w:color w:val="221E1F"/>
          <w:sz w:val="24"/>
          <w:szCs w:val="24"/>
        </w:rPr>
        <w:t>ignificant pathway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s</w:t>
      </w:r>
      <w:r w:rsidR="00FA71DD" w:rsidRPr="00A25CA4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="00FA71DD">
        <w:rPr>
          <w:rFonts w:ascii="Times New Roman" w:eastAsia="ArialMT" w:hAnsi="Times New Roman" w:cs="Times New Roman" w:hint="eastAsia"/>
          <w:kern w:val="0"/>
          <w:sz w:val="24"/>
          <w:szCs w:val="24"/>
        </w:rPr>
        <w:t xml:space="preserve">induced by </w:t>
      </w:r>
      <w:proofErr w:type="spellStart"/>
      <w:r w:rsidR="00FA71DD">
        <w:rPr>
          <w:rFonts w:ascii="Times New Roman" w:eastAsia="ArialMT" w:hAnsi="Times New Roman" w:cs="Times New Roman" w:hint="eastAsia"/>
          <w:kern w:val="0"/>
          <w:sz w:val="24"/>
          <w:szCs w:val="24"/>
        </w:rPr>
        <w:t>SiNPs</w:t>
      </w:r>
      <w:proofErr w:type="spellEnd"/>
      <w:r w:rsidR="00FA71DD">
        <w:rPr>
          <w:rFonts w:ascii="Times New Roman" w:eastAsia="ArialMT" w:hAnsi="Times New Roman" w:cs="Times New Roman" w:hint="eastAsia"/>
          <w:kern w:val="0"/>
          <w:sz w:val="24"/>
          <w:szCs w:val="24"/>
        </w:rPr>
        <w:t xml:space="preserve"> are involved in </w:t>
      </w:r>
      <w:r w:rsidR="00FA71DD" w:rsidRPr="002679CC">
        <w:rPr>
          <w:rFonts w:ascii="Times New Roman" w:eastAsia="ArialMT" w:hAnsi="Times New Roman" w:cs="Times New Roman"/>
          <w:kern w:val="0"/>
          <w:sz w:val="24"/>
          <w:szCs w:val="24"/>
        </w:rPr>
        <w:t>Calcium signaling pathway</w:t>
      </w:r>
      <w:r w:rsidR="00FA71DD">
        <w:rPr>
          <w:rFonts w:ascii="Times New Roman" w:eastAsia="ArialMT" w:hAnsi="Times New Roman" w:cs="Times New Roman" w:hint="eastAsia"/>
          <w:kern w:val="0"/>
          <w:sz w:val="24"/>
          <w:szCs w:val="24"/>
        </w:rPr>
        <w:t xml:space="preserve">, </w:t>
      </w:r>
      <w:bookmarkEnd w:id="10"/>
      <w:proofErr w:type="spellStart"/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Phototransduction</w:t>
      </w:r>
      <w:proofErr w:type="spellEnd"/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Neuroactive ligand-receptor interaction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Purine metabolism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Cardiac muscle contraction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Gap junction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Glycine, serine and threonine metabolism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Vascular smooth muscle contraction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Tryptophan metabolism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 xml:space="preserve">, and </w:t>
      </w:r>
      <w:r w:rsidR="00FA71DD" w:rsidRPr="002679CC">
        <w:rPr>
          <w:rFonts w:ascii="Times New Roman" w:hAnsi="Times New Roman" w:cs="Times New Roman"/>
          <w:color w:val="221E1F"/>
          <w:sz w:val="24"/>
          <w:szCs w:val="24"/>
        </w:rPr>
        <w:t>Metabolic pathways</w:t>
      </w:r>
      <w:r w:rsidR="00FA71DD">
        <w:rPr>
          <w:rFonts w:ascii="Times New Roman" w:hAnsi="Times New Roman" w:cs="Times New Roman" w:hint="eastAsia"/>
          <w:color w:val="221E1F"/>
          <w:sz w:val="24"/>
          <w:szCs w:val="24"/>
        </w:rPr>
        <w:t>.</w:t>
      </w:r>
      <w:bookmarkEnd w:id="8"/>
      <w:bookmarkEnd w:id="9"/>
    </w:p>
    <w:p w:rsidR="00501BDD" w:rsidRPr="00501BDD" w:rsidRDefault="00501BDD" w:rsidP="00501BDD">
      <w:pPr>
        <w:spacing w:line="48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:rsidR="007C2A8B" w:rsidRDefault="007C2A8B" w:rsidP="00015A20">
      <w:pPr>
        <w:ind w:firstLineChars="100" w:firstLine="210"/>
      </w:pPr>
      <w:r>
        <w:rPr>
          <w:noProof/>
        </w:rPr>
        <w:drawing>
          <wp:inline distT="0" distB="0" distL="0" distR="0">
            <wp:extent cx="5003800" cy="1731164"/>
            <wp:effectExtent l="0" t="0" r="0" b="0"/>
            <wp:docPr id="2" name="图片 2" descr="D:\投稿-DJC-2015\17-斑马鱼+纳米二氧化硅血栓形成投稿\Figure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投稿-DJC-2015\17-斑马鱼+纳米二氧化硅血栓形成投稿\Figure\Figure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802" cy="173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85" w:rsidRPr="007C2A8B" w:rsidRDefault="007C2A8B">
      <w:pPr>
        <w:rPr>
          <w:rFonts w:ascii="Times New Roman" w:hAnsi="Times New Roman" w:cs="Times New Roman"/>
          <w:sz w:val="24"/>
          <w:szCs w:val="24"/>
        </w:rPr>
      </w:pPr>
      <w:r w:rsidRPr="007C2A8B">
        <w:rPr>
          <w:rFonts w:ascii="Times New Roman" w:hAnsi="Times New Roman" w:cs="Times New Roman"/>
          <w:sz w:val="24"/>
          <w:szCs w:val="24"/>
        </w:rPr>
        <w:t xml:space="preserve">Figure S1. </w:t>
      </w:r>
      <w:r w:rsidRPr="007C2A8B">
        <w:rPr>
          <w:rFonts w:ascii="Times New Roman" w:eastAsia="NewCenturySchlbk-Roman" w:hAnsi="Times New Roman" w:cs="Times New Roman"/>
          <w:color w:val="231F20"/>
          <w:kern w:val="0"/>
          <w:sz w:val="24"/>
          <w:szCs w:val="24"/>
        </w:rPr>
        <w:t xml:space="preserve">The knockdown effect of </w:t>
      </w:r>
      <w:r w:rsidRPr="007C2A8B">
        <w:rPr>
          <w:rFonts w:ascii="Times New Roman" w:eastAsia="NewCenturySchlbk-Roman" w:hAnsi="Times New Roman" w:cs="Times New Roman"/>
          <w:i/>
          <w:color w:val="231F20"/>
          <w:kern w:val="0"/>
          <w:sz w:val="24"/>
          <w:szCs w:val="24"/>
        </w:rPr>
        <w:t>i6st</w:t>
      </w:r>
      <w:r w:rsidRPr="007C2A8B">
        <w:rPr>
          <w:rFonts w:ascii="Times New Roman" w:eastAsia="NewCenturySchlbk-Roman" w:hAnsi="Times New Roman" w:cs="Times New Roman"/>
          <w:color w:val="231F20"/>
          <w:kern w:val="0"/>
          <w:sz w:val="24"/>
          <w:szCs w:val="24"/>
        </w:rPr>
        <w:t>-MO was verified by RT-PCR.</w:t>
      </w:r>
      <w:r>
        <w:rPr>
          <w:rFonts w:ascii="Times New Roman" w:eastAsia="NewCenturySchlbk-Roman" w:hAnsi="Times New Roman" w:cs="Times New Roman" w:hint="eastAsia"/>
          <w:color w:val="231F20"/>
          <w:kern w:val="0"/>
          <w:sz w:val="24"/>
          <w:szCs w:val="24"/>
        </w:rPr>
        <w:t xml:space="preserve"> A, 2.625 ng MO; B, 5.25 ng MO; C, 10.5 ng MO.</w:t>
      </w:r>
    </w:p>
    <w:p w:rsidR="00015A20" w:rsidRDefault="00015A20" w:rsidP="00015A20">
      <w:pPr>
        <w:rPr>
          <w:rFonts w:ascii="Times New Roman" w:eastAsia="NewCenturySchlbk-Roman" w:hAnsi="Times New Roman" w:cs="Times New Roman"/>
          <w:color w:val="231F20"/>
          <w:kern w:val="0"/>
          <w:sz w:val="24"/>
          <w:szCs w:val="24"/>
        </w:rPr>
      </w:pPr>
    </w:p>
    <w:p w:rsidR="001F37C8" w:rsidRPr="008954BE" w:rsidRDefault="001F37C8" w:rsidP="00015A20">
      <w:pPr>
        <w:rPr>
          <w:rFonts w:ascii="Times New Roman" w:eastAsia="NewCenturySchlbk-Roman" w:hAnsi="Times New Roman" w:cs="Times New Roman"/>
          <w:color w:val="231F20"/>
          <w:kern w:val="0"/>
          <w:sz w:val="24"/>
          <w:szCs w:val="24"/>
        </w:rPr>
      </w:pPr>
    </w:p>
    <w:p w:rsidR="00015A20" w:rsidRDefault="00015A20" w:rsidP="00015A20">
      <w:r w:rsidRPr="00713B12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713B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Gene sequence</w:t>
      </w:r>
      <w:r w:rsidRPr="00713B1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morpholino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oligo (MO)</w:t>
      </w:r>
      <w:r w:rsidRPr="00713B12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015A20" w:rsidRPr="008954BE" w:rsidRDefault="008954BE" w:rsidP="00015A20">
      <w:r>
        <w:object w:dxaOrig="5607" w:dyaOrig="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35pt;height:41.35pt" o:ole="">
            <v:imagedata r:id="rId8" o:title=""/>
          </v:shape>
          <o:OLEObject Type="Embed" ProgID="Excel.Sheet.12" ShapeID="_x0000_i1025" DrawAspect="Content" ObjectID="_1576857470" r:id="rId9"/>
        </w:object>
      </w:r>
    </w:p>
    <w:p w:rsidR="00015A20" w:rsidRDefault="00015A20" w:rsidP="00015A20"/>
    <w:p w:rsidR="001F37C8" w:rsidRDefault="001F37C8" w:rsidP="00015A20"/>
    <w:p w:rsidR="001F37C8" w:rsidRDefault="001F37C8" w:rsidP="00015A20"/>
    <w:p w:rsidR="00E45333" w:rsidRPr="009B1778" w:rsidRDefault="00E45333" w:rsidP="00E45333">
      <w:pPr>
        <w:rPr>
          <w:rFonts w:ascii="Times New Roman" w:hAnsi="Times New Roman" w:cs="Times New Roman"/>
          <w:sz w:val="24"/>
          <w:szCs w:val="24"/>
        </w:rPr>
      </w:pPr>
      <w:r w:rsidRPr="00713B12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713B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Gene probes</w:t>
      </w:r>
      <w:r w:rsidRPr="00713B12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 w:hint="eastAsia"/>
          <w:sz w:val="24"/>
          <w:szCs w:val="24"/>
        </w:rPr>
        <w:t>w</w:t>
      </w:r>
      <w:r w:rsidRPr="009B1778">
        <w:rPr>
          <w:rFonts w:ascii="Times New Roman" w:hAnsi="Times New Roman" w:cs="Times New Roman"/>
          <w:sz w:val="24"/>
          <w:szCs w:val="24"/>
        </w:rPr>
        <w:t>hole-mount in situ hybridization</w:t>
      </w:r>
      <w:r w:rsidRPr="00713B12">
        <w:rPr>
          <w:rFonts w:ascii="Times New Roman" w:hAnsi="Times New Roman" w:cs="Times New Roman" w:hint="eastAsia"/>
          <w:sz w:val="24"/>
          <w:szCs w:val="24"/>
        </w:rPr>
        <w:t>.</w:t>
      </w:r>
    </w:p>
    <w:p w:rsidR="00E45333" w:rsidRDefault="00E45333" w:rsidP="00E45333">
      <w:r>
        <w:object w:dxaOrig="7966" w:dyaOrig="906">
          <v:shape id="_x0000_i1026" type="#_x0000_t75" style="width:415pt;height:47.65pt" o:ole="">
            <v:imagedata r:id="rId10" o:title=""/>
          </v:shape>
          <o:OLEObject Type="Embed" ProgID="Excel.Sheet.12" ShapeID="_x0000_i1026" DrawAspect="Content" ObjectID="_1576857471" r:id="rId11"/>
        </w:object>
      </w:r>
    </w:p>
    <w:p w:rsidR="00E45333" w:rsidRDefault="00E45333" w:rsidP="00015A20"/>
    <w:p w:rsidR="00015A20" w:rsidRPr="00713B12" w:rsidRDefault="00015A20" w:rsidP="00015A20">
      <w:pPr>
        <w:rPr>
          <w:sz w:val="24"/>
          <w:szCs w:val="24"/>
        </w:rPr>
      </w:pPr>
      <w:r w:rsidRPr="00713B12">
        <w:rPr>
          <w:rFonts w:ascii="Times New Roman" w:hAnsi="Times New Roman" w:cs="Times New Roman"/>
          <w:sz w:val="24"/>
          <w:szCs w:val="24"/>
        </w:rPr>
        <w:t>Table S</w:t>
      </w:r>
      <w:r w:rsidR="00E45333">
        <w:rPr>
          <w:rFonts w:ascii="Times New Roman" w:hAnsi="Times New Roman" w:cs="Times New Roman" w:hint="eastAsia"/>
          <w:sz w:val="24"/>
          <w:szCs w:val="24"/>
        </w:rPr>
        <w:t>3</w:t>
      </w:r>
      <w:r w:rsidRPr="00713B12">
        <w:rPr>
          <w:rFonts w:ascii="Times New Roman" w:hAnsi="Times New Roman" w:cs="Times New Roman"/>
          <w:sz w:val="24"/>
          <w:szCs w:val="24"/>
        </w:rPr>
        <w:t xml:space="preserve">. Primers used for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qRT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713B12">
        <w:rPr>
          <w:rFonts w:ascii="Times New Roman" w:hAnsi="Times New Roman" w:cs="Times New Roman"/>
          <w:sz w:val="24"/>
          <w:szCs w:val="24"/>
        </w:rPr>
        <w:t>PCR</w:t>
      </w:r>
      <w:r w:rsidRPr="00713B12">
        <w:rPr>
          <w:rFonts w:ascii="Times New Roman" w:hAnsi="Times New Roman" w:cs="Times New Roman" w:hint="eastAsia"/>
          <w:sz w:val="24"/>
          <w:szCs w:val="24"/>
        </w:rPr>
        <w:t>.</w:t>
      </w:r>
    </w:p>
    <w:p w:rsidR="00015A20" w:rsidRDefault="00DC7718" w:rsidP="00015A20">
      <w:pPr>
        <w:rPr>
          <w:sz w:val="24"/>
          <w:szCs w:val="24"/>
        </w:rPr>
      </w:pPr>
      <w:r w:rsidRPr="008233F3">
        <w:rPr>
          <w:sz w:val="24"/>
          <w:szCs w:val="24"/>
        </w:rPr>
        <w:object w:dxaOrig="7360" w:dyaOrig="2462">
          <v:shape id="_x0000_i1027" type="#_x0000_t75" style="width:415pt;height:149.35pt" o:ole="">
            <v:imagedata r:id="rId12" o:title=""/>
          </v:shape>
          <o:OLEObject Type="Embed" ProgID="Excel.Sheet.12" ShapeID="_x0000_i1027" DrawAspect="Content" ObjectID="_1576857472" r:id="rId13"/>
        </w:object>
      </w:r>
    </w:p>
    <w:p w:rsidR="00015A20" w:rsidRDefault="00015A20" w:rsidP="00015A20">
      <w:pPr>
        <w:rPr>
          <w:sz w:val="24"/>
          <w:szCs w:val="24"/>
        </w:rPr>
      </w:pPr>
    </w:p>
    <w:p w:rsidR="008954BE" w:rsidRDefault="008954BE" w:rsidP="00DC7718">
      <w:pPr>
        <w:rPr>
          <w:rFonts w:ascii="Times New Roman" w:hAnsi="Times New Roman" w:cs="Times New Roman"/>
          <w:sz w:val="24"/>
          <w:szCs w:val="24"/>
        </w:rPr>
      </w:pPr>
    </w:p>
    <w:p w:rsidR="00DC7718" w:rsidRPr="0076594A" w:rsidRDefault="00DC7718" w:rsidP="00DC7718">
      <w:pPr>
        <w:rPr>
          <w:rFonts w:ascii="Times New Roman" w:hAnsi="Times New Roman" w:cs="Times New Roman"/>
          <w:sz w:val="24"/>
          <w:szCs w:val="24"/>
        </w:rPr>
      </w:pPr>
      <w:r w:rsidRPr="0076594A">
        <w:rPr>
          <w:rFonts w:ascii="Times New Roman" w:hAnsi="Times New Roman" w:cs="Times New Roman"/>
          <w:sz w:val="24"/>
          <w:szCs w:val="24"/>
        </w:rPr>
        <w:t>Table S4. Endotoxin detection by LAL assay</w:t>
      </w:r>
    </w:p>
    <w:p w:rsidR="00015A20" w:rsidRDefault="00DC7718" w:rsidP="00DC7718">
      <w:r>
        <w:object w:dxaOrig="7403" w:dyaOrig="1820">
          <v:shape id="_x0000_i1028" type="#_x0000_t75" style="width:413.35pt;height:101.35pt" o:ole="">
            <v:imagedata r:id="rId14" o:title=""/>
          </v:shape>
          <o:OLEObject Type="Embed" ProgID="Excel.Sheet.12" ShapeID="_x0000_i1028" DrawAspect="Content" ObjectID="_1576857473" r:id="rId15"/>
        </w:object>
      </w:r>
    </w:p>
    <w:sectPr w:rsidR="00015A20" w:rsidSect="00662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CA" w:rsidRDefault="00FD7ECA" w:rsidP="007C2A8B">
      <w:r>
        <w:separator/>
      </w:r>
    </w:p>
  </w:endnote>
  <w:endnote w:type="continuationSeparator" w:id="0">
    <w:p w:rsidR="00FD7ECA" w:rsidRDefault="00FD7ECA" w:rsidP="007C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liverRM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EPSTIM">
    <w:altName w:val="黑体"/>
    <w:charset w:val="86"/>
    <w:family w:val="auto"/>
    <w:pitch w:val="default"/>
    <w:sig w:usb0="00000001" w:usb1="080E0000" w:usb2="00000010" w:usb3="00000000" w:csb0="00040000" w:csb1="00000000"/>
  </w:font>
  <w:font w:name="Arial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NewCenturySchlbk-Roman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CA" w:rsidRDefault="00FD7ECA" w:rsidP="007C2A8B">
      <w:r>
        <w:separator/>
      </w:r>
    </w:p>
  </w:footnote>
  <w:footnote w:type="continuationSeparator" w:id="0">
    <w:p w:rsidR="00FD7ECA" w:rsidRDefault="00FD7ECA" w:rsidP="007C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A8B"/>
    <w:rsid w:val="00015A20"/>
    <w:rsid w:val="000E50DD"/>
    <w:rsid w:val="00103BEB"/>
    <w:rsid w:val="001F37C8"/>
    <w:rsid w:val="00501BDD"/>
    <w:rsid w:val="00520E86"/>
    <w:rsid w:val="0062527C"/>
    <w:rsid w:val="00662B85"/>
    <w:rsid w:val="007570AD"/>
    <w:rsid w:val="007C2A8B"/>
    <w:rsid w:val="00856F37"/>
    <w:rsid w:val="00873F81"/>
    <w:rsid w:val="008954BE"/>
    <w:rsid w:val="008B124B"/>
    <w:rsid w:val="008F4A8F"/>
    <w:rsid w:val="009437CF"/>
    <w:rsid w:val="00B45F42"/>
    <w:rsid w:val="00C66394"/>
    <w:rsid w:val="00DB7FA2"/>
    <w:rsid w:val="00DC7718"/>
    <w:rsid w:val="00E45333"/>
    <w:rsid w:val="00EB17A4"/>
    <w:rsid w:val="00EC4589"/>
    <w:rsid w:val="00FA71DD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A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2A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2A8B"/>
    <w:rPr>
      <w:sz w:val="18"/>
      <w:szCs w:val="18"/>
    </w:rPr>
  </w:style>
  <w:style w:type="paragraph" w:styleId="a6">
    <w:name w:val="List Paragraph"/>
    <w:basedOn w:val="a"/>
    <w:uiPriority w:val="34"/>
    <w:qFormat/>
    <w:rsid w:val="00501BDD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2.xlsx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4.xlsx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2745</Characters>
  <Application>Microsoft Office Word</Application>
  <DocSecurity>0</DocSecurity>
  <Lines>22</Lines>
  <Paragraphs>6</Paragraphs>
  <ScaleCrop>false</ScaleCrop>
  <Company>中国长城资产管理公司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2018-01-07T11:11:00Z</cp:lastPrinted>
  <dcterms:created xsi:type="dcterms:W3CDTF">2017-10-14T12:07:00Z</dcterms:created>
  <dcterms:modified xsi:type="dcterms:W3CDTF">2018-01-07T11:11:00Z</dcterms:modified>
</cp:coreProperties>
</file>