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3F" w:rsidRDefault="0078133F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133F">
        <w:rPr>
          <w:rFonts w:ascii="Times New Roman" w:hAnsi="Times New Roman" w:cs="Times New Roman"/>
          <w:kern w:val="0"/>
          <w:sz w:val="24"/>
          <w:szCs w:val="24"/>
        </w:rPr>
        <w:t>Supplementary Materials</w:t>
      </w: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420D6">
        <w:rPr>
          <w:rFonts w:ascii="Times New Roman" w:hAnsi="Times New Roman" w:cs="Times New Roman" w:hint="eastAsia"/>
          <w:kern w:val="0"/>
          <w:sz w:val="24"/>
          <w:szCs w:val="24"/>
          <w:highlight w:val="yellow"/>
        </w:rPr>
        <w:t xml:space="preserve">Fig. </w:t>
      </w:r>
      <w:proofErr w:type="gramStart"/>
      <w:r w:rsidRPr="00D420D6">
        <w:rPr>
          <w:rFonts w:ascii="Times New Roman" w:hAnsi="Times New Roman" w:cs="Times New Roman" w:hint="eastAsia"/>
          <w:kern w:val="0"/>
          <w:sz w:val="24"/>
          <w:szCs w:val="24"/>
          <w:highlight w:val="yellow"/>
        </w:rPr>
        <w:t xml:space="preserve">S1 </w:t>
      </w:r>
      <w:r w:rsidRPr="00D420D6">
        <w:rPr>
          <w:rFonts w:ascii="Times New Roman" w:hAnsi="Times New Roman" w:cs="Times New Roman"/>
          <w:kern w:val="0"/>
          <w:sz w:val="24"/>
          <w:szCs w:val="24"/>
          <w:highlight w:val="yellow"/>
        </w:rPr>
        <w:t>Ecological risk of antibiotics in summer (A) and winter (B)</w:t>
      </w:r>
      <w:r w:rsidRPr="00D420D6">
        <w:rPr>
          <w:rFonts w:ascii="Times New Roman" w:hAnsi="Times New Roman" w:cs="Times New Roman" w:hint="eastAsia"/>
          <w:kern w:val="0"/>
          <w:sz w:val="24"/>
          <w:szCs w:val="24"/>
          <w:highlight w:val="yellow"/>
        </w:rPr>
        <w:t xml:space="preserve"> </w:t>
      </w:r>
      <w:r w:rsidRPr="00D420D6">
        <w:rPr>
          <w:rFonts w:ascii="Times New Roman" w:hAnsi="Times New Roman" w:cs="Times New Roman"/>
          <w:kern w:val="0"/>
          <w:sz w:val="24"/>
          <w:szCs w:val="24"/>
          <w:highlight w:val="yellow"/>
        </w:rPr>
        <w:t>based on the assessment factor method instead of the SSD method</w:t>
      </w:r>
      <w:r w:rsidRPr="00D420D6">
        <w:rPr>
          <w:rFonts w:ascii="Times New Roman" w:hAnsi="Times New Roman" w:cs="Times New Roman" w:hint="eastAsia"/>
          <w:kern w:val="0"/>
          <w:sz w:val="24"/>
          <w:szCs w:val="24"/>
          <w:highlight w:val="yellow"/>
        </w:rPr>
        <w:t>.</w:t>
      </w:r>
      <w:proofErr w:type="gramEnd"/>
    </w:p>
    <w:p w:rsidR="005741C4" w:rsidRDefault="00A33840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Table S1</w:t>
      </w:r>
      <w:r w:rsidR="005741C4" w:rsidRPr="005741C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="005741C4" w:rsidRPr="005741C4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="005741C4" w:rsidRPr="005741C4">
        <w:rPr>
          <w:rFonts w:ascii="Times New Roman" w:hAnsi="Times New Roman" w:cs="Times New Roman"/>
          <w:kern w:val="0"/>
          <w:sz w:val="24"/>
          <w:szCs w:val="24"/>
        </w:rPr>
        <w:t xml:space="preserve"> locations of sampling sites in this study.</w:t>
      </w: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741C4">
        <w:rPr>
          <w:rFonts w:ascii="Times New Roman" w:hAnsi="Times New Roman" w:cs="Times New Roman"/>
          <w:kern w:val="0"/>
          <w:sz w:val="24"/>
          <w:szCs w:val="24"/>
        </w:rPr>
        <w:t xml:space="preserve">Table S2 </w:t>
      </w:r>
      <w:proofErr w:type="gramStart"/>
      <w:r w:rsidRPr="005741C4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Pr="005741C4">
        <w:rPr>
          <w:rFonts w:ascii="Times New Roman" w:hAnsi="Times New Roman" w:cs="Times New Roman"/>
          <w:kern w:val="0"/>
          <w:sz w:val="24"/>
          <w:szCs w:val="24"/>
        </w:rPr>
        <w:t xml:space="preserve"> aquatic toxicity data and PNEC values for the antibiotics.</w:t>
      </w:r>
    </w:p>
    <w:p w:rsidR="00A33840" w:rsidRDefault="00A33840" w:rsidP="00A338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Table S3</w:t>
      </w:r>
      <w:r w:rsidRPr="00A33840">
        <w:rPr>
          <w:rFonts w:ascii="Times New Roman" w:hAnsi="Times New Roman" w:cs="Times New Roman"/>
          <w:kern w:val="0"/>
          <w:sz w:val="24"/>
          <w:szCs w:val="24"/>
        </w:rPr>
        <w:t xml:space="preserve"> Concentrations (</w:t>
      </w:r>
      <w:proofErr w:type="spellStart"/>
      <w:r w:rsidRPr="00A33840">
        <w:rPr>
          <w:rFonts w:ascii="Times New Roman" w:hAnsi="Times New Roman" w:cs="Times New Roman"/>
          <w:kern w:val="0"/>
          <w:sz w:val="24"/>
          <w:szCs w:val="24"/>
        </w:rPr>
        <w:t>ng</w:t>
      </w:r>
      <w:proofErr w:type="spellEnd"/>
      <w:r w:rsidRPr="00A33840">
        <w:rPr>
          <w:rFonts w:ascii="Times New Roman" w:hAnsi="Times New Roman" w:cs="Times New Roman"/>
          <w:kern w:val="0"/>
          <w:sz w:val="24"/>
          <w:szCs w:val="24"/>
        </w:rPr>
        <w:t>/L) and recoveries of antibiotics and limits of detection (LOD).</w:t>
      </w:r>
      <w:proofErr w:type="gramEnd"/>
    </w:p>
    <w:p w:rsidR="00A33840" w:rsidRDefault="00A33840" w:rsidP="00A338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A33840">
        <w:rPr>
          <w:rFonts w:ascii="Times New Roman" w:hAnsi="Times New Roman" w:cs="Times New Roman"/>
          <w:kern w:val="0"/>
          <w:sz w:val="24"/>
          <w:szCs w:val="24"/>
        </w:rPr>
        <w:t>Table S4 Resistance risk quotients of antibiotics</w:t>
      </w:r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proofErr w:type="spellStart"/>
      <w:r w:rsidR="006F09B5">
        <w:rPr>
          <w:rFonts w:ascii="Times New Roman" w:hAnsi="Times New Roman" w:cs="Times New Roman"/>
          <w:kern w:val="0"/>
          <w:sz w:val="24"/>
          <w:szCs w:val="24"/>
        </w:rPr>
        <w:t>Bohai</w:t>
      </w:r>
      <w:proofErr w:type="spellEnd"/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Bay</w:t>
      </w:r>
      <w:r w:rsidRPr="00A33840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p w:rsidR="00A33840" w:rsidRDefault="00A33840" w:rsidP="00A338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A33840">
        <w:rPr>
          <w:rFonts w:ascii="Times New Roman" w:hAnsi="Times New Roman" w:cs="Times New Roman"/>
          <w:kern w:val="0"/>
          <w:sz w:val="24"/>
          <w:szCs w:val="24"/>
        </w:rPr>
        <w:t xml:space="preserve">Table S5 Concentrations of antibiotics in coastal waters of 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A33840">
        <w:rPr>
          <w:rFonts w:ascii="Times New Roman" w:hAnsi="Times New Roman" w:cs="Times New Roman"/>
          <w:kern w:val="0"/>
          <w:sz w:val="24"/>
          <w:szCs w:val="24"/>
        </w:rPr>
        <w:t>China Sea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A33840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A33840">
        <w:rPr>
          <w:rFonts w:ascii="Times New Roman" w:hAnsi="Times New Roman" w:cs="Times New Roman"/>
          <w:kern w:val="0"/>
          <w:sz w:val="24"/>
          <w:szCs w:val="24"/>
        </w:rPr>
        <w:t>ng</w:t>
      </w:r>
      <w:proofErr w:type="spellEnd"/>
      <w:r w:rsidRPr="00A33840">
        <w:rPr>
          <w:rFonts w:ascii="Times New Roman" w:hAnsi="Times New Roman" w:cs="Times New Roman"/>
          <w:kern w:val="0"/>
          <w:sz w:val="24"/>
          <w:szCs w:val="24"/>
        </w:rPr>
        <w:t>/L).</w:t>
      </w:r>
      <w:proofErr w:type="gramEnd"/>
    </w:p>
    <w:p w:rsidR="00A33840" w:rsidRDefault="00A33840" w:rsidP="00A338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proofErr w:type="gramStart"/>
      <w:r w:rsidRPr="00A33840">
        <w:rPr>
          <w:rFonts w:ascii="Times New Roman" w:hAnsi="Times New Roman" w:cs="Times New Roman"/>
          <w:kern w:val="0"/>
          <w:sz w:val="24"/>
          <w:szCs w:val="24"/>
        </w:rPr>
        <w:t>Table S6 Ecological risk quotients of antibiotics</w:t>
      </w:r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proofErr w:type="spellStart"/>
      <w:r w:rsidR="006F09B5">
        <w:rPr>
          <w:rFonts w:ascii="Times New Roman" w:hAnsi="Times New Roman" w:cs="Times New Roman"/>
          <w:kern w:val="0"/>
          <w:sz w:val="24"/>
          <w:szCs w:val="24"/>
        </w:rPr>
        <w:t>Bohai</w:t>
      </w:r>
      <w:proofErr w:type="spellEnd"/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Bay</w:t>
      </w:r>
      <w:r w:rsidRPr="00A33840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p w:rsidR="00A41418" w:rsidRPr="00A33840" w:rsidRDefault="00A41418" w:rsidP="00A338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Pr="00A33840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645B36AE" wp14:editId="1A4D8BE0">
            <wp:extent cx="8863330" cy="3748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B5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proofErr w:type="gramStart"/>
      <w:r w:rsidRPr="00A41418">
        <w:rPr>
          <w:rFonts w:ascii="Times New Roman" w:hAnsi="Times New Roman" w:cs="Times New Roman"/>
          <w:kern w:val="0"/>
          <w:sz w:val="24"/>
          <w:szCs w:val="24"/>
        </w:rPr>
        <w:t>Fig.</w:t>
      </w:r>
      <w:proofErr w:type="gramEnd"/>
      <w:r w:rsidRPr="00A4141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A41418">
        <w:rPr>
          <w:rFonts w:ascii="Times New Roman" w:hAnsi="Times New Roman" w:cs="Times New Roman"/>
          <w:kern w:val="0"/>
          <w:sz w:val="24"/>
          <w:szCs w:val="24"/>
        </w:rPr>
        <w:t>S1 Ecological risk of antibiotics in summer (A) and winter (B) based on the assessment factor m</w:t>
      </w:r>
      <w:bookmarkStart w:id="0" w:name="_GoBack"/>
      <w:bookmarkEnd w:id="0"/>
      <w:r w:rsidRPr="00A41418">
        <w:rPr>
          <w:rFonts w:ascii="Times New Roman" w:hAnsi="Times New Roman" w:cs="Times New Roman"/>
          <w:kern w:val="0"/>
          <w:sz w:val="24"/>
          <w:szCs w:val="24"/>
        </w:rPr>
        <w:t>ethod instead of the SSD method.</w:t>
      </w:r>
      <w:proofErr w:type="gramEnd"/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41418" w:rsidRDefault="00A41418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Table S1 </w:t>
      </w:r>
      <w:proofErr w:type="gramStart"/>
      <w:r w:rsidR="005741C4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="005741C4">
        <w:rPr>
          <w:rFonts w:ascii="Times New Roman" w:hAnsi="Times New Roman" w:cs="Times New Roman"/>
          <w:kern w:val="0"/>
          <w:sz w:val="24"/>
          <w:szCs w:val="24"/>
        </w:rPr>
        <w:t xml:space="preserve"> locations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of sampling sites in this study.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3716"/>
        <w:gridCol w:w="9423"/>
      </w:tblGrid>
      <w:tr w:rsidR="007A1F6C" w:rsidRPr="00951967" w:rsidTr="003A2913">
        <w:tc>
          <w:tcPr>
            <w:tcW w:w="365" w:type="pct"/>
            <w:tcBorders>
              <w:bottom w:val="single" w:sz="4" w:space="0" w:color="auto"/>
            </w:tcBorders>
          </w:tcPr>
          <w:p w:rsidR="007A1F6C" w:rsidRPr="00951967" w:rsidRDefault="007A1F6C" w:rsidP="009519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Site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7A1F6C" w:rsidRPr="00951967" w:rsidRDefault="007A1F6C" w:rsidP="009519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Location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A1F6C" w:rsidRPr="00951967" w:rsidRDefault="007A1F6C" w:rsidP="009519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Description</w:t>
            </w:r>
          </w:p>
        </w:tc>
      </w:tr>
      <w:tr w:rsidR="00083355" w:rsidRPr="00951967" w:rsidTr="003A2913">
        <w:tc>
          <w:tcPr>
            <w:tcW w:w="365" w:type="pct"/>
            <w:tcBorders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38º54.655′N, 118º31.841′E</w:t>
            </w:r>
          </w:p>
        </w:tc>
        <w:tc>
          <w:tcPr>
            <w:tcW w:w="3324" w:type="pct"/>
            <w:tcBorders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Caofeidian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Industry Zone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S2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39º09.628′N, 118º07.737′E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Shahe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estuary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S3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39º12.912′N, 117º57.805′E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Dashentang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mariculture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area with artificial reefs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S4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38º58.613′N, 117º52.676′E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Haihe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estuary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S5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38º46.082′N, 117º38.511′E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Duliujianhe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estuary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S6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38º30.198′N, 117º40.201′E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Lijiabao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mariculture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area by the bottom-sowing mode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S7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38º24.225′N, 117º55.546′E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Rarely influenced by human activities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S8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38º13.739′N, 118º06.022′E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Tuhaihe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estuary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S9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38º06.285′N, 118º22.765′E</w:t>
            </w:r>
          </w:p>
        </w:tc>
        <w:tc>
          <w:tcPr>
            <w:tcW w:w="3324" w:type="pct"/>
            <w:tcBorders>
              <w:top w:val="nil"/>
              <w:bottom w:val="nil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Near the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Xinhu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mariculture</w:t>
            </w:r>
            <w:proofErr w:type="spellEnd"/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area with seawater ponds</w:t>
            </w:r>
          </w:p>
        </w:tc>
      </w:tr>
      <w:tr w:rsidR="00083355" w:rsidRPr="00951967" w:rsidTr="003A2913">
        <w:tc>
          <w:tcPr>
            <w:tcW w:w="365" w:type="pct"/>
            <w:tcBorders>
              <w:top w:val="nil"/>
              <w:bottom w:val="single" w:sz="4" w:space="0" w:color="auto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S10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355" w:rsidRPr="00957B37" w:rsidRDefault="00083355" w:rsidP="003A2913">
            <w:pPr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r w:rsidRPr="0007665E">
              <w:rPr>
                <w:rFonts w:ascii="Times New Roman" w:eastAsia="Adobe 仿宋 Std R" w:hAnsi="Times New Roman" w:cs="Times New Roman"/>
                <w:sz w:val="24"/>
                <w:szCs w:val="24"/>
              </w:rPr>
              <w:t>38º09.697′N, 118º44.349′E</w:t>
            </w:r>
          </w:p>
        </w:tc>
        <w:tc>
          <w:tcPr>
            <w:tcW w:w="3324" w:type="pct"/>
            <w:tcBorders>
              <w:top w:val="nil"/>
              <w:bottom w:val="single" w:sz="4" w:space="0" w:color="auto"/>
            </w:tcBorders>
          </w:tcPr>
          <w:p w:rsidR="00083355" w:rsidRPr="00951967" w:rsidRDefault="00083355" w:rsidP="000833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Rarely influenced by human activities</w:t>
            </w:r>
          </w:p>
        </w:tc>
      </w:tr>
    </w:tbl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Default="005741C4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F09B5" w:rsidRDefault="006F09B5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741C4" w:rsidRPr="00951967" w:rsidRDefault="005741C4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967">
        <w:rPr>
          <w:rFonts w:ascii="Times New Roman" w:hAnsi="Times New Roman" w:cs="Times New Roman"/>
          <w:sz w:val="24"/>
          <w:szCs w:val="24"/>
        </w:rPr>
        <w:t xml:space="preserve">Table </w:t>
      </w:r>
      <w:r w:rsidR="000963AF" w:rsidRPr="00951967">
        <w:rPr>
          <w:rFonts w:ascii="Times New Roman" w:hAnsi="Times New Roman" w:cs="Times New Roman"/>
          <w:sz w:val="24"/>
          <w:szCs w:val="24"/>
        </w:rPr>
        <w:t>S</w:t>
      </w:r>
      <w:r w:rsidR="000963AF">
        <w:rPr>
          <w:rFonts w:ascii="Times New Roman" w:hAnsi="Times New Roman" w:cs="Times New Roman"/>
          <w:sz w:val="24"/>
          <w:szCs w:val="24"/>
        </w:rPr>
        <w:t>2</w:t>
      </w:r>
      <w:r w:rsidR="000963AF" w:rsidRPr="00951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1967">
        <w:rPr>
          <w:rFonts w:ascii="Times New Roman" w:hAnsi="Times New Roman" w:cs="Times New Roman"/>
          <w:sz w:val="24"/>
          <w:szCs w:val="24"/>
        </w:rPr>
        <w:t xml:space="preserve"> aquatic toxicity data and PNEC values for the antibiotics.</w:t>
      </w:r>
    </w:p>
    <w:tbl>
      <w:tblPr>
        <w:tblW w:w="4641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1623"/>
        <w:gridCol w:w="2300"/>
        <w:gridCol w:w="1002"/>
        <w:gridCol w:w="1666"/>
        <w:gridCol w:w="2379"/>
        <w:gridCol w:w="1008"/>
        <w:gridCol w:w="1347"/>
      </w:tblGrid>
      <w:tr w:rsidR="007A1F6C" w:rsidRPr="00951967" w:rsidTr="00D456C8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Compound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Specie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Endpoint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Values (</w:t>
            </w:r>
            <w:proofErr w:type="spellStart"/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Reference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PNEC (</w:t>
            </w:r>
            <w:proofErr w:type="spellStart"/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7A1F6C" w:rsidRPr="00951967" w:rsidRDefault="007A1F6C" w:rsidP="0095196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Comment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Ciprofloxacin</w:t>
            </w:r>
          </w:p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" w:name="OLE_LINK108"/>
            <w:bookmarkStart w:id="2" w:name="OLE_LINK124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subcapitata</w:t>
            </w:r>
            <w:bookmarkEnd w:id="1"/>
            <w:bookmarkEnd w:id="2"/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(Liu et al.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OLE_LINK112"/>
            <w:bookmarkStart w:id="4" w:name="OLE_LINK113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  <w:bookmarkEnd w:id="3"/>
            <w:bookmarkEnd w:id="4"/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5" w:name="OLE_LINK125"/>
            <w:bookmarkStart w:id="6" w:name="OLE_LINK126"/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Platymonas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subcordiformis</w:t>
            </w:r>
            <w:bookmarkEnd w:id="5"/>
            <w:bookmarkEnd w:id="6"/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(Wang et al., 2017)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7" w:name="OLE_LINK129"/>
            <w:bookmarkStart w:id="8" w:name="OLE_LINK130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Daphnia magna</w:t>
            </w:r>
            <w:bookmarkEnd w:id="7"/>
            <w:bookmarkEnd w:id="8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9" w:name="OLE_LINK135"/>
            <w:bookmarkStart w:id="10" w:name="OLE_LINK136"/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Lebistes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reticulatus</w:t>
            </w:r>
            <w:bookmarkEnd w:id="9"/>
            <w:bookmarkEnd w:id="10"/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OLE_LINK64"/>
            <w:bookmarkStart w:id="12" w:name="OLE_LINK65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  <w:bookmarkEnd w:id="11"/>
            <w:bookmarkEnd w:id="12"/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3" w:name="OLE_LINK137"/>
            <w:bookmarkStart w:id="14" w:name="OLE_LINK138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Pseudomonas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fluorescens</w:t>
            </w:r>
            <w:bookmarkEnd w:id="13"/>
            <w:bookmarkEnd w:id="14"/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OLE_LINK106"/>
            <w:bookmarkStart w:id="16" w:name="OLE_LINK107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  <w:bookmarkEnd w:id="15"/>
            <w:bookmarkEnd w:id="16"/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7" w:name="OLE_LINK139"/>
            <w:bookmarkStart w:id="18" w:name="OLE_LINK140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Vibrio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fischeri</w:t>
            </w:r>
            <w:bookmarkEnd w:id="17"/>
            <w:bookmarkEnd w:id="18"/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0.0015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9" w:name="OLE_LINK143"/>
            <w:bookmarkStart w:id="20" w:name="OLE_LINK144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Pseudomonas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aurantiaca</w:t>
            </w:r>
            <w:bookmarkEnd w:id="19"/>
            <w:bookmarkEnd w:id="20"/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minor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(Robinson et al., 2005)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Rotifer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plicatilis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(Wang et al., 2017)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Ciliophora</w:t>
            </w:r>
            <w:proofErr w:type="spellEnd"/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Tetrahymena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thermophila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Enrofloxacin</w:t>
            </w:r>
            <w:proofErr w:type="spellEnd"/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(Harada et al.,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0.0006                  </w:t>
            </w:r>
          </w:p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BurrliOZ</w:t>
            </w:r>
            <w:r w:rsidR="007A1F6C"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Synechococcus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leopolensis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(Andreozzi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Selenastrum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capricornutum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(Halling-Sorensen, 2000)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Desmodesmus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subspicatus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(Baumann et al., 2015)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Penaeus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monodon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(Tu et al. 2009)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Daphnia magna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(Park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Ceriodaphnia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dubia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(Constantine and Huggett, 2010)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Pimephales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promelas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(Robinson et al. 2005)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Lebistes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reticulatus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(Brain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Rotifera</w:t>
            </w:r>
            <w:proofErr w:type="spellEnd"/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calyciflorus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Vibrio </w:t>
            </w:r>
            <w:proofErr w:type="spellStart"/>
            <w:r w:rsidRPr="00BB56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fischeri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0.0015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(Zaleska-Radziwill et al., 2014)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Erythromycin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Anabaena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cylindrica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(Ando et al. 2007)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Anabaena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flosaquae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(Ando et al. 2007)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Microcystis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(Ando et al. 2007)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Chlorella vulgaris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Eguchi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Eguchi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Litopenaeus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vannamei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(Williams R 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Daphnia magna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Oryzias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latipes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Moina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macrocopa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Ofloxacin</w:t>
            </w:r>
            <w:proofErr w:type="spellEnd"/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Cyclotella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meneghiniana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Synechococcus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leopolensis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_Hlk492405204"/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Daphnia magna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(Robinson et al., 2005)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Pimephales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promelas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(Robinson et al. 2005)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Rotifera</w:t>
            </w:r>
            <w:proofErr w:type="spellEnd"/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calyciflorus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Vibrio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fischeri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(Backhaus et al., 2000)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1"/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Oxytetracycline</w:t>
            </w:r>
            <w:proofErr w:type="spellEnd"/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Tetraselmis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suecica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(Seoane et al., 2014)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1.76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Eguchi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Conticribra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weissflogii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Eguchi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Litopenaeus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vannamei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3,780,000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(Bray et al. 2006)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Anguilla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anguilla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Kreutzmann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1977)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Labeo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rohita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Ambili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2013)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Sparus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aurata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Cerezuela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Cyprinus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carpio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Rijkers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1980)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plicatilis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Balompapueng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1997)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koreanus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(Rhee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Molluscs</w:t>
            </w:r>
            <w:proofErr w:type="spellEnd"/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Argopecten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purpuratus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(Miranda et al., 2013)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Molluscs</w:t>
            </w:r>
            <w:proofErr w:type="spellEnd"/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Pinctada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mazatlanica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(Aguilar-Macias et al., 2010)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Sulfamethoxazole</w:t>
            </w:r>
            <w:proofErr w:type="spellEnd"/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Selenastrum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capricornutum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(Eguchi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C.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meneghiniana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(Ferrari,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leopolensis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(Ferrari,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(Liu et al.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Daphnia magna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(Lu et al., 2013)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Ceriodaphnia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dubia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Danio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rerio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Madureira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2011)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Carassius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auratus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(Li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Hydra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attenuata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(Quinn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koreanu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(Rhee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calyciflorus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(Ferrari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Tetracycline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Microcystis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(Yang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(Yang et al. 2013)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Daphnia magna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(Kim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Oryzias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latipes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(Kang. 2006)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plicatilis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Balompapueng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1997)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Molluscs</w:t>
            </w:r>
            <w:proofErr w:type="spellEnd"/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Lamellidens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corrianus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73,820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Nandurkar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Trimethoprim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Anabaena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cylindrica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(Ando et al. 2007)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(Yang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Moina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macrocopa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54,800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(Park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Crustaceans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Daphnia magna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(Park et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Danio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rerio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Madureira</w:t>
            </w:r>
            <w:proofErr w:type="spellEnd"/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Poecilia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reticulata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(De Liguoro et al., 2012)</w:t>
            </w: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(Brain et al.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minor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(De Liguoro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Hydra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attenuata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(Quinn al. 2008)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koreanus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(Rhee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Amoxicillin 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Phaeodactylum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tricornutum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(De Orte et al., 2013)</w:t>
            </w:r>
          </w:p>
        </w:tc>
        <w:tc>
          <w:tcPr>
            <w:tcW w:w="383" w:type="pct"/>
          </w:tcPr>
          <w:p w:rsidR="007A1F6C" w:rsidRPr="00951967" w:rsidRDefault="001F0D8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56.6</w:t>
            </w:r>
          </w:p>
        </w:tc>
        <w:tc>
          <w:tcPr>
            <w:tcW w:w="512" w:type="pct"/>
          </w:tcPr>
          <w:p w:rsidR="007A1F6C" w:rsidRPr="00951967" w:rsidRDefault="00A4141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BurrliOZ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Danio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rerio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1125000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(Oliveira et al., 2013)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(Brain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Hydra vulgaris</w:t>
            </w:r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(Pascoe et al., 2003)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Ampicillin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Microcystis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(Qian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NOEC(Algae), AF=100</w:t>
            </w:r>
          </w:p>
        </w:tc>
      </w:tr>
      <w:tr w:rsidR="00D456C8" w:rsidRPr="00D456C8" w:rsidTr="00D456C8">
        <w:tc>
          <w:tcPr>
            <w:tcW w:w="696" w:type="pct"/>
          </w:tcPr>
          <w:p w:rsidR="00D456C8" w:rsidRPr="00D456C8" w:rsidRDefault="00D456C8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17" w:type="pct"/>
          </w:tcPr>
          <w:p w:rsidR="00D456C8" w:rsidRPr="00D456C8" w:rsidRDefault="00423332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C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Algae</w:t>
            </w:r>
          </w:p>
        </w:tc>
        <w:tc>
          <w:tcPr>
            <w:tcW w:w="874" w:type="pct"/>
          </w:tcPr>
          <w:p w:rsidR="00D456C8" w:rsidRPr="002F7C8D" w:rsidRDefault="00D456C8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C5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Chlorella vulgaris</w:t>
            </w:r>
          </w:p>
        </w:tc>
        <w:tc>
          <w:tcPr>
            <w:tcW w:w="381" w:type="pct"/>
          </w:tcPr>
          <w:p w:rsidR="00D456C8" w:rsidRPr="00D456C8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NOEC</w:t>
            </w:r>
          </w:p>
        </w:tc>
        <w:tc>
          <w:tcPr>
            <w:tcW w:w="633" w:type="pct"/>
          </w:tcPr>
          <w:p w:rsidR="00D456C8" w:rsidRPr="00D456C8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&gt;100</w:t>
            </w:r>
            <w:r w:rsidR="002C55DE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0</w:t>
            </w:r>
            <w:r w:rsidRPr="00D45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904" w:type="pct"/>
          </w:tcPr>
          <w:p w:rsidR="00D456C8" w:rsidRPr="00D456C8" w:rsidRDefault="00D456C8" w:rsidP="0095196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D45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Eguchi</w:t>
            </w:r>
            <w:proofErr w:type="spellEnd"/>
            <w:r w:rsidRPr="00D45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et al., 2004)</w:t>
            </w:r>
          </w:p>
        </w:tc>
        <w:tc>
          <w:tcPr>
            <w:tcW w:w="383" w:type="pct"/>
          </w:tcPr>
          <w:p w:rsidR="00D456C8" w:rsidRPr="00D456C8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D456C8" w:rsidRPr="00D456C8" w:rsidRDefault="00D456C8" w:rsidP="00D456C8">
            <w:pPr>
              <w:tabs>
                <w:tab w:val="left" w:pos="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Default="007A1F6C" w:rsidP="00951967">
            <w:pP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D456C8" w:rsidRPr="00951967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Arbacia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lixula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(Carballeira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Invertebrates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Paracentrotus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lividus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(Carballeira et al., 2012)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Doxycycline 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(Brain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NOEC(Plant), AF=1000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221615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enicillin</w:t>
            </w: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Pseudokirchneriella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(Halling-Sorensen, 2000)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NOEC(Algae), AF=1000</w:t>
            </w:r>
          </w:p>
        </w:tc>
      </w:tr>
      <w:tr w:rsidR="00D456C8" w:rsidRPr="00951967" w:rsidTr="00D456C8">
        <w:tc>
          <w:tcPr>
            <w:tcW w:w="696" w:type="pct"/>
          </w:tcPr>
          <w:p w:rsidR="00D456C8" w:rsidRPr="00D456C8" w:rsidRDefault="00D456C8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D456C8" w:rsidRPr="002F7C8D" w:rsidRDefault="00423332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C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Algae</w:t>
            </w:r>
          </w:p>
        </w:tc>
        <w:tc>
          <w:tcPr>
            <w:tcW w:w="874" w:type="pct"/>
          </w:tcPr>
          <w:p w:rsidR="00D456C8" w:rsidRPr="002F7C8D" w:rsidRDefault="00D456C8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C5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Selenastrum</w:t>
            </w:r>
            <w:proofErr w:type="spellEnd"/>
            <w:r w:rsidRPr="002C5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C5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capricornutum</w:t>
            </w:r>
            <w:proofErr w:type="spellEnd"/>
          </w:p>
        </w:tc>
        <w:tc>
          <w:tcPr>
            <w:tcW w:w="381" w:type="pct"/>
          </w:tcPr>
          <w:p w:rsidR="00D456C8" w:rsidRPr="002F7C8D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7C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NOEC</w:t>
            </w:r>
          </w:p>
        </w:tc>
        <w:tc>
          <w:tcPr>
            <w:tcW w:w="633" w:type="pct"/>
          </w:tcPr>
          <w:p w:rsidR="00D456C8" w:rsidRPr="002F7C8D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7C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2F7C8D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0</w:t>
            </w:r>
            <w:r w:rsidRPr="002F7C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904" w:type="pct"/>
          </w:tcPr>
          <w:p w:rsidR="00D456C8" w:rsidRPr="002F7C8D" w:rsidRDefault="00D456C8" w:rsidP="0095196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2F7C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2F7C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Halling</w:t>
            </w:r>
            <w:proofErr w:type="spellEnd"/>
            <w:r w:rsidRPr="002F7C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-Sorensen, 2000)</w:t>
            </w:r>
          </w:p>
        </w:tc>
        <w:tc>
          <w:tcPr>
            <w:tcW w:w="383" w:type="pct"/>
          </w:tcPr>
          <w:p w:rsidR="00D456C8" w:rsidRPr="002F7C8D" w:rsidRDefault="00D456C8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D456C8" w:rsidRPr="002F7C8D" w:rsidRDefault="00D456C8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1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Roxithromycin</w:t>
            </w:r>
            <w:proofErr w:type="spellEnd"/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Algae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subcapitata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(Yang et al., 2008)</w:t>
            </w:r>
          </w:p>
        </w:tc>
        <w:tc>
          <w:tcPr>
            <w:tcW w:w="383" w:type="pct"/>
          </w:tcPr>
          <w:p w:rsidR="007A1F6C" w:rsidRPr="00951967" w:rsidRDefault="007A1F6C" w:rsidP="00A30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A3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12" w:type="pct"/>
          </w:tcPr>
          <w:p w:rsidR="007A1F6C" w:rsidRPr="00951967" w:rsidRDefault="007A1F6C" w:rsidP="00A30CAD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NOEC(Alg</w:t>
            </w: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ae), AF=</w:t>
            </w:r>
            <w:r w:rsidR="00A3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0CAD"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7A1F6C" w:rsidRPr="00951967" w:rsidTr="00D456C8">
        <w:tc>
          <w:tcPr>
            <w:tcW w:w="696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874" w:type="pct"/>
          </w:tcPr>
          <w:p w:rsidR="007A1F6C" w:rsidRPr="00BB56D2" w:rsidRDefault="007A1F6C" w:rsidP="009519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Lemna</w:t>
            </w:r>
            <w:proofErr w:type="spellEnd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6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gibba</w:t>
            </w:r>
            <w:proofErr w:type="spellEnd"/>
          </w:p>
        </w:tc>
        <w:tc>
          <w:tcPr>
            <w:tcW w:w="381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NOEC</w:t>
            </w:r>
          </w:p>
        </w:tc>
        <w:tc>
          <w:tcPr>
            <w:tcW w:w="63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04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(Brain et al., 2004)</w:t>
            </w:r>
          </w:p>
        </w:tc>
        <w:tc>
          <w:tcPr>
            <w:tcW w:w="383" w:type="pct"/>
          </w:tcPr>
          <w:p w:rsidR="007A1F6C" w:rsidRPr="00951967" w:rsidRDefault="007A1F6C" w:rsidP="00951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7A1F6C" w:rsidRPr="00951967" w:rsidRDefault="007A1F6C" w:rsidP="00951967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6D9" w:rsidRDefault="00C016D9" w:rsidP="00951967">
      <w:pPr>
        <w:rPr>
          <w:rFonts w:ascii="Times New Roman" w:hAnsi="Times New Roman" w:cs="Times New Roman"/>
          <w:sz w:val="24"/>
          <w:szCs w:val="24"/>
        </w:rPr>
        <w:sectPr w:rsidR="00C016D9" w:rsidSect="007A1F6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016D9" w:rsidRPr="00951967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kern w:val="0"/>
          <w:sz w:val="24"/>
          <w:szCs w:val="24"/>
        </w:rPr>
        <w:lastRenderedPageBreak/>
        <w:t>Table S</w:t>
      </w:r>
      <w:r w:rsidR="000963A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Concentrations (</w:t>
      </w:r>
      <w:proofErr w:type="spellStart"/>
      <w:r w:rsidRPr="00951967">
        <w:rPr>
          <w:rFonts w:ascii="Times New Roman" w:hAnsi="Times New Roman" w:cs="Times New Roman"/>
          <w:kern w:val="0"/>
          <w:sz w:val="24"/>
          <w:szCs w:val="24"/>
        </w:rPr>
        <w:t>ng</w:t>
      </w:r>
      <w:proofErr w:type="spellEnd"/>
      <w:r w:rsidRPr="00951967">
        <w:rPr>
          <w:rFonts w:ascii="Times New Roman" w:hAnsi="Times New Roman" w:cs="Times New Roman"/>
          <w:kern w:val="0"/>
          <w:sz w:val="24"/>
          <w:szCs w:val="24"/>
        </w:rPr>
        <w:t>/L) and recoveries of antibiotics and limits of detection (LOD).</w:t>
      </w:r>
      <w:proofErr w:type="gramEnd"/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21"/>
        <w:tblW w:w="5000" w:type="pct"/>
        <w:jc w:val="center"/>
        <w:tblLook w:val="04A0" w:firstRow="1" w:lastRow="0" w:firstColumn="1" w:lastColumn="0" w:noHBand="0" w:noVBand="1"/>
      </w:tblPr>
      <w:tblGrid>
        <w:gridCol w:w="777"/>
        <w:gridCol w:w="1030"/>
        <w:gridCol w:w="764"/>
        <w:gridCol w:w="640"/>
        <w:gridCol w:w="756"/>
        <w:gridCol w:w="1518"/>
        <w:gridCol w:w="1519"/>
        <w:gridCol w:w="1518"/>
      </w:tblGrid>
      <w:tr w:rsidR="00C016D9" w:rsidRPr="00951967" w:rsidTr="00C0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</w:tcPr>
          <w:p w:rsidR="00C016D9" w:rsidRPr="00951967" w:rsidRDefault="00C016D9" w:rsidP="00C0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016D9" w:rsidRPr="00BA5C07" w:rsidRDefault="00C016D9" w:rsidP="00C0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7E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Mean </w:t>
            </w:r>
          </w:p>
        </w:tc>
        <w:tc>
          <w:tcPr>
            <w:tcW w:w="377" w:type="pct"/>
            <w:vAlign w:val="center"/>
          </w:tcPr>
          <w:p w:rsidR="00C016D9" w:rsidRPr="00BA5C07" w:rsidRDefault="00C016D9" w:rsidP="00C0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7E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Min </w:t>
            </w:r>
          </w:p>
        </w:tc>
        <w:tc>
          <w:tcPr>
            <w:tcW w:w="445" w:type="pct"/>
            <w:vAlign w:val="center"/>
          </w:tcPr>
          <w:p w:rsidR="00C016D9" w:rsidRPr="00BA5C07" w:rsidRDefault="00C016D9" w:rsidP="00C0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7E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Max </w:t>
            </w:r>
          </w:p>
        </w:tc>
        <w:tc>
          <w:tcPr>
            <w:tcW w:w="893" w:type="pct"/>
            <w:vAlign w:val="center"/>
          </w:tcPr>
          <w:p w:rsidR="00C016D9" w:rsidRPr="00BA5C07" w:rsidRDefault="00C016D9" w:rsidP="00556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7EA3">
              <w:rPr>
                <w:rFonts w:ascii="Times New Roman" w:hAnsi="Times New Roman" w:cs="Times New Roman"/>
                <w:b w:val="0"/>
                <w:sz w:val="24"/>
                <w:szCs w:val="24"/>
              </w:rPr>
              <w:t>Det.</w:t>
            </w:r>
            <w:r w:rsidR="00556B8B" w:rsidRPr="00556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6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freq. </w:t>
            </w:r>
            <w:r w:rsidRPr="00E07EA3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893" w:type="pct"/>
            <w:vAlign w:val="center"/>
          </w:tcPr>
          <w:p w:rsidR="00C016D9" w:rsidRPr="005741C4" w:rsidRDefault="00C016D9" w:rsidP="00C0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1C4">
              <w:rPr>
                <w:rFonts w:ascii="Times New Roman" w:hAnsi="Times New Roman" w:cs="Times New Roman"/>
                <w:b w:val="0"/>
                <w:sz w:val="24"/>
                <w:szCs w:val="24"/>
              </w:rPr>
              <w:t>Recovery (%)</w:t>
            </w:r>
          </w:p>
        </w:tc>
        <w:tc>
          <w:tcPr>
            <w:tcW w:w="892" w:type="pct"/>
            <w:vAlign w:val="center"/>
          </w:tcPr>
          <w:p w:rsidR="00C016D9" w:rsidRPr="005741C4" w:rsidRDefault="00C016D9" w:rsidP="00C0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1C4">
              <w:rPr>
                <w:rFonts w:ascii="Times New Roman" w:hAnsi="Times New Roman" w:cs="Times New Roman"/>
                <w:b w:val="0"/>
                <w:sz w:val="24"/>
                <w:szCs w:val="24"/>
              </w:rPr>
              <w:t>LOD (</w:t>
            </w:r>
            <w:proofErr w:type="spellStart"/>
            <w:r w:rsidRPr="005741C4">
              <w:rPr>
                <w:rFonts w:ascii="Times New Roman" w:hAnsi="Times New Roman" w:cs="Times New Roman"/>
                <w:b w:val="0"/>
                <w:sz w:val="24"/>
                <w:szCs w:val="24"/>
              </w:rPr>
              <w:t>ng</w:t>
            </w:r>
            <w:proofErr w:type="spellEnd"/>
            <w:r w:rsidRPr="005741C4">
              <w:rPr>
                <w:rFonts w:ascii="Times New Roman" w:hAnsi="Times New Roman" w:cs="Times New Roman"/>
                <w:b w:val="0"/>
                <w:sz w:val="24"/>
                <w:szCs w:val="24"/>
              </w:rPr>
              <w:t>/L)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bottom w:val="nil"/>
            </w:tcBorders>
            <w:vAlign w:val="center"/>
          </w:tcPr>
          <w:p w:rsidR="00C016D9" w:rsidRPr="00951967" w:rsidRDefault="00A24D6D" w:rsidP="00A24D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600" w:type="pct"/>
            <w:tcBorders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2" w:type="pct"/>
            <w:tcBorders>
              <w:bottom w:val="nil"/>
            </w:tcBorders>
            <w:vAlign w:val="center"/>
          </w:tcPr>
          <w:p w:rsidR="00C016D9" w:rsidRPr="00951967" w:rsidRDefault="00C016D9" w:rsidP="0016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618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2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2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AMP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D2618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A2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24D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2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24D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PNC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</w:t>
            </w:r>
            <w:r w:rsidR="005741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2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24D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2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2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D6D" w:rsidRPr="00951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CIP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E0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811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4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ENR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E0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6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4B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OFL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6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4B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bottom w:val="nil"/>
            </w:tcBorders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A6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4B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SMX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81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E0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0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E0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0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TMP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E0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DOX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A33840" w:rsidP="00A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OTC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200.9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129.1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252.2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TC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57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4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E0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07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ERY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E0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A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B9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016D9" w:rsidRPr="00951967" w:rsidTr="00C01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b w:val="0"/>
                <w:sz w:val="24"/>
                <w:szCs w:val="24"/>
              </w:rPr>
              <w:t>ROX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C016D9" w:rsidP="00C0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BA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C016D9" w:rsidRPr="00951967" w:rsidRDefault="00794286" w:rsidP="00B9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016D9" w:rsidRPr="00951967" w:rsidTr="00C016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Merge/>
            <w:tcBorders>
              <w:top w:val="nil"/>
              <w:bottom w:val="single" w:sz="4" w:space="0" w:color="7F7F7F" w:themeColor="text1" w:themeTint="80"/>
            </w:tcBorders>
          </w:tcPr>
          <w:p w:rsidR="00C016D9" w:rsidRPr="00951967" w:rsidRDefault="00C016D9" w:rsidP="00C016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50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45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93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C016D9" w:rsidP="00C0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794286" w:rsidP="00E0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2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C016D9" w:rsidRPr="00951967" w:rsidRDefault="00794286" w:rsidP="00B9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2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016D9" w:rsidRPr="00951967" w:rsidRDefault="00C016D9" w:rsidP="00C016D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sz w:val="24"/>
          <w:szCs w:val="24"/>
        </w:rPr>
        <w:t>ND,</w:t>
      </w:r>
      <w:proofErr w:type="gramEnd"/>
      <w:r w:rsidRPr="00951967">
        <w:rPr>
          <w:rFonts w:ascii="Times New Roman" w:hAnsi="Times New Roman" w:cs="Times New Roman"/>
          <w:sz w:val="24"/>
          <w:szCs w:val="24"/>
        </w:rPr>
        <w:t xml:space="preserve"> Not Detected. </w:t>
      </w:r>
    </w:p>
    <w:p w:rsidR="00C016D9" w:rsidRPr="00951967" w:rsidRDefault="00C016D9" w:rsidP="00C01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6D9" w:rsidRDefault="00C016D9" w:rsidP="00C01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kern w:val="0"/>
          <w:sz w:val="24"/>
          <w:szCs w:val="24"/>
        </w:rPr>
        <w:lastRenderedPageBreak/>
        <w:t>Table S</w:t>
      </w:r>
      <w:r w:rsidR="000963AF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Resistance risk quotients of antibiotics</w:t>
      </w:r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proofErr w:type="spellStart"/>
      <w:r w:rsidR="006F09B5">
        <w:rPr>
          <w:rFonts w:ascii="Times New Roman" w:hAnsi="Times New Roman" w:cs="Times New Roman"/>
          <w:kern w:val="0"/>
          <w:sz w:val="24"/>
          <w:szCs w:val="24"/>
        </w:rPr>
        <w:t>Bohai</w:t>
      </w:r>
      <w:proofErr w:type="spellEnd"/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Bay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49"/>
        <w:gridCol w:w="2202"/>
        <w:gridCol w:w="1650"/>
        <w:gridCol w:w="1386"/>
        <w:gridCol w:w="1635"/>
      </w:tblGrid>
      <w:tr w:rsidR="00C016D9" w:rsidRPr="00174661" w:rsidTr="00C016D9">
        <w:trPr>
          <w:jc w:val="center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Antibiotics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Season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Mean 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Min 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Max 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016D9" w:rsidRPr="00174661" w:rsidRDefault="00A12514" w:rsidP="00A125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292" w:type="pct"/>
            <w:tcBorders>
              <w:top w:val="single" w:sz="4" w:space="0" w:color="auto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single" w:sz="4" w:space="0" w:color="auto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8.7E-03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</w:tcPr>
          <w:p w:rsidR="00C016D9" w:rsidRPr="00174661" w:rsidRDefault="009D0155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59" w:type="pct"/>
            <w:tcBorders>
              <w:top w:val="single" w:sz="4" w:space="0" w:color="auto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2.2E-02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1.3E-02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4.6E-02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AMP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E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E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E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9.3E-04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1.6E-03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PNC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8.8E-03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2.0E-02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4.6E-03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9.0E-03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CIP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7A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7A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7A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3.6E-02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2.1E-02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4.4E-02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ENR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7.2E-02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005184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1.6E-01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OFL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1.1E-02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8.7E-03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3.1E-02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bottom w:val="nil"/>
            </w:tcBorders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1.1E-03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005184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6.8E-03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SMX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4.2E-04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1.2E-04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1.1E-03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3.9E-04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1.1E-04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1.1E-03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TMP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9E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9E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9E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4.3E-03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1.1E-03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1.0E-02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DOX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1.6E-03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1.2E-03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1.8E-03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3.2E-04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6.7E-05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6.7E-04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OTC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4.2E-02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005184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4.0E-01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2.6E-01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5.1E-02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5.3E-01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6.2E-03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3.0E-03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1.2E-02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4.8E-03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1.3E-03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1.7E-02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ERY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26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26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26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C016D9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C016D9" w:rsidRPr="00174661" w:rsidRDefault="00C016D9" w:rsidP="00C016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2.9E-04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C016D9" w:rsidRPr="00174661" w:rsidRDefault="00005184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C016D9" w:rsidRPr="0017466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4.0E-04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ROX</w:t>
            </w:r>
          </w:p>
        </w:tc>
        <w:tc>
          <w:tcPr>
            <w:tcW w:w="1292" w:type="pct"/>
            <w:tcBorders>
              <w:top w:val="nil"/>
              <w:bottom w:val="nil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005184" w:rsidRPr="00174661" w:rsidTr="00C016D9">
        <w:trPr>
          <w:jc w:val="center"/>
        </w:trPr>
        <w:tc>
          <w:tcPr>
            <w:tcW w:w="968" w:type="pct"/>
            <w:vMerge/>
            <w:tcBorders>
              <w:top w:val="nil"/>
              <w:bottom w:val="single" w:sz="4" w:space="0" w:color="7F7F7F" w:themeColor="text1" w:themeTint="80"/>
            </w:tcBorders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5184" w:rsidRPr="00174661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68" w:type="pct"/>
            <w:tcBorders>
              <w:top w:val="nil"/>
              <w:bottom w:val="single" w:sz="4" w:space="0" w:color="7F7F7F" w:themeColor="text1" w:themeTint="80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13" w:type="pct"/>
            <w:tcBorders>
              <w:top w:val="nil"/>
              <w:bottom w:val="single" w:sz="4" w:space="0" w:color="7F7F7F" w:themeColor="text1" w:themeTint="80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59" w:type="pct"/>
            <w:tcBorders>
              <w:top w:val="nil"/>
              <w:bottom w:val="single" w:sz="4" w:space="0" w:color="7F7F7F" w:themeColor="text1" w:themeTint="80"/>
            </w:tcBorders>
          </w:tcPr>
          <w:p w:rsidR="00005184" w:rsidRPr="00174661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D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</w:tbl>
    <w:p w:rsidR="00C016D9" w:rsidRPr="00951967" w:rsidRDefault="00C016D9" w:rsidP="00C016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016D9" w:rsidRPr="00951967" w:rsidRDefault="00C016D9" w:rsidP="00C016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C016D9" w:rsidRPr="00951967" w:rsidSect="009519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16D9" w:rsidRPr="00951967" w:rsidRDefault="00C016D9" w:rsidP="00C016D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kern w:val="0"/>
          <w:sz w:val="24"/>
          <w:szCs w:val="24"/>
        </w:rPr>
        <w:lastRenderedPageBreak/>
        <w:t>Table S</w:t>
      </w:r>
      <w:r w:rsidR="0098039D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Concentrations of antibiotics in coastal waters of 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>China Sea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951967">
        <w:rPr>
          <w:rFonts w:ascii="Times New Roman" w:hAnsi="Times New Roman" w:cs="Times New Roman"/>
          <w:kern w:val="0"/>
          <w:sz w:val="24"/>
          <w:szCs w:val="24"/>
        </w:rPr>
        <w:t>ng</w:t>
      </w:r>
      <w:proofErr w:type="spellEnd"/>
      <w:r w:rsidRPr="00951967">
        <w:rPr>
          <w:rFonts w:ascii="Times New Roman" w:hAnsi="Times New Roman" w:cs="Times New Roman"/>
          <w:kern w:val="0"/>
          <w:sz w:val="24"/>
          <w:szCs w:val="24"/>
        </w:rPr>
        <w:t>/L).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52"/>
        <w:gridCol w:w="803"/>
        <w:gridCol w:w="636"/>
        <w:gridCol w:w="803"/>
        <w:gridCol w:w="756"/>
        <w:gridCol w:w="803"/>
        <w:gridCol w:w="636"/>
        <w:gridCol w:w="807"/>
        <w:gridCol w:w="756"/>
        <w:gridCol w:w="803"/>
        <w:gridCol w:w="636"/>
        <w:gridCol w:w="868"/>
        <w:gridCol w:w="756"/>
        <w:gridCol w:w="814"/>
        <w:gridCol w:w="756"/>
        <w:gridCol w:w="1789"/>
      </w:tblGrid>
      <w:tr w:rsidR="00C016D9" w:rsidRPr="008E3F11" w:rsidTr="00C016D9">
        <w:trPr>
          <w:trHeight w:val="356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Coastal area in China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AMP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AMX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PNC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CIP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ENR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OFL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SMX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C016D9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9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9" w:rsidRPr="008E3F11" w:rsidRDefault="00C016D9" w:rsidP="00C016D9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eferences</w:t>
            </w:r>
          </w:p>
        </w:tc>
      </w:tr>
      <w:tr w:rsidR="00C016D9" w:rsidRPr="008E3F11" w:rsidTr="00C016D9">
        <w:trPr>
          <w:trHeight w:val="578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 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D9" w:rsidRPr="008E3F11" w:rsidTr="00C016D9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(Jia et al., 2011)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30.6/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76.9/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Jia</w:t>
            </w:r>
            <w:proofErr w:type="spellEnd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 et al., 2011)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4.4/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5.7/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1.9/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6.7/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(Zhang et al., 2012)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44.2/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18.5/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25.0/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112.6/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(Zhang et al., 2012)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(Zhang et al., 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(Zhang et al., 2013)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(Zhang et al., 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0.8/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(Zhang et al., 2013)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(Du et al., 2017)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7.7/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1.4/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0.4/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25.4/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(Du et al., 2017)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(Yan et al., </w:t>
            </w: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17.6 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(Yan et al., </w:t>
            </w: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(Minh et al., 2009)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16.0/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6.1/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74.0/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504.0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8.1/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156.0/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1140.0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13.0/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(Minh et al., 2009)</w:t>
            </w:r>
          </w:p>
        </w:tc>
      </w:tr>
      <w:tr w:rsidR="00C016D9" w:rsidRPr="008E3F11" w:rsidTr="00C016D9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(Chen et al., 2015)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187.0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0.8/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016D9" w:rsidRPr="008E3F11" w:rsidRDefault="00C016D9" w:rsidP="00C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(Chen et al., 2015)</w:t>
            </w:r>
          </w:p>
        </w:tc>
      </w:tr>
    </w:tbl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5"/>
        <w:gridCol w:w="936"/>
        <w:gridCol w:w="806"/>
        <w:gridCol w:w="936"/>
        <w:gridCol w:w="806"/>
        <w:gridCol w:w="1603"/>
        <w:gridCol w:w="806"/>
        <w:gridCol w:w="939"/>
        <w:gridCol w:w="804"/>
        <w:gridCol w:w="940"/>
        <w:gridCol w:w="804"/>
        <w:gridCol w:w="940"/>
        <w:gridCol w:w="1238"/>
        <w:gridCol w:w="1371"/>
      </w:tblGrid>
      <w:tr w:rsidR="00C016D9" w:rsidRPr="008E3F11" w:rsidTr="00C016D9">
        <w:trPr>
          <w:trHeight w:val="356"/>
        </w:trPr>
        <w:tc>
          <w:tcPr>
            <w:tcW w:w="355" w:type="pct"/>
            <w:tcBorders>
              <w:left w:val="nil"/>
              <w:bottom w:val="nil"/>
              <w:right w:val="nil"/>
            </w:tcBorders>
          </w:tcPr>
          <w:p w:rsidR="00C016D9" w:rsidRPr="008E3F11" w:rsidRDefault="00C016D9" w:rsidP="00C016D9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TMP</w:t>
            </w:r>
          </w:p>
        </w:tc>
        <w:tc>
          <w:tcPr>
            <w:tcW w:w="66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DOX</w:t>
            </w:r>
          </w:p>
        </w:tc>
        <w:tc>
          <w:tcPr>
            <w:tcW w:w="66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OTC</w:t>
            </w:r>
          </w:p>
        </w:tc>
        <w:tc>
          <w:tcPr>
            <w:tcW w:w="66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66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ERY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ROX</w:t>
            </w:r>
          </w:p>
        </w:tc>
        <w:tc>
          <w:tcPr>
            <w:tcW w:w="508" w:type="pct"/>
            <w:vMerge w:val="restart"/>
            <w:tcBorders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3F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References</w:t>
            </w:r>
          </w:p>
        </w:tc>
      </w:tr>
      <w:tr w:rsidR="00C016D9" w:rsidRPr="008E3F11" w:rsidTr="00C016D9">
        <w:trPr>
          <w:trHeight w:val="578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Coastal area in China</w:t>
            </w: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min/</w:t>
            </w:r>
          </w:p>
          <w:p w:rsidR="00C016D9" w:rsidRPr="008E3F11" w:rsidRDefault="00C016D9" w:rsidP="00C016D9">
            <w:pPr>
              <w:spacing w:line="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mean/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Frq</w:t>
            </w:r>
            <w:proofErr w:type="spellEnd"/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D9" w:rsidRPr="008E3F11" w:rsidTr="00C016D9"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Liaodong Bay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7.9/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(Jia et al., 2011)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eastAsia="Adobe 仿宋 Std R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eastAsia="Adobe 仿宋 Std R" w:hAnsi="Times New Roman" w:cs="Times New Roman"/>
                <w:sz w:val="24"/>
                <w:szCs w:val="24"/>
              </w:rPr>
              <w:t>Bohai</w:t>
            </w:r>
            <w:proofErr w:type="spellEnd"/>
            <w:r w:rsidRPr="008E3F11">
              <w:rPr>
                <w:rFonts w:ascii="Times New Roman" w:eastAsia="Adobe 仿宋 Std R" w:hAnsi="Times New Roman" w:cs="Times New Roman"/>
                <w:sz w:val="24"/>
                <w:szCs w:val="24"/>
              </w:rPr>
              <w:t xml:space="preserve"> Bay (In Summer)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69.8/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200.9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6.2/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Laizhou</w:t>
            </w:r>
            <w:proofErr w:type="spellEnd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 Bay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9.5/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329.5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1.8/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&lt;LOQ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1.31/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(Zhang et al., 2012)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North Yellow Sea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0.4/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&lt;LOQ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(Zhang et al., 2013)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Yellow Sea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&lt;LOQ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&lt;LOQ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al., 2013)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Yellow Sea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Yancheng</w:t>
            </w:r>
            <w:proofErr w:type="spellEnd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 Area)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2.7/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(Du et al., 2017)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East China and Yangtze Estuary (In July)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&lt;LOQ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8E3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0.2/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8E3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(Yan et al., 2013)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 xml:space="preserve">Victoria </w:t>
            </w:r>
            <w:proofErr w:type="spellStart"/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Habour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2.6/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52.0/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216.0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16.0/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30.0/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13.0/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118.0/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313.0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4.7/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213.0/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1730.0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5.5/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19.0/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(Minh et al., 2009)</w:t>
            </w:r>
          </w:p>
        </w:tc>
      </w:tr>
      <w:tr w:rsidR="00C016D9" w:rsidRPr="008E3F11" w:rsidTr="00C016D9"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Hailing Bay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4.24/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417.8/15163.0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78.5/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2305.0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18.5/</w:t>
            </w:r>
          </w:p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183.0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:rsidR="00C016D9" w:rsidRPr="008E3F11" w:rsidRDefault="00C016D9" w:rsidP="00C0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1">
              <w:rPr>
                <w:rFonts w:ascii="Times New Roman" w:hAnsi="Times New Roman" w:cs="Times New Roman"/>
                <w:noProof/>
                <w:sz w:val="24"/>
                <w:szCs w:val="24"/>
              </w:rPr>
              <w:t>(Chen et al., 2015)</w:t>
            </w:r>
          </w:p>
        </w:tc>
      </w:tr>
    </w:tbl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sz w:val="24"/>
          <w:szCs w:val="24"/>
        </w:rPr>
        <w:t>Frq</w:t>
      </w:r>
      <w:proofErr w:type="spellEnd"/>
      <w:r w:rsidRPr="00951967">
        <w:rPr>
          <w:rFonts w:ascii="Times New Roman" w:hAnsi="Times New Roman" w:cs="Times New Roman"/>
          <w:sz w:val="24"/>
          <w:szCs w:val="24"/>
        </w:rPr>
        <w:t>: Frequency</w:t>
      </w:r>
    </w:p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  <w:r w:rsidRPr="00951967">
        <w:rPr>
          <w:rFonts w:ascii="Times New Roman" w:hAnsi="Times New Roman" w:cs="Times New Roman"/>
          <w:sz w:val="24"/>
          <w:szCs w:val="24"/>
        </w:rPr>
        <w:t>ND: Not Detected</w:t>
      </w:r>
    </w:p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951967">
        <w:rPr>
          <w:rFonts w:ascii="Times New Roman" w:hAnsi="Times New Roman" w:cs="Times New Roman"/>
          <w:sz w:val="24"/>
          <w:szCs w:val="24"/>
        </w:rPr>
        <w:t xml:space="preserve"> “: Not Analyzed</w:t>
      </w:r>
    </w:p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C016D9">
      <w:pPr>
        <w:rPr>
          <w:rFonts w:ascii="Times New Roman" w:hAnsi="Times New Roman" w:cs="Times New Roman"/>
          <w:sz w:val="24"/>
          <w:szCs w:val="24"/>
        </w:rPr>
      </w:pPr>
    </w:p>
    <w:p w:rsidR="00C016D9" w:rsidRPr="00951967" w:rsidRDefault="00C016D9" w:rsidP="00951967">
      <w:pPr>
        <w:rPr>
          <w:rFonts w:ascii="Times New Roman" w:hAnsi="Times New Roman" w:cs="Times New Roman"/>
          <w:sz w:val="24"/>
          <w:szCs w:val="24"/>
        </w:rPr>
        <w:sectPr w:rsidR="00C016D9" w:rsidRPr="00951967" w:rsidSect="007A1F6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8039D" w:rsidRPr="00951967" w:rsidRDefault="0098039D" w:rsidP="0098039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kern w:val="0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Ecological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 xml:space="preserve"> risk quotients of antibiotics</w:t>
      </w:r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="00646F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proofErr w:type="spellStart"/>
      <w:r w:rsidR="006F09B5">
        <w:rPr>
          <w:rFonts w:ascii="Times New Roman" w:hAnsi="Times New Roman" w:cs="Times New Roman"/>
          <w:kern w:val="0"/>
          <w:sz w:val="24"/>
          <w:szCs w:val="24"/>
        </w:rPr>
        <w:t>Bohai</w:t>
      </w:r>
      <w:proofErr w:type="spellEnd"/>
      <w:r w:rsidR="006F09B5">
        <w:rPr>
          <w:rFonts w:ascii="Times New Roman" w:hAnsi="Times New Roman" w:cs="Times New Roman"/>
          <w:kern w:val="0"/>
          <w:sz w:val="24"/>
          <w:szCs w:val="24"/>
        </w:rPr>
        <w:t xml:space="preserve"> Bay</w:t>
      </w:r>
      <w:r w:rsidRPr="00951967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4"/>
        <w:gridCol w:w="2166"/>
        <w:gridCol w:w="1614"/>
        <w:gridCol w:w="1531"/>
        <w:gridCol w:w="1597"/>
      </w:tblGrid>
      <w:tr w:rsidR="0098039D" w:rsidRPr="0055081B" w:rsidTr="00097168">
        <w:trPr>
          <w:jc w:val="center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Antibiotics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Season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Mean 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9D" w:rsidRPr="00280E90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Min 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9D" w:rsidRPr="00280E90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Max 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184" w:rsidRPr="005544B9" w:rsidRDefault="00A12514" w:rsidP="00A125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single" w:sz="4" w:space="0" w:color="auto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3.8E-05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9.7E-05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5.7E-05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2.0E-04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AMP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2.3E-03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4.0E-03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PNC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2.2E-05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5.1E-05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1.2E-05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2.3E-05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CIP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F7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F7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F7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2.3E+00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1.3E+00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2.8E+00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ENR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81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81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81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7.7E+00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005184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1.7E+01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OFL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2.6E-02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2.0E-02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6.9E-02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bottom w:val="nil"/>
            </w:tcBorders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2.5E-03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005184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1.5E-02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SMX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6.2E-03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1.7E-03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1.6E-02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5.7E-03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1.6E-03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1.7E-02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TMP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2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9.0E-04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2.2E-04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2.1E-03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DOX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3.3E-02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2.3E-02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3.7E-02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6.5E-03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1.3E-03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1.3E-02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OTC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1.2E-02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005184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1.1E-01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7.3E-02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1.5E-02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1.5E-01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44B9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3.9E-03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1.9E-03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7.5E-03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3.0E-03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8.0E-04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1.1E-02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ERY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87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87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87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98039D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98039D" w:rsidRPr="0055081B" w:rsidRDefault="0098039D" w:rsidP="000971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5.9E-04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98039D" w:rsidRPr="005544B9" w:rsidRDefault="00005184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D0155">
              <w:rPr>
                <w:rFonts w:ascii="Times New Roman" w:hAnsi="Times New Roman" w:cs="Times New Roman"/>
                <w:sz w:val="24"/>
                <w:szCs w:val="24"/>
              </w:rPr>
              <w:t>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98039D" w:rsidRPr="005544B9" w:rsidRDefault="0098039D" w:rsidP="0009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sz w:val="24"/>
                <w:szCs w:val="24"/>
              </w:rPr>
              <w:t>8.0E-04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 w:val="restar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ROX</w:t>
            </w:r>
          </w:p>
        </w:tc>
        <w:tc>
          <w:tcPr>
            <w:tcW w:w="1271" w:type="pct"/>
            <w:tcBorders>
              <w:top w:val="nil"/>
              <w:bottom w:val="nil"/>
            </w:tcBorders>
            <w:vAlign w:val="center"/>
          </w:tcPr>
          <w:p w:rsidR="00005184" w:rsidRPr="005544B9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44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</w:p>
        </w:tc>
        <w:tc>
          <w:tcPr>
            <w:tcW w:w="947" w:type="pct"/>
            <w:tcBorders>
              <w:top w:val="nil"/>
              <w:bottom w:val="nil"/>
            </w:tcBorders>
          </w:tcPr>
          <w:p w:rsidR="00005184" w:rsidRPr="005544B9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0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0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0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  <w:tr w:rsidR="00005184" w:rsidRPr="0055081B" w:rsidTr="00097168">
        <w:trPr>
          <w:jc w:val="center"/>
        </w:trPr>
        <w:tc>
          <w:tcPr>
            <w:tcW w:w="947" w:type="pct"/>
            <w:vMerge/>
            <w:tcBorders>
              <w:top w:val="nil"/>
              <w:bottom w:val="single" w:sz="4" w:space="0" w:color="7F7F7F" w:themeColor="text1" w:themeTint="80"/>
            </w:tcBorders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5184" w:rsidRPr="0055081B" w:rsidRDefault="00005184" w:rsidP="0000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8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Winter</w:t>
            </w:r>
          </w:p>
        </w:tc>
        <w:tc>
          <w:tcPr>
            <w:tcW w:w="947" w:type="pct"/>
            <w:tcBorders>
              <w:top w:val="nil"/>
              <w:bottom w:val="single" w:sz="4" w:space="0" w:color="7F7F7F" w:themeColor="text1" w:themeTint="80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0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898" w:type="pct"/>
            <w:tcBorders>
              <w:top w:val="nil"/>
              <w:bottom w:val="single" w:sz="4" w:space="0" w:color="7F7F7F" w:themeColor="text1" w:themeTint="80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0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  <w:tc>
          <w:tcPr>
            <w:tcW w:w="937" w:type="pct"/>
            <w:tcBorders>
              <w:top w:val="nil"/>
              <w:bottom w:val="single" w:sz="4" w:space="0" w:color="7F7F7F" w:themeColor="text1" w:themeTint="80"/>
            </w:tcBorders>
          </w:tcPr>
          <w:p w:rsidR="00005184" w:rsidRPr="0055081B" w:rsidRDefault="00005184" w:rsidP="000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0">
              <w:rPr>
                <w:rFonts w:ascii="Times New Roman" w:hAnsi="Times New Roman" w:cs="Times New Roman"/>
                <w:sz w:val="24"/>
                <w:szCs w:val="24"/>
              </w:rPr>
              <w:t>0.0E+00</w:t>
            </w:r>
          </w:p>
        </w:tc>
      </w:tr>
    </w:tbl>
    <w:p w:rsidR="0098039D" w:rsidRP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D" w:rsidRDefault="00980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F6C" w:rsidRPr="00951967" w:rsidRDefault="009A139D" w:rsidP="009519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Aguilar-Macias O. L., Ojeda-Ramirez J. J.,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Campa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-Cordova A. I., Saucedo P. E., 2010.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of Natural and Commercial Probiotics for Improving Growth and Survival of the Pearl Oyster,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Pinctada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Mazatlanica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, During Late Hatchery and Early Field Culturing.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Journal of the World Aquaculture Society.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41, 447-454.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Ambili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Saravanan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Ramesh M,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Abhijith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Poopal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RK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Toxicological Effects of the Antibiotic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 Indian Major Carp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Labeo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rohita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Arch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Contam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64:494-503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Ando T, Nagase H,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Eguchi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Hirooka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T, Nakamura T, Miyamoto K, Hirata K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A novel method using cyanobacteria for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ecotoxicity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of veterinary antimicrobial agents.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26:601-606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Andreozzi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Caprio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Ciniglia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De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Champdore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Lo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Giudice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Marotta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Zuccato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E., 2004.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Antibiotics in the Environment: Occurrence in Italian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Stps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Fate, and Preliminary Assessment on Algal Toxicity of Amoxicillin.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Science &amp; Technology.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38, 6832-6838.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Backhaus T.,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Scholze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Grimme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H., 2000.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Single Substance and Mixture Toxicity of Quinolones to the Bioluminescent Bacterium Vibrio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Fischeri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Aquatic Toxicology.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49, 49-61.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Balompapueng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Munuswamy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N, Hagiwara A, Hirayama K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 of disinfectants on the hatching of marine rotifer resting eggs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Brachionus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plicatilis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Muller.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Aquac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 28:559-565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Baumann M., Weiss K.,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Maletzki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Schuessler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Schudoma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 Kopf W.,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Kuehnen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U., 2015.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Aquatic Toxicity of the Macrolide Antibiotic Clarithromycin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and Its Metabolites.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Chemosphere.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120, 192-198.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Brain RA, Johnson DJ, Richards SM, Sanderson H, Sibley PK, Solomon KR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Effects of 25 pharmaceutical compounds to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Lemna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gibba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a seven-day static-renewal test.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23:371-382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Brain RA, Ramirez AJ, Fulton BA, Chambliss CK, Brooks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BW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Herbicidal Effects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Sulfamethoxazole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Lemna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gibba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: Using p-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Aminobenzoic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Biomarker of Effect.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Technol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42:8965-8970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Bray WA, Williams RR,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Lightner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DV, Lawrence AL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Growth, survival and histological responses of the marine shrimp,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Litopenaeus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vannamei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three dosage levels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Aquaculture 258:97-108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Carballeira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De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Orte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Viana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G.,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DelValls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A.,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Carballeira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2012. Assessing the Toxicity of Chemical Compounds Associated with Land-Based Marine Fish Farms: The Sea Urchin Embryo Bioassay with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Paracentrotus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Lividus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Arbacia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Lixula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Archives of Environmental Contamination and Toxicology.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63, 249-261.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Cerezuela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Guardiola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Meseguer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J, Esteban MA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Increases in immune parameters by inulin and Bacillus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subtilis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dietary administration to gilthead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seabream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Sparus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aurata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did not correlate with disease resistance to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Photobacterium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damselae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Fish &amp; Shellfish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Immunol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32:1032-1040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 H., Liu S.,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X. R., Zhou G. J., Liu S. S.,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Yue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 Z., Sun K. F., Ying G. G., 2015. Antibiotics in the Coastal Environment of the Hailing Bay Region, South China Sea: Spatial Distribution, Source Analysis and Ecological Risks. Mar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Pollut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Bull. 95, 365-</w:t>
      </w:r>
      <w:r w:rsidR="00680A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73.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Constantine L. A.,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Huggett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B., 2010.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Comparison of the Chronic Effects of Human Pharmaceuticals on Two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Cladocerans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Daphnia Magna and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Ceriodaphnia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Dubia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Chemosphere.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80, 1069-1074.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Liguoro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Di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Leva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Dalla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Bona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Merlanti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Caporale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Radaelli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G., 2012. </w:t>
      </w: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Sublethal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Effects of Trimethoprim on Four Freshwater Organisms.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Ecotoxicology and Environmental Safety.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82, 114-121.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Orte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Carballeira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Viana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G.,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Carballeira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2013. Assessing the Toxicity of Chemical Compounds Associated with Marine Land-Based Fish Farms: The Use of Mini-Scale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Microalgal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Toxicity Tests.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Chemistry and Ecology.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29, 554-563.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 J., Zhao H., Liu S.,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H., Wang Y., Chen J., 2017. Antibiotics in the Coastal Water of the South Yellow Sea in China: Occurrence, Distribution and Ecological Risks.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Environ. 595, 521-527.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Eguchi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Nagase H, Ozawa M,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Endoh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YS,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Goto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Hirata K, Miyamoto K, Yoshimura H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of antimicrobial agents for veterinary use in the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ecotoxicity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using microalgae.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Chemosphere 57:1733-1738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Ferrari B., Mons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Vollat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Fraysse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Paxeus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N., Lo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Giudice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Pollio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Garric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2004.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Environmental Risk Assessment of Six Human Pharmaceuticals: Are the Current Environmental Risk Assessment Procedures Sufficient for the Protection of the Aquatic Environment?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Toxicology and Chemistry.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23, 1344-1354.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Halling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-Sorensen B., 2000. Algal Toxicity of Antibacterial Agents Used in Intensive Farming.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Chemosphere.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40, 731-739.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Harada A., Komori K.,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Nakada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N., Kitamura K., Suzuki Y., 2008.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Biological Effects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Ppcps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Aquatic Lives and Evaluation of River Waters Affected by Different Wastewater Treatment Levels.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Water Science and Technology.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58, 1541-1546.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Jia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Hu J., Wu X.,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Peng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H., Wu S., Dong Z., 2011.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Occurrence and Source Apportionment of Sulfonamides and Their Metabolites in Liaodong Bay and the Adjacent Liao River Basin, North China.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Toxicology and Chemistry.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1252-1260.</w:t>
      </w:r>
    </w:p>
    <w:p w:rsidR="00B51B86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Ji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Kim S, Han S,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Seo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J, Lee S, Park Y, Choi K,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Kho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YL, Kim PG, Park J, Choi K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Risk assessment of chlortetracycline,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sulfamethazine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, sulfathiazole, and erythromycin in aquatic environment: are the current environmental concentrations safe? Ecotoxicology 21:2031-2050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Kang HJ, K. Choi, M.Y.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,P.G</w:t>
      </w:r>
      <w:proofErr w:type="spellEnd"/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 Kim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Endocrine Disruption Induced by Some Sulfa Drugs and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Tetracyclines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Oryzias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latipes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Korean J Environ Health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32:227-234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Kreutzmann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HL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1977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effects of chloramphenicol and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haematopoiesis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European eel (Anguilla </w:t>
      </w: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anguilla</w:t>
      </w:r>
      <w:proofErr w:type="spellEnd"/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). Aquaculture 10:323-334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 ZH, Lu GH, Yang XF, Wang C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 and combined effects of selected pharmaceuticals at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sublethal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concentrations on multiple biomarkers in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Carassius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auratus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Ecotoxicology 21:353-361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 BY,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XP, Liu WQ,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Snoeijs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Guan C,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Tsui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MTK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Toxic effects of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erythromycin, ciprofloxacin and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sulfamethoxazole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photosynthetic apparatus in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Selenastrum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capricornutum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 Safety 74:1027-1035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B3E" w:rsidRPr="00951967" w:rsidRDefault="00F35B3E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Luo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Y., Mao D. Q.,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Rysz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Zhou D. X., Zhang H. J.,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L., Alvarez P. J. J., 2010.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Trends in Antibiotic Resistance Genes Occurrence in the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Haihe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River, China.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Science &amp; Technology.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44, 7220-7225.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 G., Li Z., Liu J., 2013.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Effects of Selected Pharmaceuticals on Growth, Reproduction and Feeding of Daphnia Magna.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Fresenius Environmental Bulletin.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2583-2589.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Madureira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TV, Rocha MJ,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Cruzeiro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Galante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MH,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Monteiro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RAF, Rocha E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toxicity potential of pharmaceuticals found in the Douro River estuary (Portugal): Assessing impacts on gonadal maturation with a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histopathological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stereological study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zebrafish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ovary and testis after sub-acute exposures.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Aquat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105:292-299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Minh T. B., Leung H. W.,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Loi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H., Chan W. H., So M. K., Mao J. Q., Choi D., Lam J. C.,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Zheng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G., Martin M., Lee J. H., Lam P. K., Richardson B. J., 2009. Antibiotics in the Hong Kong Metropolitan Area: Ubiquitous Distribution and Fate in Victoria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Harbour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Mar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Pollut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Bull. 58, 1052-</w:t>
      </w:r>
      <w:r w:rsidR="00680A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10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62.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Miranda C. D., Rojas R.,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Abarca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Hurtado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L., 2013.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Florfenicol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Treatments on the Intensive Larval Culture of the Chilean Scallop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Argopecten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Purpuratus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(Lamarck, 1819).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Aquaculture Research.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45, 16-30.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Nandurkar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HP, S.P.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Zambare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Tetracycline and chloramphenicol activity on the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rate of oxygen consumption in (the experimental animal) freshwater bivalve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Lamellidens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corrianus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(LEA).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Natl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 Life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7:45-48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 R., McDonough S.,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Ladewig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C. L.,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Soares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M. V.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Nogueira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J. A.,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Domingues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I., 2013.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Effects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Amoxicillin on Development and Biomarkers Activities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Zebrafish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Danio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Rerio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Toxicology and Pharmacology.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36, 903-912.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Park S, Choi K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Hazard assessment of commonly used agricultural antibiotics on aquatic ecosystems.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Ecotoxicology 17:526-538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Pascoe D.,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Karntanut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W., Muller C. T., 2003.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Pharmaceuticals Affect Freshwater Invertebrates?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 Study with the Cnidarian Hydra Vulgaris.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Chemosphere.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51, 521-528.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Qian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H., Pan X., Chen J., Zhou D., Chen Z., Zhang L., Fu Z., 2012. Analyses of Gene Expression and Physiological Changes in Microcystis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Aeruginosa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Reveal the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Phytotoxicities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Three Environmental Pollutants.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21, 847-859.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Quinn B, Gagne F,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Blaise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investigation into the acute and chronic toxicity of eleven pharmaceuticals (and their solvents) found in wastewater effluent on the cnidarian, Hydra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attenuata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Environ 389:306-314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86" w:rsidRPr="00951967" w:rsidRDefault="00B51B86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Rhee J.-S.,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Jeong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C.-B., Kim B.-M., Lee J.-S., 2012.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P-Glycoprotein (P-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Gp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the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Monogonont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Rotifer,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Brachionus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Koreanus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Molecular Characterization and Expression in Response to Pharmaceuticals.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Aquatic Toxicology.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114, 104-118.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Rijkers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GT,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Teunissen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Vanoosterom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Vanmuiswinkel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WB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1980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Immune-system of cyprinid fish - immunosuppressive effect of the antibiotic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oxytetracycline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carp (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cyprinus-carpio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l).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Aquaculture 19:177-189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 AA, Belden JB,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Lydy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MJ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Toxicity of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fluoroquinolone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antibiotics to aquatic organisms.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24:423-430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B3E" w:rsidRPr="00951967" w:rsidRDefault="00F35B3E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Seoane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Rioboo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Herrero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Cid A., 2014. Toxicity Induced by Three Antibiotics Commonly Used in Aquaculture on the Marine Microalga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Tetraselmis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Suecica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Kylin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Butch.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Marine Environmental Research.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101, 1-7.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SEPA (State Environmental Protection Administration)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Methods of monitoring and analysis for water and wastewater.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China Environmental Science Press.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Beijing. China.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HT, Silvestre F,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Scippo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Thome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JP, Phuong NT,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Kestemont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Acetylcholinesterase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as a biomarker of exposure to antibiotics and pesticides in the black tiger shrimp (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Penaeus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monodon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 Safety 72:1463-1470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 C., Wang Z., Zhang Y., Su R., 2017. Interspecies Interactions Reverse the Hazard of Antibiotics Exposure: A Plankton Community Study on Responses to Ciprofloxacin Hydrochloride.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Scientific Reports.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2373-2373.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Williams R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BTA,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Lightner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 V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Shrimp Antimicrobial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:Toxicity</w:t>
      </w:r>
      <w:proofErr w:type="spellEnd"/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Testing and Safety Determination for Twelve Antimicrobials with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Penaeid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Shrimp Larvae. J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Aquat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Anim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4:262-270</w:t>
      </w:r>
      <w:r w:rsidR="00921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F6C" w:rsidRPr="00951967" w:rsidRDefault="007A1F6C" w:rsidP="00C52DF3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LH, Ying GG, Su HC,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Stauber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JL, Adams MS,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Binet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297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0EC"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Growth-inhibiting effects of 12 antibacterial agents and their mixtures on the freshwater microalga Pseudokirchneriella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subcapitata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27:1201-1208</w:t>
      </w:r>
    </w:p>
    <w:p w:rsidR="00F35B3E" w:rsidRPr="00951967" w:rsidRDefault="00F35B3E" w:rsidP="00C52DF3">
      <w:pPr>
        <w:autoSpaceDE w:val="0"/>
        <w:autoSpaceDN w:val="0"/>
        <w:adjustRightIn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 C., Yang Y., Zhou J., Liu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Shi H., </w:t>
      </w: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proofErr w:type="spellEnd"/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L., 2013. Antibiotics in the Surface Water of the Yangtze Estuary: Occurrence, Distribution and Risk Assessment.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Pollut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 175, 22-</w:t>
      </w:r>
      <w:r w:rsidR="00680A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</w:p>
    <w:p w:rsidR="00F35B3E" w:rsidRPr="00951967" w:rsidRDefault="00F35B3E" w:rsidP="00C52DF3">
      <w:pPr>
        <w:autoSpaceDE w:val="0"/>
        <w:autoSpaceDN w:val="0"/>
        <w:adjustRightIn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Zaleska-Radziwill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Affek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Rybak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2014.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Ecotoxicity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Chosen Pharmaceuticals in Relation to Micro-Organisms-Risk Assessment.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Desalination and Water Treatment.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52, 3908-3917.</w:t>
      </w:r>
    </w:p>
    <w:p w:rsidR="00F35B3E" w:rsidRPr="00951967" w:rsidRDefault="00F35B3E" w:rsidP="00C52DF3">
      <w:pPr>
        <w:autoSpaceDE w:val="0"/>
        <w:autoSpaceDN w:val="0"/>
        <w:adjustRightIn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Zaleska-Radziwill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Lebkowska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Affek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Zarzeczna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2011.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Risk Assessment of Selected Pharmaceuticals Present in Surface Waters in Relation to Animals.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Archives of Environmental Protection.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37, 31-42.</w:t>
      </w:r>
    </w:p>
    <w:p w:rsidR="00F35B3E" w:rsidRPr="00951967" w:rsidRDefault="00F35B3E" w:rsidP="00C52DF3">
      <w:pPr>
        <w:autoSpaceDE w:val="0"/>
        <w:autoSpaceDN w:val="0"/>
        <w:adjustRightIn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 R., Zhang G.,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Zheng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Q., Tang J., Chen Y.,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Zou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Y., Chen X., 2012. Occurrence and Risks of Antibiotics in the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Laizhou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Bay, China: Impacts of River Discharge.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Ecotoxicol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Saf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. 80, 208-</w:t>
      </w:r>
      <w:r w:rsidR="00680A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</w:p>
    <w:p w:rsidR="007A1F6C" w:rsidRPr="00951967" w:rsidRDefault="00F35B3E" w:rsidP="00C52DF3">
      <w:pPr>
        <w:autoSpaceDE w:val="0"/>
        <w:autoSpaceDN w:val="0"/>
        <w:adjustRightIn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 R. J., Tang J. H., Li J.,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Zheng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Q., Liu D., Chen Y. J.,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Zou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D., Chen X. X.,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Luo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L., Zhang G., 2013. Antibiotics in the Offshore Waters of the </w:t>
      </w:r>
      <w:proofErr w:type="spell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Bohai</w:t>
      </w:r>
      <w:proofErr w:type="spell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 and the Yellow Sea in China: Occurrence, Distribution and Ecological Risks. </w:t>
      </w:r>
      <w:proofErr w:type="gramStart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>Environmental Pollution.</w:t>
      </w:r>
      <w:proofErr w:type="gramEnd"/>
      <w:r w:rsidRPr="0095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174, 71-77.</w:t>
      </w: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A1F6C" w:rsidRPr="00951967" w:rsidRDefault="007A1F6C" w:rsidP="009519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F3CAC" w:rsidRPr="00951967" w:rsidRDefault="007F3CAC" w:rsidP="00A17FA1">
      <w:pPr>
        <w:rPr>
          <w:rFonts w:ascii="Times New Roman" w:hAnsi="Times New Roman" w:cs="Times New Roman"/>
          <w:sz w:val="24"/>
          <w:szCs w:val="24"/>
        </w:rPr>
      </w:pPr>
    </w:p>
    <w:sectPr w:rsidR="007F3CAC" w:rsidRPr="00951967" w:rsidSect="007A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18" w:rsidRDefault="00263318" w:rsidP="00951967">
      <w:r>
        <w:separator/>
      </w:r>
    </w:p>
  </w:endnote>
  <w:endnote w:type="continuationSeparator" w:id="0">
    <w:p w:rsidR="00263318" w:rsidRDefault="00263318" w:rsidP="0095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18" w:rsidRDefault="00263318" w:rsidP="00951967">
      <w:r>
        <w:separator/>
      </w:r>
    </w:p>
  </w:footnote>
  <w:footnote w:type="continuationSeparator" w:id="0">
    <w:p w:rsidR="00263318" w:rsidRDefault="00263318" w:rsidP="0095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82A"/>
    <w:multiLevelType w:val="hybridMultilevel"/>
    <w:tmpl w:val="66A67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130C92"/>
    <w:multiLevelType w:val="hybridMultilevel"/>
    <w:tmpl w:val="D4704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1F6C"/>
    <w:rsid w:val="00005184"/>
    <w:rsid w:val="00083355"/>
    <w:rsid w:val="000963AF"/>
    <w:rsid w:val="00097168"/>
    <w:rsid w:val="000C058E"/>
    <w:rsid w:val="000C4E92"/>
    <w:rsid w:val="000E0269"/>
    <w:rsid w:val="000E1998"/>
    <w:rsid w:val="0013727A"/>
    <w:rsid w:val="00157407"/>
    <w:rsid w:val="001618CA"/>
    <w:rsid w:val="001673AF"/>
    <w:rsid w:val="001678E3"/>
    <w:rsid w:val="00174661"/>
    <w:rsid w:val="001B7D88"/>
    <w:rsid w:val="001F0D8C"/>
    <w:rsid w:val="00214FDC"/>
    <w:rsid w:val="00221615"/>
    <w:rsid w:val="00263318"/>
    <w:rsid w:val="00266ED3"/>
    <w:rsid w:val="00280E90"/>
    <w:rsid w:val="0029425C"/>
    <w:rsid w:val="002970EC"/>
    <w:rsid w:val="002C55DE"/>
    <w:rsid w:val="002F7C8D"/>
    <w:rsid w:val="00336FFB"/>
    <w:rsid w:val="003A2913"/>
    <w:rsid w:val="00401457"/>
    <w:rsid w:val="00423332"/>
    <w:rsid w:val="004B4931"/>
    <w:rsid w:val="004E16B1"/>
    <w:rsid w:val="0051221A"/>
    <w:rsid w:val="00526069"/>
    <w:rsid w:val="005544B9"/>
    <w:rsid w:val="00556B8B"/>
    <w:rsid w:val="00562ABA"/>
    <w:rsid w:val="005741C4"/>
    <w:rsid w:val="005907C7"/>
    <w:rsid w:val="00594A42"/>
    <w:rsid w:val="00596793"/>
    <w:rsid w:val="005A7258"/>
    <w:rsid w:val="005C1F26"/>
    <w:rsid w:val="00614EC1"/>
    <w:rsid w:val="00646F28"/>
    <w:rsid w:val="00653909"/>
    <w:rsid w:val="00680A37"/>
    <w:rsid w:val="00682A22"/>
    <w:rsid w:val="006F09B5"/>
    <w:rsid w:val="00724906"/>
    <w:rsid w:val="00756DB7"/>
    <w:rsid w:val="0078133F"/>
    <w:rsid w:val="00787613"/>
    <w:rsid w:val="00794286"/>
    <w:rsid w:val="0079779E"/>
    <w:rsid w:val="007A1F6C"/>
    <w:rsid w:val="007D16D4"/>
    <w:rsid w:val="007F3CAC"/>
    <w:rsid w:val="00804B25"/>
    <w:rsid w:val="008119EC"/>
    <w:rsid w:val="00864A09"/>
    <w:rsid w:val="008876FB"/>
    <w:rsid w:val="008D30BA"/>
    <w:rsid w:val="008E3F11"/>
    <w:rsid w:val="009211BC"/>
    <w:rsid w:val="00936F8D"/>
    <w:rsid w:val="00951967"/>
    <w:rsid w:val="00970D56"/>
    <w:rsid w:val="00971F5F"/>
    <w:rsid w:val="0098039D"/>
    <w:rsid w:val="009A139D"/>
    <w:rsid w:val="009D0155"/>
    <w:rsid w:val="00A05F43"/>
    <w:rsid w:val="00A12514"/>
    <w:rsid w:val="00A17EDD"/>
    <w:rsid w:val="00A17FA1"/>
    <w:rsid w:val="00A24D6D"/>
    <w:rsid w:val="00A30CAD"/>
    <w:rsid w:val="00A33840"/>
    <w:rsid w:val="00A41418"/>
    <w:rsid w:val="00A64B77"/>
    <w:rsid w:val="00B018FA"/>
    <w:rsid w:val="00B268D6"/>
    <w:rsid w:val="00B31F7C"/>
    <w:rsid w:val="00B32BE9"/>
    <w:rsid w:val="00B5064F"/>
    <w:rsid w:val="00B51B86"/>
    <w:rsid w:val="00B92CD9"/>
    <w:rsid w:val="00BA5C07"/>
    <w:rsid w:val="00BB56D2"/>
    <w:rsid w:val="00BC52D1"/>
    <w:rsid w:val="00BC7D0D"/>
    <w:rsid w:val="00BF1B07"/>
    <w:rsid w:val="00C016D9"/>
    <w:rsid w:val="00C52DF3"/>
    <w:rsid w:val="00C771A4"/>
    <w:rsid w:val="00C92AE9"/>
    <w:rsid w:val="00D26189"/>
    <w:rsid w:val="00D420D6"/>
    <w:rsid w:val="00D456C8"/>
    <w:rsid w:val="00D76432"/>
    <w:rsid w:val="00E07EA3"/>
    <w:rsid w:val="00E246DE"/>
    <w:rsid w:val="00E42478"/>
    <w:rsid w:val="00E63ECD"/>
    <w:rsid w:val="00ED3EEC"/>
    <w:rsid w:val="00F1355B"/>
    <w:rsid w:val="00F2603F"/>
    <w:rsid w:val="00F35B3E"/>
    <w:rsid w:val="00FB5288"/>
    <w:rsid w:val="00FD77CF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7A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7A1F6C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7A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7A1F6C"/>
    <w:rPr>
      <w:sz w:val="18"/>
      <w:szCs w:val="18"/>
    </w:rPr>
  </w:style>
  <w:style w:type="table" w:styleId="a5">
    <w:name w:val="Table Grid"/>
    <w:basedOn w:val="a1"/>
    <w:uiPriority w:val="39"/>
    <w:rsid w:val="007A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7A1F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a1"/>
    <w:next w:val="a5"/>
    <w:uiPriority w:val="39"/>
    <w:rsid w:val="007A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7A1F6C"/>
  </w:style>
  <w:style w:type="character" w:customStyle="1" w:styleId="Char">
    <w:name w:val="页眉 Char"/>
    <w:uiPriority w:val="99"/>
    <w:rsid w:val="007A1F6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uiPriority w:val="99"/>
    <w:rsid w:val="007A1F6C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5"/>
    <w:uiPriority w:val="59"/>
    <w:rsid w:val="007A1F6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7A1F6C"/>
  </w:style>
  <w:style w:type="paragraph" w:styleId="a7">
    <w:name w:val="Balloon Text"/>
    <w:basedOn w:val="a"/>
    <w:link w:val="Char2"/>
    <w:uiPriority w:val="99"/>
    <w:semiHidden/>
    <w:unhideWhenUsed/>
    <w:rsid w:val="007A1F6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a8">
    <w:name w:val="批注框文本 字符"/>
    <w:basedOn w:val="a0"/>
    <w:uiPriority w:val="99"/>
    <w:semiHidden/>
    <w:rsid w:val="007A1F6C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7A1F6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7A1F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1F6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7A1F6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A1F6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A1F6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A1F6C"/>
    <w:rPr>
      <w:rFonts w:ascii="等线" w:eastAsia="等线" w:hAnsi="等线"/>
      <w:noProof/>
      <w:sz w:val="20"/>
    </w:rPr>
  </w:style>
  <w:style w:type="table" w:customStyle="1" w:styleId="21">
    <w:name w:val="无格式表格 21"/>
    <w:basedOn w:val="a1"/>
    <w:uiPriority w:val="42"/>
    <w:rsid w:val="007A1F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7A1F6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A1F6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A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7A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7A1F6C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7A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7A1F6C"/>
    <w:rPr>
      <w:sz w:val="18"/>
      <w:szCs w:val="18"/>
    </w:rPr>
  </w:style>
  <w:style w:type="table" w:styleId="a5">
    <w:name w:val="Table Grid"/>
    <w:basedOn w:val="a1"/>
    <w:uiPriority w:val="39"/>
    <w:rsid w:val="007A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7A1F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a1"/>
    <w:next w:val="a5"/>
    <w:uiPriority w:val="39"/>
    <w:rsid w:val="007A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7A1F6C"/>
  </w:style>
  <w:style w:type="character" w:customStyle="1" w:styleId="Char">
    <w:name w:val="页眉 Char"/>
    <w:uiPriority w:val="99"/>
    <w:rsid w:val="007A1F6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uiPriority w:val="99"/>
    <w:rsid w:val="007A1F6C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5"/>
    <w:uiPriority w:val="59"/>
    <w:rsid w:val="007A1F6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7A1F6C"/>
  </w:style>
  <w:style w:type="paragraph" w:styleId="a7">
    <w:name w:val="Balloon Text"/>
    <w:basedOn w:val="a"/>
    <w:link w:val="Char2"/>
    <w:uiPriority w:val="99"/>
    <w:semiHidden/>
    <w:unhideWhenUsed/>
    <w:rsid w:val="007A1F6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a8">
    <w:name w:val="批注框文本 字符"/>
    <w:basedOn w:val="a0"/>
    <w:uiPriority w:val="99"/>
    <w:semiHidden/>
    <w:rsid w:val="007A1F6C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7A1F6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7A1F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1F6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7A1F6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A1F6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A1F6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A1F6C"/>
    <w:rPr>
      <w:rFonts w:ascii="等线" w:eastAsia="等线" w:hAnsi="等线"/>
      <w:noProof/>
      <w:sz w:val="20"/>
    </w:rPr>
  </w:style>
  <w:style w:type="table" w:customStyle="1" w:styleId="21">
    <w:name w:val="无格式表格 21"/>
    <w:basedOn w:val="a1"/>
    <w:uiPriority w:val="42"/>
    <w:rsid w:val="007A1F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7A1F6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A1F6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A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E3DC-6F12-4488-B527-D6D56F1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3790</Words>
  <Characters>21603</Characters>
  <Application>Microsoft Office Word</Application>
  <DocSecurity>0</DocSecurity>
  <Lines>180</Lines>
  <Paragraphs>50</Paragraphs>
  <ScaleCrop>false</ScaleCrop>
  <Company>000</Company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zyp</cp:lastModifiedBy>
  <cp:revision>4</cp:revision>
  <dcterms:created xsi:type="dcterms:W3CDTF">2018-02-06T15:36:00Z</dcterms:created>
  <dcterms:modified xsi:type="dcterms:W3CDTF">2018-04-09T15:11:00Z</dcterms:modified>
</cp:coreProperties>
</file>