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48" w:rsidRDefault="00551548"/>
    <w:p w:rsidR="008D260E" w:rsidRDefault="008D260E">
      <w:r>
        <w:t>Online Appendix</w:t>
      </w:r>
    </w:p>
    <w:p w:rsidR="008D260E" w:rsidRPr="00E067A2" w:rsidRDefault="008D260E" w:rsidP="008D260E">
      <w:pPr>
        <w:spacing w:after="240" w:line="259" w:lineRule="auto"/>
        <w:jc w:val="center"/>
        <w:rPr>
          <w:rFonts w:eastAsia="Arial"/>
          <w:sz w:val="24"/>
          <w:szCs w:val="24"/>
        </w:rPr>
      </w:pPr>
      <w:r w:rsidRPr="00E067A2">
        <w:rPr>
          <w:rFonts w:eastAsia="Arial"/>
          <w:sz w:val="24"/>
          <w:szCs w:val="24"/>
        </w:rPr>
        <w:t>Appendix</w:t>
      </w:r>
    </w:p>
    <w:tbl>
      <w:tblPr>
        <w:tblW w:w="8088" w:type="dxa"/>
        <w:jc w:val="center"/>
        <w:tblCellMar>
          <w:left w:w="0" w:type="dxa"/>
          <w:right w:w="0" w:type="dxa"/>
        </w:tblCellMar>
        <w:tblLook w:val="04A0" w:firstRow="1" w:lastRow="0" w:firstColumn="1" w:lastColumn="0" w:noHBand="0" w:noVBand="1"/>
      </w:tblPr>
      <w:tblGrid>
        <w:gridCol w:w="3834"/>
        <w:gridCol w:w="2127"/>
        <w:gridCol w:w="2127"/>
      </w:tblGrid>
      <w:tr w:rsidR="008D260E" w:rsidRPr="00E067A2" w:rsidTr="0008099D">
        <w:trPr>
          <w:jc w:val="center"/>
        </w:trPr>
        <w:tc>
          <w:tcPr>
            <w:tcW w:w="808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60E" w:rsidRPr="00E067A2" w:rsidRDefault="008D260E" w:rsidP="0008099D">
            <w:pPr>
              <w:jc w:val="center"/>
              <w:rPr>
                <w:color w:val="000000"/>
                <w:sz w:val="24"/>
                <w:szCs w:val="24"/>
                <w:lang w:val="en-CA"/>
              </w:rPr>
            </w:pPr>
            <w:r w:rsidRPr="00E067A2">
              <w:rPr>
                <w:color w:val="000000"/>
                <w:sz w:val="24"/>
                <w:szCs w:val="24"/>
                <w:lang w:val="en-CA"/>
              </w:rPr>
              <w:t>Table A1: Determinants of Pledge Fulfillment: 1994-2015 in Quebec (Binary Logit Model with 603 observations)</w:t>
            </w:r>
          </w:p>
        </w:tc>
      </w:tr>
      <w:tr w:rsidR="008D260E" w:rsidRPr="00E067A2" w:rsidTr="0008099D">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260E" w:rsidRPr="00E067A2" w:rsidRDefault="008D260E" w:rsidP="0008099D">
            <w:pPr>
              <w:spacing w:line="400" w:lineRule="atLeast"/>
              <w:jc w:val="center"/>
              <w:rPr>
                <w:color w:val="000000"/>
                <w:sz w:val="24"/>
                <w:szCs w:val="24"/>
                <w:lang w:val="en-CA"/>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D260E" w:rsidRPr="00E067A2" w:rsidRDefault="008D260E" w:rsidP="0008099D">
            <w:pPr>
              <w:jc w:val="center"/>
              <w:rPr>
                <w:color w:val="000000"/>
                <w:sz w:val="24"/>
                <w:szCs w:val="24"/>
                <w:lang w:val="en-GB"/>
              </w:rPr>
            </w:pPr>
            <w:r w:rsidRPr="00E067A2">
              <w:rPr>
                <w:color w:val="000000"/>
                <w:sz w:val="24"/>
                <w:szCs w:val="24"/>
                <w:lang w:val="en-GB"/>
              </w:rPr>
              <w:t xml:space="preserve">Coefficients </w:t>
            </w:r>
          </w:p>
          <w:p w:rsidR="008D260E" w:rsidRPr="00E067A2" w:rsidRDefault="008D260E" w:rsidP="0008099D">
            <w:pPr>
              <w:jc w:val="center"/>
              <w:rPr>
                <w:color w:val="000000"/>
                <w:sz w:val="24"/>
                <w:szCs w:val="24"/>
                <w:lang w:val="en-GB"/>
              </w:rPr>
            </w:pPr>
            <w:r w:rsidRPr="00E067A2">
              <w:rPr>
                <w:color w:val="000000"/>
                <w:sz w:val="24"/>
                <w:szCs w:val="24"/>
                <w:lang w:val="en-GB"/>
              </w:rPr>
              <w:t>(Standard Errors)</w:t>
            </w:r>
          </w:p>
        </w:tc>
        <w:tc>
          <w:tcPr>
            <w:tcW w:w="2127" w:type="dxa"/>
            <w:tcBorders>
              <w:top w:val="nil"/>
              <w:left w:val="nil"/>
              <w:bottom w:val="single" w:sz="8" w:space="0" w:color="auto"/>
              <w:right w:val="single" w:sz="8" w:space="0" w:color="auto"/>
            </w:tcBorders>
          </w:tcPr>
          <w:p w:rsidR="008D260E" w:rsidRPr="00E067A2" w:rsidRDefault="008D260E" w:rsidP="0008099D">
            <w:pPr>
              <w:jc w:val="center"/>
              <w:rPr>
                <w:color w:val="000000"/>
                <w:sz w:val="24"/>
                <w:szCs w:val="24"/>
                <w:lang w:val="en-GB"/>
              </w:rPr>
            </w:pPr>
            <w:r w:rsidRPr="00E067A2">
              <w:rPr>
                <w:sz w:val="24"/>
                <w:szCs w:val="24"/>
                <w:lang w:val="en-GB"/>
              </w:rPr>
              <w:t>Odds Ratios</w:t>
            </w:r>
          </w:p>
        </w:tc>
      </w:tr>
      <w:tr w:rsidR="008D260E" w:rsidRPr="00E067A2" w:rsidTr="0008099D">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60E" w:rsidRPr="00E067A2" w:rsidRDefault="008D260E" w:rsidP="0008099D">
            <w:pPr>
              <w:spacing w:line="400" w:lineRule="atLeast"/>
              <w:rPr>
                <w:sz w:val="24"/>
                <w:szCs w:val="24"/>
                <w:lang w:val="en-GB"/>
              </w:rPr>
            </w:pPr>
            <w:r w:rsidRPr="00E067A2">
              <w:rPr>
                <w:color w:val="000000"/>
                <w:sz w:val="24"/>
                <w:szCs w:val="24"/>
              </w:rPr>
              <w:t>Federal jurisdiction</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D260E" w:rsidRPr="00E067A2" w:rsidRDefault="008D260E" w:rsidP="0008099D">
            <w:pPr>
              <w:spacing w:line="400" w:lineRule="atLeast"/>
              <w:jc w:val="center"/>
              <w:rPr>
                <w:sz w:val="24"/>
                <w:szCs w:val="24"/>
                <w:lang w:val="en-GB"/>
              </w:rPr>
            </w:pPr>
            <w:r w:rsidRPr="00E067A2">
              <w:rPr>
                <w:sz w:val="24"/>
                <w:szCs w:val="24"/>
                <w:lang w:val="en-GB"/>
              </w:rPr>
              <w:t>-0.244 (0.289)</w:t>
            </w:r>
          </w:p>
        </w:tc>
        <w:tc>
          <w:tcPr>
            <w:tcW w:w="2127" w:type="dxa"/>
            <w:tcBorders>
              <w:top w:val="nil"/>
              <w:left w:val="nil"/>
              <w:bottom w:val="single" w:sz="8" w:space="0" w:color="auto"/>
              <w:right w:val="single" w:sz="8" w:space="0" w:color="auto"/>
            </w:tcBorders>
          </w:tcPr>
          <w:p w:rsidR="008D260E" w:rsidRPr="00E067A2" w:rsidRDefault="008D260E" w:rsidP="0008099D">
            <w:pPr>
              <w:spacing w:line="400" w:lineRule="atLeast"/>
              <w:jc w:val="center"/>
              <w:rPr>
                <w:sz w:val="24"/>
                <w:szCs w:val="24"/>
                <w:lang w:val="en-GB"/>
              </w:rPr>
            </w:pPr>
            <w:r w:rsidRPr="00E067A2">
              <w:rPr>
                <w:sz w:val="24"/>
                <w:szCs w:val="24"/>
                <w:lang w:val="en-GB"/>
              </w:rPr>
              <w:t>0.783</w:t>
            </w:r>
          </w:p>
        </w:tc>
      </w:tr>
      <w:tr w:rsidR="008D260E" w:rsidRPr="00E067A2" w:rsidTr="0008099D">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60E" w:rsidRPr="00E067A2" w:rsidRDefault="008D260E" w:rsidP="0008099D">
            <w:pPr>
              <w:spacing w:line="400" w:lineRule="atLeast"/>
              <w:rPr>
                <w:sz w:val="24"/>
                <w:szCs w:val="24"/>
                <w:lang w:val="en-GB"/>
              </w:rPr>
            </w:pPr>
            <w:r w:rsidRPr="00E067A2">
              <w:rPr>
                <w:color w:val="000000"/>
                <w:sz w:val="24"/>
                <w:szCs w:val="24"/>
              </w:rPr>
              <w:t>Federal Transfers</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D260E" w:rsidRPr="00E067A2" w:rsidRDefault="008D260E" w:rsidP="0008099D">
            <w:pPr>
              <w:spacing w:line="400" w:lineRule="atLeast"/>
              <w:jc w:val="center"/>
              <w:rPr>
                <w:sz w:val="24"/>
                <w:szCs w:val="24"/>
                <w:lang w:val="en-GB"/>
              </w:rPr>
            </w:pPr>
            <w:r w:rsidRPr="00E067A2">
              <w:rPr>
                <w:sz w:val="24"/>
                <w:szCs w:val="24"/>
                <w:lang w:val="en-GB"/>
              </w:rPr>
              <w:t>0.122* (0.048)</w:t>
            </w:r>
          </w:p>
        </w:tc>
        <w:tc>
          <w:tcPr>
            <w:tcW w:w="2127" w:type="dxa"/>
            <w:tcBorders>
              <w:top w:val="nil"/>
              <w:left w:val="nil"/>
              <w:bottom w:val="single" w:sz="8" w:space="0" w:color="auto"/>
              <w:right w:val="single" w:sz="8" w:space="0" w:color="auto"/>
            </w:tcBorders>
          </w:tcPr>
          <w:p w:rsidR="008D260E" w:rsidRPr="00E067A2" w:rsidRDefault="008D260E" w:rsidP="0008099D">
            <w:pPr>
              <w:spacing w:line="400" w:lineRule="atLeast"/>
              <w:jc w:val="center"/>
              <w:rPr>
                <w:sz w:val="24"/>
                <w:szCs w:val="24"/>
                <w:lang w:val="en-GB"/>
              </w:rPr>
            </w:pPr>
            <w:r w:rsidRPr="00E067A2">
              <w:rPr>
                <w:sz w:val="24"/>
                <w:szCs w:val="24"/>
                <w:lang w:val="en-GB"/>
              </w:rPr>
              <w:t>1.130</w:t>
            </w:r>
          </w:p>
        </w:tc>
      </w:tr>
      <w:tr w:rsidR="008D260E" w:rsidRPr="00E067A2" w:rsidTr="0008099D">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60E" w:rsidRPr="00E067A2" w:rsidRDefault="008D260E" w:rsidP="0008099D">
            <w:pPr>
              <w:spacing w:line="400" w:lineRule="atLeast"/>
              <w:rPr>
                <w:sz w:val="24"/>
                <w:szCs w:val="24"/>
                <w:lang w:val="en-GB"/>
              </w:rPr>
            </w:pPr>
            <w:r w:rsidRPr="00E067A2">
              <w:rPr>
                <w:color w:val="000000"/>
                <w:sz w:val="24"/>
                <w:szCs w:val="24"/>
              </w:rPr>
              <w:t>Budget Balance</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D260E" w:rsidRPr="00E067A2" w:rsidRDefault="008D260E" w:rsidP="0008099D">
            <w:pPr>
              <w:spacing w:line="400" w:lineRule="atLeast"/>
              <w:jc w:val="center"/>
              <w:rPr>
                <w:sz w:val="24"/>
                <w:szCs w:val="24"/>
                <w:lang w:val="en-GB"/>
              </w:rPr>
            </w:pPr>
            <w:r w:rsidRPr="00E067A2">
              <w:rPr>
                <w:sz w:val="24"/>
                <w:szCs w:val="24"/>
                <w:lang w:val="en-GB"/>
              </w:rPr>
              <w:t>-0.000* (0.000)</w:t>
            </w:r>
          </w:p>
        </w:tc>
        <w:tc>
          <w:tcPr>
            <w:tcW w:w="2127" w:type="dxa"/>
            <w:tcBorders>
              <w:top w:val="nil"/>
              <w:left w:val="nil"/>
              <w:bottom w:val="single" w:sz="8" w:space="0" w:color="auto"/>
              <w:right w:val="single" w:sz="8" w:space="0" w:color="auto"/>
            </w:tcBorders>
          </w:tcPr>
          <w:p w:rsidR="008D260E" w:rsidRPr="00E067A2" w:rsidRDefault="008D260E" w:rsidP="0008099D">
            <w:pPr>
              <w:spacing w:line="400" w:lineRule="atLeast"/>
              <w:jc w:val="center"/>
              <w:rPr>
                <w:sz w:val="24"/>
                <w:szCs w:val="24"/>
                <w:lang w:val="en-GB"/>
              </w:rPr>
            </w:pPr>
            <w:r w:rsidRPr="00E067A2">
              <w:rPr>
                <w:sz w:val="24"/>
                <w:szCs w:val="24"/>
                <w:lang w:val="en-GB"/>
              </w:rPr>
              <w:t>0.999</w:t>
            </w:r>
          </w:p>
        </w:tc>
      </w:tr>
      <w:tr w:rsidR="008D260E" w:rsidRPr="00E067A2" w:rsidTr="0008099D">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60E" w:rsidRPr="00E067A2" w:rsidRDefault="008D260E" w:rsidP="0008099D">
            <w:pPr>
              <w:spacing w:line="400" w:lineRule="atLeast"/>
              <w:rPr>
                <w:sz w:val="24"/>
                <w:szCs w:val="24"/>
                <w:lang w:val="en-GB"/>
              </w:rPr>
            </w:pPr>
            <w:r w:rsidRPr="00E067A2">
              <w:rPr>
                <w:color w:val="000000"/>
                <w:sz w:val="24"/>
                <w:szCs w:val="24"/>
              </w:rPr>
              <w:t>Pledge Type (Reference=Status Quo)</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D260E" w:rsidRPr="00E067A2" w:rsidRDefault="008D260E" w:rsidP="0008099D">
            <w:pPr>
              <w:spacing w:line="400" w:lineRule="atLeast"/>
              <w:jc w:val="center"/>
              <w:rPr>
                <w:sz w:val="24"/>
                <w:szCs w:val="24"/>
                <w:lang w:val="en-GB"/>
              </w:rPr>
            </w:pPr>
          </w:p>
        </w:tc>
        <w:tc>
          <w:tcPr>
            <w:tcW w:w="2127" w:type="dxa"/>
            <w:tcBorders>
              <w:top w:val="nil"/>
              <w:left w:val="nil"/>
              <w:bottom w:val="single" w:sz="8" w:space="0" w:color="auto"/>
              <w:right w:val="single" w:sz="8" w:space="0" w:color="auto"/>
            </w:tcBorders>
          </w:tcPr>
          <w:p w:rsidR="008D260E" w:rsidRPr="00E067A2" w:rsidRDefault="008D260E" w:rsidP="0008099D">
            <w:pPr>
              <w:spacing w:line="400" w:lineRule="atLeast"/>
              <w:jc w:val="center"/>
              <w:rPr>
                <w:sz w:val="24"/>
                <w:szCs w:val="24"/>
                <w:lang w:val="en-GB"/>
              </w:rPr>
            </w:pPr>
          </w:p>
        </w:tc>
      </w:tr>
      <w:tr w:rsidR="008D260E" w:rsidRPr="00E067A2" w:rsidTr="0008099D">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60E" w:rsidRPr="00E067A2" w:rsidRDefault="008D260E" w:rsidP="0008099D">
            <w:pPr>
              <w:spacing w:line="400" w:lineRule="atLeast"/>
              <w:rPr>
                <w:sz w:val="24"/>
                <w:szCs w:val="24"/>
                <w:lang w:val="en-GB"/>
              </w:rPr>
            </w:pPr>
            <w:r w:rsidRPr="00E067A2">
              <w:rPr>
                <w:color w:val="000000"/>
                <w:sz w:val="24"/>
                <w:szCs w:val="24"/>
              </w:rPr>
              <w:t>   Expand Spending/Cut Taxes</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D260E" w:rsidRPr="00E067A2" w:rsidRDefault="008D260E" w:rsidP="0008099D">
            <w:pPr>
              <w:spacing w:line="400" w:lineRule="atLeast"/>
              <w:jc w:val="center"/>
              <w:rPr>
                <w:sz w:val="24"/>
                <w:szCs w:val="24"/>
                <w:lang w:val="en-GB"/>
              </w:rPr>
            </w:pPr>
            <w:r w:rsidRPr="00E067A2">
              <w:rPr>
                <w:sz w:val="24"/>
                <w:szCs w:val="24"/>
                <w:lang w:val="en-GB"/>
              </w:rPr>
              <w:t>-0.479 (0.333)</w:t>
            </w:r>
          </w:p>
        </w:tc>
        <w:tc>
          <w:tcPr>
            <w:tcW w:w="2127" w:type="dxa"/>
            <w:tcBorders>
              <w:top w:val="nil"/>
              <w:left w:val="nil"/>
              <w:bottom w:val="single" w:sz="8" w:space="0" w:color="auto"/>
              <w:right w:val="single" w:sz="8" w:space="0" w:color="auto"/>
            </w:tcBorders>
          </w:tcPr>
          <w:p w:rsidR="008D260E" w:rsidRPr="00E067A2" w:rsidRDefault="008D260E" w:rsidP="0008099D">
            <w:pPr>
              <w:spacing w:line="400" w:lineRule="atLeast"/>
              <w:jc w:val="center"/>
              <w:rPr>
                <w:sz w:val="24"/>
                <w:szCs w:val="24"/>
                <w:lang w:val="en-GB"/>
              </w:rPr>
            </w:pPr>
            <w:r w:rsidRPr="00E067A2">
              <w:rPr>
                <w:sz w:val="24"/>
                <w:szCs w:val="24"/>
                <w:lang w:val="en-GB"/>
              </w:rPr>
              <w:t>0.619</w:t>
            </w:r>
          </w:p>
        </w:tc>
      </w:tr>
      <w:tr w:rsidR="008D260E" w:rsidRPr="00E067A2" w:rsidTr="0008099D">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60E" w:rsidRPr="00E067A2" w:rsidRDefault="008D260E" w:rsidP="0008099D">
            <w:pPr>
              <w:spacing w:line="400" w:lineRule="atLeast"/>
              <w:rPr>
                <w:sz w:val="24"/>
                <w:szCs w:val="24"/>
                <w:lang w:val="en-GB"/>
              </w:rPr>
            </w:pPr>
            <w:r w:rsidRPr="00E067A2">
              <w:rPr>
                <w:color w:val="000000"/>
                <w:sz w:val="24"/>
                <w:szCs w:val="24"/>
              </w:rPr>
              <w:t>   Contract Spending/Increase Taxes</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D260E" w:rsidRPr="00E067A2" w:rsidRDefault="008D260E" w:rsidP="0008099D">
            <w:pPr>
              <w:spacing w:line="400" w:lineRule="atLeast"/>
              <w:jc w:val="center"/>
              <w:rPr>
                <w:sz w:val="24"/>
                <w:szCs w:val="24"/>
                <w:lang w:val="en-GB"/>
              </w:rPr>
            </w:pPr>
            <w:r w:rsidRPr="00E067A2">
              <w:rPr>
                <w:sz w:val="24"/>
                <w:szCs w:val="24"/>
                <w:lang w:val="en-GB"/>
              </w:rPr>
              <w:t>-0.962 (0.497)</w:t>
            </w:r>
          </w:p>
        </w:tc>
        <w:tc>
          <w:tcPr>
            <w:tcW w:w="2127" w:type="dxa"/>
            <w:tcBorders>
              <w:top w:val="nil"/>
              <w:left w:val="nil"/>
              <w:bottom w:val="single" w:sz="8" w:space="0" w:color="auto"/>
              <w:right w:val="single" w:sz="8" w:space="0" w:color="auto"/>
            </w:tcBorders>
          </w:tcPr>
          <w:p w:rsidR="008D260E" w:rsidRPr="00E067A2" w:rsidRDefault="008D260E" w:rsidP="0008099D">
            <w:pPr>
              <w:spacing w:line="400" w:lineRule="atLeast"/>
              <w:jc w:val="center"/>
              <w:rPr>
                <w:sz w:val="24"/>
                <w:szCs w:val="24"/>
                <w:lang w:val="en-GB"/>
              </w:rPr>
            </w:pPr>
            <w:r w:rsidRPr="00E067A2">
              <w:rPr>
                <w:sz w:val="24"/>
                <w:szCs w:val="24"/>
                <w:lang w:val="en-GB"/>
              </w:rPr>
              <w:t>0.382</w:t>
            </w:r>
          </w:p>
        </w:tc>
      </w:tr>
      <w:tr w:rsidR="008D260E" w:rsidRPr="00E067A2" w:rsidTr="0008099D">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60E" w:rsidRPr="00E067A2" w:rsidRDefault="008D260E" w:rsidP="0008099D">
            <w:pPr>
              <w:spacing w:line="400" w:lineRule="atLeast"/>
              <w:rPr>
                <w:sz w:val="24"/>
                <w:szCs w:val="24"/>
                <w:lang w:val="en-GB"/>
              </w:rPr>
            </w:pPr>
            <w:r w:rsidRPr="00E067A2">
              <w:rPr>
                <w:color w:val="000000"/>
                <w:sz w:val="24"/>
                <w:szCs w:val="24"/>
              </w:rPr>
              <w:t>   Other Change</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D260E" w:rsidRPr="00E067A2" w:rsidRDefault="008D260E" w:rsidP="0008099D">
            <w:pPr>
              <w:spacing w:line="400" w:lineRule="atLeast"/>
              <w:jc w:val="center"/>
              <w:rPr>
                <w:sz w:val="24"/>
                <w:szCs w:val="24"/>
                <w:lang w:val="en-GB"/>
              </w:rPr>
            </w:pPr>
            <w:r w:rsidRPr="00E067A2">
              <w:rPr>
                <w:sz w:val="24"/>
                <w:szCs w:val="24"/>
                <w:lang w:val="en-GB"/>
              </w:rPr>
              <w:t>-0.457 (0.345)</w:t>
            </w:r>
          </w:p>
        </w:tc>
        <w:tc>
          <w:tcPr>
            <w:tcW w:w="2127" w:type="dxa"/>
            <w:tcBorders>
              <w:top w:val="nil"/>
              <w:left w:val="nil"/>
              <w:bottom w:val="single" w:sz="8" w:space="0" w:color="auto"/>
              <w:right w:val="single" w:sz="8" w:space="0" w:color="auto"/>
            </w:tcBorders>
          </w:tcPr>
          <w:p w:rsidR="008D260E" w:rsidRPr="00E067A2" w:rsidRDefault="008D260E" w:rsidP="0008099D">
            <w:pPr>
              <w:spacing w:line="400" w:lineRule="atLeast"/>
              <w:jc w:val="center"/>
              <w:rPr>
                <w:sz w:val="24"/>
                <w:szCs w:val="24"/>
                <w:lang w:val="en-GB"/>
              </w:rPr>
            </w:pPr>
            <w:r w:rsidRPr="00E067A2">
              <w:rPr>
                <w:sz w:val="24"/>
                <w:szCs w:val="24"/>
                <w:lang w:val="en-GB"/>
              </w:rPr>
              <w:t>0.633</w:t>
            </w:r>
          </w:p>
        </w:tc>
      </w:tr>
      <w:tr w:rsidR="008D260E" w:rsidRPr="00E067A2" w:rsidTr="0008099D">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60E" w:rsidRPr="00E067A2" w:rsidRDefault="008D260E" w:rsidP="0008099D">
            <w:pPr>
              <w:spacing w:line="400" w:lineRule="atLeast"/>
              <w:rPr>
                <w:sz w:val="24"/>
                <w:szCs w:val="24"/>
                <w:lang w:val="en-GB"/>
              </w:rPr>
            </w:pPr>
            <w:r w:rsidRPr="00E067A2">
              <w:rPr>
                <w:color w:val="000000"/>
                <w:sz w:val="24"/>
                <w:szCs w:val="24"/>
              </w:rPr>
              <w:t>   Outcome</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D260E" w:rsidRPr="00E067A2" w:rsidRDefault="008D260E" w:rsidP="0008099D">
            <w:pPr>
              <w:spacing w:line="400" w:lineRule="atLeast"/>
              <w:jc w:val="center"/>
              <w:rPr>
                <w:sz w:val="24"/>
                <w:szCs w:val="24"/>
                <w:lang w:val="en-GB"/>
              </w:rPr>
            </w:pPr>
            <w:r w:rsidRPr="00E067A2">
              <w:rPr>
                <w:sz w:val="24"/>
                <w:szCs w:val="24"/>
                <w:lang w:val="en-GB"/>
              </w:rPr>
              <w:t>-0.265 (0.381)</w:t>
            </w:r>
          </w:p>
        </w:tc>
        <w:tc>
          <w:tcPr>
            <w:tcW w:w="2127" w:type="dxa"/>
            <w:tcBorders>
              <w:top w:val="nil"/>
              <w:left w:val="nil"/>
              <w:bottom w:val="single" w:sz="8" w:space="0" w:color="auto"/>
              <w:right w:val="single" w:sz="8" w:space="0" w:color="auto"/>
            </w:tcBorders>
          </w:tcPr>
          <w:p w:rsidR="008D260E" w:rsidRPr="00E067A2" w:rsidRDefault="008D260E" w:rsidP="0008099D">
            <w:pPr>
              <w:spacing w:line="400" w:lineRule="atLeast"/>
              <w:jc w:val="center"/>
              <w:rPr>
                <w:sz w:val="24"/>
                <w:szCs w:val="24"/>
                <w:lang w:val="en-GB"/>
              </w:rPr>
            </w:pPr>
            <w:r w:rsidRPr="00E067A2">
              <w:rPr>
                <w:sz w:val="24"/>
                <w:szCs w:val="24"/>
                <w:lang w:val="en-GB"/>
              </w:rPr>
              <w:t>0.767</w:t>
            </w:r>
          </w:p>
        </w:tc>
      </w:tr>
      <w:tr w:rsidR="008D260E" w:rsidRPr="00E067A2" w:rsidTr="0008099D">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60E" w:rsidRPr="00E067A2" w:rsidRDefault="008D260E" w:rsidP="0008099D">
            <w:pPr>
              <w:spacing w:line="400" w:lineRule="atLeast"/>
              <w:rPr>
                <w:sz w:val="24"/>
                <w:szCs w:val="24"/>
                <w:lang w:val="en-GB"/>
              </w:rPr>
            </w:pPr>
            <w:r w:rsidRPr="00E067A2">
              <w:rPr>
                <w:color w:val="000000"/>
                <w:sz w:val="24"/>
                <w:szCs w:val="24"/>
              </w:rPr>
              <w:t>Party: PQ</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D260E" w:rsidRPr="00E067A2" w:rsidRDefault="008D260E" w:rsidP="0008099D">
            <w:pPr>
              <w:spacing w:line="400" w:lineRule="atLeast"/>
              <w:jc w:val="center"/>
              <w:rPr>
                <w:sz w:val="24"/>
                <w:szCs w:val="24"/>
                <w:lang w:val="en-GB"/>
              </w:rPr>
            </w:pPr>
            <w:r w:rsidRPr="00E067A2">
              <w:rPr>
                <w:sz w:val="24"/>
                <w:szCs w:val="24"/>
                <w:lang w:val="en-GB"/>
              </w:rPr>
              <w:t>1.398*** (0.349)</w:t>
            </w:r>
          </w:p>
        </w:tc>
        <w:tc>
          <w:tcPr>
            <w:tcW w:w="2127" w:type="dxa"/>
            <w:tcBorders>
              <w:top w:val="nil"/>
              <w:left w:val="nil"/>
              <w:bottom w:val="single" w:sz="8" w:space="0" w:color="auto"/>
              <w:right w:val="single" w:sz="8" w:space="0" w:color="auto"/>
            </w:tcBorders>
          </w:tcPr>
          <w:p w:rsidR="008D260E" w:rsidRPr="00E067A2" w:rsidRDefault="008D260E" w:rsidP="0008099D">
            <w:pPr>
              <w:spacing w:line="400" w:lineRule="atLeast"/>
              <w:jc w:val="center"/>
              <w:rPr>
                <w:sz w:val="24"/>
                <w:szCs w:val="24"/>
                <w:lang w:val="en-GB"/>
              </w:rPr>
            </w:pPr>
            <w:r w:rsidRPr="00E067A2">
              <w:rPr>
                <w:sz w:val="24"/>
                <w:szCs w:val="24"/>
                <w:lang w:val="en-GB"/>
              </w:rPr>
              <w:t>4.049</w:t>
            </w:r>
          </w:p>
        </w:tc>
      </w:tr>
      <w:tr w:rsidR="008D260E" w:rsidRPr="00E067A2" w:rsidTr="0008099D">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60E" w:rsidRPr="00E067A2" w:rsidRDefault="008D260E" w:rsidP="0008099D">
            <w:pPr>
              <w:spacing w:line="400" w:lineRule="atLeast"/>
              <w:rPr>
                <w:sz w:val="24"/>
                <w:szCs w:val="24"/>
                <w:lang w:val="en-GB"/>
              </w:rPr>
            </w:pPr>
            <w:r w:rsidRPr="00E067A2">
              <w:rPr>
                <w:color w:val="000000"/>
                <w:sz w:val="24"/>
                <w:szCs w:val="24"/>
              </w:rPr>
              <w:t>Interparty Agreement</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D260E" w:rsidRPr="00E067A2" w:rsidRDefault="008D260E" w:rsidP="0008099D">
            <w:pPr>
              <w:spacing w:line="400" w:lineRule="atLeast"/>
              <w:jc w:val="center"/>
              <w:rPr>
                <w:sz w:val="24"/>
                <w:szCs w:val="24"/>
                <w:lang w:val="en-GB"/>
              </w:rPr>
            </w:pPr>
            <w:r w:rsidRPr="00E067A2">
              <w:rPr>
                <w:sz w:val="24"/>
                <w:szCs w:val="24"/>
                <w:lang w:val="en-GB"/>
              </w:rPr>
              <w:t>0.383* (0.191)</w:t>
            </w:r>
          </w:p>
        </w:tc>
        <w:tc>
          <w:tcPr>
            <w:tcW w:w="2127" w:type="dxa"/>
            <w:tcBorders>
              <w:top w:val="nil"/>
              <w:left w:val="nil"/>
              <w:bottom w:val="single" w:sz="8" w:space="0" w:color="auto"/>
              <w:right w:val="single" w:sz="8" w:space="0" w:color="auto"/>
            </w:tcBorders>
          </w:tcPr>
          <w:p w:rsidR="008D260E" w:rsidRPr="00E067A2" w:rsidRDefault="008D260E" w:rsidP="0008099D">
            <w:pPr>
              <w:spacing w:line="400" w:lineRule="atLeast"/>
              <w:jc w:val="center"/>
              <w:rPr>
                <w:sz w:val="24"/>
                <w:szCs w:val="24"/>
                <w:lang w:val="en-GB"/>
              </w:rPr>
            </w:pPr>
            <w:r w:rsidRPr="00E067A2">
              <w:rPr>
                <w:sz w:val="24"/>
                <w:szCs w:val="24"/>
                <w:lang w:val="en-GB"/>
              </w:rPr>
              <w:t>1.466</w:t>
            </w:r>
          </w:p>
        </w:tc>
      </w:tr>
      <w:tr w:rsidR="008D260E" w:rsidRPr="00E067A2" w:rsidTr="0008099D">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60E" w:rsidRPr="00E067A2" w:rsidRDefault="008D260E" w:rsidP="0008099D">
            <w:pPr>
              <w:spacing w:line="400" w:lineRule="atLeast"/>
              <w:rPr>
                <w:sz w:val="24"/>
                <w:szCs w:val="24"/>
                <w:lang w:val="en-GB"/>
              </w:rPr>
            </w:pPr>
            <w:r w:rsidRPr="00E067A2">
              <w:rPr>
                <w:color w:val="000000"/>
                <w:sz w:val="24"/>
                <w:szCs w:val="24"/>
              </w:rPr>
              <w:t>Majority Government</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D260E" w:rsidRPr="00E067A2" w:rsidRDefault="008D260E" w:rsidP="0008099D">
            <w:pPr>
              <w:spacing w:line="400" w:lineRule="atLeast"/>
              <w:jc w:val="center"/>
              <w:rPr>
                <w:sz w:val="24"/>
                <w:szCs w:val="24"/>
                <w:lang w:val="en-GB"/>
              </w:rPr>
            </w:pPr>
            <w:r w:rsidRPr="00E067A2">
              <w:rPr>
                <w:sz w:val="24"/>
                <w:szCs w:val="24"/>
                <w:lang w:val="en-GB"/>
              </w:rPr>
              <w:t>0.278 (0.222)</w:t>
            </w:r>
          </w:p>
        </w:tc>
        <w:tc>
          <w:tcPr>
            <w:tcW w:w="2127" w:type="dxa"/>
            <w:tcBorders>
              <w:top w:val="nil"/>
              <w:left w:val="nil"/>
              <w:bottom w:val="single" w:sz="8" w:space="0" w:color="auto"/>
              <w:right w:val="single" w:sz="8" w:space="0" w:color="auto"/>
            </w:tcBorders>
          </w:tcPr>
          <w:p w:rsidR="008D260E" w:rsidRPr="00E067A2" w:rsidRDefault="008D260E" w:rsidP="0008099D">
            <w:pPr>
              <w:spacing w:line="400" w:lineRule="atLeast"/>
              <w:jc w:val="center"/>
              <w:rPr>
                <w:sz w:val="24"/>
                <w:szCs w:val="24"/>
                <w:lang w:val="en-GB"/>
              </w:rPr>
            </w:pPr>
            <w:r w:rsidRPr="00E067A2">
              <w:rPr>
                <w:sz w:val="24"/>
                <w:szCs w:val="24"/>
                <w:lang w:val="en-GB"/>
              </w:rPr>
              <w:t>1.320</w:t>
            </w:r>
          </w:p>
        </w:tc>
      </w:tr>
      <w:tr w:rsidR="008D260E" w:rsidRPr="00E067A2" w:rsidTr="0008099D">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60E" w:rsidRPr="00E067A2" w:rsidRDefault="008D260E" w:rsidP="0008099D">
            <w:pPr>
              <w:spacing w:line="400" w:lineRule="atLeast"/>
              <w:rPr>
                <w:sz w:val="24"/>
                <w:szCs w:val="24"/>
                <w:lang w:val="en-GB"/>
              </w:rPr>
            </w:pPr>
            <w:r w:rsidRPr="00E067A2">
              <w:rPr>
                <w:color w:val="000000"/>
                <w:sz w:val="24"/>
                <w:szCs w:val="24"/>
              </w:rPr>
              <w:t>Newly Elected Government</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D260E" w:rsidRPr="00E067A2" w:rsidRDefault="008D260E" w:rsidP="0008099D">
            <w:pPr>
              <w:spacing w:line="400" w:lineRule="atLeast"/>
              <w:jc w:val="center"/>
              <w:rPr>
                <w:sz w:val="24"/>
                <w:szCs w:val="24"/>
                <w:lang w:val="en-GB"/>
              </w:rPr>
            </w:pPr>
            <w:r w:rsidRPr="00E067A2">
              <w:rPr>
                <w:sz w:val="24"/>
                <w:szCs w:val="24"/>
                <w:lang w:val="en-GB"/>
              </w:rPr>
              <w:t>-0.162 (0.206)</w:t>
            </w:r>
          </w:p>
        </w:tc>
        <w:tc>
          <w:tcPr>
            <w:tcW w:w="2127" w:type="dxa"/>
            <w:tcBorders>
              <w:top w:val="nil"/>
              <w:left w:val="nil"/>
              <w:bottom w:val="single" w:sz="8" w:space="0" w:color="auto"/>
              <w:right w:val="single" w:sz="8" w:space="0" w:color="auto"/>
            </w:tcBorders>
          </w:tcPr>
          <w:p w:rsidR="008D260E" w:rsidRPr="00E067A2" w:rsidRDefault="008D260E" w:rsidP="0008099D">
            <w:pPr>
              <w:spacing w:line="400" w:lineRule="atLeast"/>
              <w:jc w:val="center"/>
              <w:rPr>
                <w:sz w:val="24"/>
                <w:szCs w:val="24"/>
                <w:lang w:val="en-GB"/>
              </w:rPr>
            </w:pPr>
            <w:r w:rsidRPr="00E067A2">
              <w:rPr>
                <w:sz w:val="24"/>
                <w:szCs w:val="24"/>
                <w:lang w:val="en-GB"/>
              </w:rPr>
              <w:t>0.850</w:t>
            </w:r>
          </w:p>
        </w:tc>
      </w:tr>
      <w:tr w:rsidR="008D260E" w:rsidRPr="00E067A2" w:rsidTr="0008099D">
        <w:trPr>
          <w:jc w:val="center"/>
        </w:trPr>
        <w:tc>
          <w:tcPr>
            <w:tcW w:w="3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260E" w:rsidRPr="00E067A2" w:rsidRDefault="008D260E" w:rsidP="0008099D">
            <w:pPr>
              <w:spacing w:line="400" w:lineRule="atLeast"/>
              <w:rPr>
                <w:color w:val="000000"/>
                <w:sz w:val="24"/>
                <w:szCs w:val="24"/>
              </w:rPr>
            </w:pPr>
            <w:r w:rsidRPr="00E067A2">
              <w:rPr>
                <w:color w:val="000000"/>
                <w:sz w:val="24"/>
                <w:szCs w:val="24"/>
              </w:rPr>
              <w:t>Intercept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260E" w:rsidRPr="00E067A2" w:rsidRDefault="008D260E" w:rsidP="0008099D">
            <w:pPr>
              <w:spacing w:line="400" w:lineRule="atLeast"/>
              <w:jc w:val="center"/>
              <w:rPr>
                <w:color w:val="000000"/>
                <w:sz w:val="24"/>
                <w:szCs w:val="24"/>
              </w:rPr>
            </w:pPr>
            <w:r w:rsidRPr="00E067A2">
              <w:rPr>
                <w:color w:val="000000"/>
                <w:sz w:val="24"/>
                <w:szCs w:val="24"/>
              </w:rPr>
              <w:t>-1.268 (0.736)</w:t>
            </w:r>
          </w:p>
        </w:tc>
        <w:tc>
          <w:tcPr>
            <w:tcW w:w="2127" w:type="dxa"/>
            <w:tcBorders>
              <w:top w:val="single" w:sz="4" w:space="0" w:color="auto"/>
              <w:left w:val="single" w:sz="4" w:space="0" w:color="auto"/>
              <w:bottom w:val="single" w:sz="4" w:space="0" w:color="auto"/>
              <w:right w:val="single" w:sz="4" w:space="0" w:color="auto"/>
            </w:tcBorders>
          </w:tcPr>
          <w:p w:rsidR="008D260E" w:rsidRPr="00E067A2" w:rsidRDefault="008D260E" w:rsidP="0008099D">
            <w:pPr>
              <w:spacing w:line="400" w:lineRule="atLeast"/>
              <w:jc w:val="center"/>
              <w:rPr>
                <w:color w:val="000000"/>
                <w:sz w:val="24"/>
                <w:szCs w:val="24"/>
              </w:rPr>
            </w:pPr>
          </w:p>
        </w:tc>
      </w:tr>
      <w:tr w:rsidR="008D260E" w:rsidRPr="00E067A2" w:rsidTr="0008099D">
        <w:trPr>
          <w:jc w:val="center"/>
        </w:trPr>
        <w:tc>
          <w:tcPr>
            <w:tcW w:w="3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260E" w:rsidRPr="00E067A2" w:rsidRDefault="008D260E" w:rsidP="0008099D">
            <w:pPr>
              <w:spacing w:line="400" w:lineRule="atLeast"/>
              <w:rPr>
                <w:color w:val="000000"/>
                <w:sz w:val="24"/>
                <w:szCs w:val="24"/>
              </w:rPr>
            </w:pPr>
            <w:r w:rsidRPr="00E067A2">
              <w:rPr>
                <w:color w:val="000000"/>
                <w:sz w:val="24"/>
                <w:szCs w:val="24"/>
              </w:rPr>
              <w:t>N</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260E" w:rsidRPr="00E067A2" w:rsidRDefault="008D260E" w:rsidP="0008099D">
            <w:pPr>
              <w:spacing w:line="400" w:lineRule="atLeast"/>
              <w:jc w:val="center"/>
              <w:rPr>
                <w:color w:val="000000"/>
                <w:sz w:val="24"/>
                <w:szCs w:val="24"/>
              </w:rPr>
            </w:pPr>
            <w:r w:rsidRPr="00E067A2">
              <w:rPr>
                <w:color w:val="000000"/>
                <w:sz w:val="24"/>
                <w:szCs w:val="24"/>
              </w:rPr>
              <w:t>603</w:t>
            </w:r>
          </w:p>
        </w:tc>
        <w:tc>
          <w:tcPr>
            <w:tcW w:w="2127" w:type="dxa"/>
            <w:tcBorders>
              <w:top w:val="single" w:sz="4" w:space="0" w:color="auto"/>
              <w:left w:val="single" w:sz="4" w:space="0" w:color="auto"/>
              <w:bottom w:val="single" w:sz="4" w:space="0" w:color="auto"/>
              <w:right w:val="single" w:sz="4" w:space="0" w:color="auto"/>
            </w:tcBorders>
          </w:tcPr>
          <w:p w:rsidR="008D260E" w:rsidRPr="00E067A2" w:rsidRDefault="008D260E" w:rsidP="0008099D">
            <w:pPr>
              <w:spacing w:line="400" w:lineRule="atLeast"/>
              <w:jc w:val="center"/>
              <w:rPr>
                <w:color w:val="000000"/>
                <w:sz w:val="24"/>
                <w:szCs w:val="24"/>
              </w:rPr>
            </w:pPr>
            <w:r w:rsidRPr="00E067A2">
              <w:rPr>
                <w:color w:val="000000"/>
                <w:sz w:val="24"/>
                <w:szCs w:val="24"/>
              </w:rPr>
              <w:t>603</w:t>
            </w:r>
          </w:p>
        </w:tc>
      </w:tr>
      <w:tr w:rsidR="008D260E" w:rsidRPr="00E067A2" w:rsidTr="0008099D">
        <w:trPr>
          <w:jc w:val="center"/>
        </w:trPr>
        <w:tc>
          <w:tcPr>
            <w:tcW w:w="3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260E" w:rsidRPr="00E067A2" w:rsidRDefault="008D260E" w:rsidP="0008099D">
            <w:pPr>
              <w:spacing w:line="400" w:lineRule="atLeast"/>
              <w:rPr>
                <w:color w:val="000000"/>
                <w:sz w:val="24"/>
                <w:szCs w:val="24"/>
              </w:rPr>
            </w:pPr>
            <w:r w:rsidRPr="00E067A2">
              <w:rPr>
                <w:color w:val="000000"/>
                <w:sz w:val="24"/>
                <w:szCs w:val="24"/>
              </w:rPr>
              <w:t>Log-likelihood</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260E" w:rsidRPr="00E067A2" w:rsidRDefault="008D260E" w:rsidP="0008099D">
            <w:pPr>
              <w:spacing w:line="400" w:lineRule="atLeast"/>
              <w:jc w:val="center"/>
              <w:rPr>
                <w:color w:val="000000"/>
                <w:sz w:val="24"/>
                <w:szCs w:val="24"/>
              </w:rPr>
            </w:pPr>
            <w:r w:rsidRPr="00E067A2">
              <w:rPr>
                <w:color w:val="000000"/>
                <w:sz w:val="24"/>
                <w:szCs w:val="24"/>
              </w:rPr>
              <w:t>-387.532</w:t>
            </w:r>
          </w:p>
        </w:tc>
        <w:tc>
          <w:tcPr>
            <w:tcW w:w="2127" w:type="dxa"/>
            <w:tcBorders>
              <w:top w:val="single" w:sz="4" w:space="0" w:color="auto"/>
              <w:left w:val="single" w:sz="4" w:space="0" w:color="auto"/>
              <w:bottom w:val="single" w:sz="4" w:space="0" w:color="auto"/>
              <w:right w:val="single" w:sz="4" w:space="0" w:color="auto"/>
            </w:tcBorders>
          </w:tcPr>
          <w:p w:rsidR="008D260E" w:rsidRPr="00E067A2" w:rsidRDefault="008D260E" w:rsidP="0008099D">
            <w:pPr>
              <w:spacing w:line="400" w:lineRule="atLeast"/>
              <w:jc w:val="center"/>
              <w:rPr>
                <w:color w:val="000000"/>
                <w:sz w:val="24"/>
                <w:szCs w:val="24"/>
              </w:rPr>
            </w:pPr>
            <w:r w:rsidRPr="00E067A2">
              <w:rPr>
                <w:color w:val="000000"/>
                <w:sz w:val="24"/>
                <w:szCs w:val="24"/>
              </w:rPr>
              <w:t>-387.532</w:t>
            </w:r>
          </w:p>
        </w:tc>
      </w:tr>
    </w:tbl>
    <w:p w:rsidR="008D260E" w:rsidRDefault="008D260E">
      <w:pPr>
        <w:rPr>
          <w:b/>
        </w:rPr>
      </w:pPr>
    </w:p>
    <w:p w:rsidR="008D260E" w:rsidRDefault="008D260E">
      <w:pPr>
        <w:rPr>
          <w:b/>
        </w:rPr>
      </w:pPr>
    </w:p>
    <w:p w:rsidR="008D260E" w:rsidRDefault="008D260E">
      <w:pPr>
        <w:rPr>
          <w:b/>
        </w:rPr>
      </w:pPr>
    </w:p>
    <w:p w:rsidR="008D260E" w:rsidRDefault="008D260E">
      <w:pPr>
        <w:rPr>
          <w:b/>
        </w:rPr>
      </w:pPr>
      <w:r>
        <w:rPr>
          <w:b/>
        </w:rPr>
        <w:t>End notes</w:t>
      </w:r>
      <w:bookmarkStart w:id="0" w:name="_GoBack"/>
      <w:bookmarkEnd w:id="0"/>
    </w:p>
    <w:p w:rsidR="008D260E" w:rsidRDefault="008D260E">
      <w:pPr>
        <w:rPr>
          <w:b/>
        </w:rPr>
      </w:pPr>
    </w:p>
    <w:p w:rsidR="008D260E" w:rsidRPr="00D12482" w:rsidRDefault="008D260E" w:rsidP="008D260E">
      <w:pPr>
        <w:pStyle w:val="EndnoteText"/>
        <w:spacing w:line="480" w:lineRule="auto"/>
        <w:rPr>
          <w:sz w:val="24"/>
          <w:szCs w:val="24"/>
        </w:rPr>
      </w:pPr>
      <w:r w:rsidRPr="00D12482">
        <w:rPr>
          <w:rStyle w:val="EndnoteReference"/>
          <w:sz w:val="24"/>
          <w:szCs w:val="24"/>
        </w:rPr>
        <w:footnoteRef/>
      </w:r>
      <w:r w:rsidRPr="00D12482">
        <w:rPr>
          <w:sz w:val="24"/>
          <w:szCs w:val="24"/>
        </w:rPr>
        <w:t xml:space="preserve"> According to </w:t>
      </w:r>
      <w:r w:rsidRPr="00D12482">
        <w:rPr>
          <w:color w:val="000000"/>
          <w:sz w:val="24"/>
          <w:szCs w:val="24"/>
        </w:rPr>
        <w:t>conventional wisdom, minority governments have a smaller capacity to make policy in general, and less freedom to carry out their campaign pledges than majority governments. However, the argument that the lack of freedom incapacitates minority governments is overstated (</w:t>
      </w:r>
      <w:proofErr w:type="spellStart"/>
      <w:r w:rsidRPr="00D12482">
        <w:rPr>
          <w:color w:val="000000"/>
          <w:sz w:val="24"/>
          <w:szCs w:val="24"/>
        </w:rPr>
        <w:t>Strøm</w:t>
      </w:r>
      <w:proofErr w:type="spellEnd"/>
      <w:r w:rsidRPr="00D12482">
        <w:rPr>
          <w:color w:val="000000"/>
          <w:sz w:val="24"/>
          <w:szCs w:val="24"/>
        </w:rPr>
        <w:t xml:space="preserve"> 1990, Godbout and </w:t>
      </w:r>
      <w:proofErr w:type="spellStart"/>
      <w:r w:rsidRPr="00D12482">
        <w:rPr>
          <w:color w:val="000000"/>
          <w:sz w:val="24"/>
          <w:szCs w:val="24"/>
        </w:rPr>
        <w:t>Høyland</w:t>
      </w:r>
      <w:proofErr w:type="spellEnd"/>
      <w:r w:rsidRPr="00D12482">
        <w:rPr>
          <w:color w:val="000000"/>
          <w:sz w:val="24"/>
          <w:szCs w:val="24"/>
        </w:rPr>
        <w:t xml:space="preserve"> 2011). There is evidence that single party minority governments are capable of fulfilling as many if not more pledges as single party majority governments while they last (</w:t>
      </w:r>
      <w:proofErr w:type="spellStart"/>
      <w:r w:rsidRPr="00D12482">
        <w:rPr>
          <w:color w:val="000000"/>
          <w:sz w:val="24"/>
          <w:szCs w:val="24"/>
        </w:rPr>
        <w:t>Artés</w:t>
      </w:r>
      <w:proofErr w:type="spellEnd"/>
      <w:r w:rsidRPr="00D12482">
        <w:rPr>
          <w:color w:val="000000"/>
          <w:sz w:val="24"/>
          <w:szCs w:val="24"/>
        </w:rPr>
        <w:t xml:space="preserve"> and Bustos 2008</w:t>
      </w:r>
      <w:r w:rsidRPr="00D12482">
        <w:rPr>
          <w:sz w:val="24"/>
          <w:szCs w:val="24"/>
        </w:rPr>
        <w:t xml:space="preserve">, </w:t>
      </w:r>
      <w:proofErr w:type="spellStart"/>
      <w:r w:rsidRPr="00D12482">
        <w:rPr>
          <w:sz w:val="24"/>
          <w:szCs w:val="24"/>
        </w:rPr>
        <w:t>Mansergh</w:t>
      </w:r>
      <w:proofErr w:type="spellEnd"/>
      <w:r w:rsidRPr="00D12482">
        <w:rPr>
          <w:sz w:val="24"/>
          <w:szCs w:val="24"/>
        </w:rPr>
        <w:t xml:space="preserve"> and Thomson 2007).</w:t>
      </w:r>
      <w:r>
        <w:rPr>
          <w:sz w:val="24"/>
          <w:szCs w:val="24"/>
        </w:rPr>
        <w:t xml:space="preserve"> In final analysis, the reason why majority governments fulfill more pledges is that they </w:t>
      </w:r>
      <w:r w:rsidRPr="002E5165">
        <w:rPr>
          <w:color w:val="000000"/>
          <w:sz w:val="24"/>
          <w:szCs w:val="24"/>
        </w:rPr>
        <w:t>last longer</w:t>
      </w:r>
      <w:r>
        <w:rPr>
          <w:color w:val="000000"/>
          <w:sz w:val="24"/>
          <w:szCs w:val="24"/>
        </w:rPr>
        <w:t>.</w:t>
      </w:r>
    </w:p>
    <w:p w:rsidR="008D260E" w:rsidRPr="00D12482" w:rsidRDefault="008D260E" w:rsidP="008D260E">
      <w:pPr>
        <w:pStyle w:val="EndnoteText"/>
        <w:spacing w:line="480" w:lineRule="auto"/>
        <w:rPr>
          <w:sz w:val="24"/>
          <w:szCs w:val="24"/>
          <w:lang w:val="en-CA"/>
        </w:rPr>
      </w:pPr>
      <w:r w:rsidRPr="00D12482">
        <w:rPr>
          <w:rStyle w:val="EndnoteReference"/>
          <w:sz w:val="24"/>
          <w:szCs w:val="24"/>
        </w:rPr>
        <w:footnoteRef/>
      </w:r>
      <w:r w:rsidRPr="00D12482">
        <w:rPr>
          <w:sz w:val="24"/>
          <w:szCs w:val="24"/>
        </w:rPr>
        <w:t xml:space="preserve"> To avoid co-linearity problems, our statistical model does not include a government duration variable.</w:t>
      </w:r>
    </w:p>
    <w:p w:rsidR="008D260E" w:rsidRPr="00D12482" w:rsidRDefault="008D260E" w:rsidP="008D260E">
      <w:pPr>
        <w:pStyle w:val="FootnoteText"/>
        <w:spacing w:line="480" w:lineRule="auto"/>
        <w:rPr>
          <w:sz w:val="24"/>
          <w:szCs w:val="24"/>
          <w:lang w:val="en-CA"/>
        </w:rPr>
      </w:pPr>
      <w:r w:rsidRPr="00D12482">
        <w:rPr>
          <w:rStyle w:val="EndnoteReference"/>
          <w:sz w:val="24"/>
          <w:szCs w:val="24"/>
        </w:rPr>
        <w:footnoteRef/>
      </w:r>
      <w:r w:rsidRPr="00D12482">
        <w:rPr>
          <w:sz w:val="24"/>
          <w:szCs w:val="24"/>
        </w:rPr>
        <w:t xml:space="preserve"> We also examined GDP growth as a predictor in our exploratory analyses. In line with results from past studies in na</w:t>
      </w:r>
      <w:r>
        <w:rPr>
          <w:sz w:val="24"/>
          <w:szCs w:val="24"/>
        </w:rPr>
        <w:t>tional settings (</w:t>
      </w:r>
      <w:proofErr w:type="spellStart"/>
      <w:r>
        <w:rPr>
          <w:sz w:val="24"/>
          <w:szCs w:val="24"/>
        </w:rPr>
        <w:t>Praprotnik</w:t>
      </w:r>
      <w:proofErr w:type="spellEnd"/>
      <w:r>
        <w:rPr>
          <w:sz w:val="24"/>
          <w:szCs w:val="24"/>
        </w:rPr>
        <w:t xml:space="preserve"> 2017</w:t>
      </w:r>
      <w:r w:rsidRPr="00D12482">
        <w:rPr>
          <w:sz w:val="24"/>
          <w:szCs w:val="24"/>
        </w:rPr>
        <w:t xml:space="preserve">, Thomson et al. </w:t>
      </w:r>
      <w:proofErr w:type="gramStart"/>
      <w:r w:rsidRPr="00D12482">
        <w:rPr>
          <w:sz w:val="24"/>
          <w:szCs w:val="24"/>
        </w:rPr>
        <w:t>2017)</w:t>
      </w:r>
      <w:proofErr w:type="gramEnd"/>
      <w:r w:rsidRPr="00D12482">
        <w:rPr>
          <w:sz w:val="24"/>
          <w:szCs w:val="24"/>
        </w:rPr>
        <w:t xml:space="preserve"> we expect that pledges are more likely to be redeemed during periods of GDP growth. However, the coefficient for GDP growth is significantly negative in the model. This unexpected result indicates the presence of </w:t>
      </w:r>
      <w:proofErr w:type="spellStart"/>
      <w:r w:rsidRPr="00D12482">
        <w:rPr>
          <w:sz w:val="24"/>
          <w:szCs w:val="24"/>
        </w:rPr>
        <w:t>multicolinearity</w:t>
      </w:r>
      <w:proofErr w:type="spellEnd"/>
      <w:r w:rsidRPr="00D12482">
        <w:rPr>
          <w:sz w:val="24"/>
          <w:szCs w:val="24"/>
        </w:rPr>
        <w:t xml:space="preserve"> with other explanatory variables, including federal transfers and budget </w:t>
      </w:r>
      <w:proofErr w:type="gramStart"/>
      <w:r w:rsidRPr="00D12482">
        <w:rPr>
          <w:sz w:val="24"/>
          <w:szCs w:val="24"/>
        </w:rPr>
        <w:t>balance</w:t>
      </w:r>
      <w:r>
        <w:rPr>
          <w:sz w:val="24"/>
          <w:szCs w:val="24"/>
        </w:rPr>
        <w:t>,</w:t>
      </w:r>
      <w:r w:rsidRPr="00D12482">
        <w:rPr>
          <w:sz w:val="24"/>
          <w:szCs w:val="24"/>
        </w:rPr>
        <w:t xml:space="preserve"> that</w:t>
      </w:r>
      <w:proofErr w:type="gramEnd"/>
      <w:r w:rsidRPr="00D12482">
        <w:rPr>
          <w:sz w:val="24"/>
          <w:szCs w:val="24"/>
        </w:rPr>
        <w:t xml:space="preserve"> is confirmed by tolerance tests. </w:t>
      </w:r>
    </w:p>
    <w:p w:rsidR="008D260E" w:rsidRPr="00D12482" w:rsidRDefault="008D260E" w:rsidP="008D260E">
      <w:pPr>
        <w:pStyle w:val="EndnoteText"/>
        <w:spacing w:line="480" w:lineRule="auto"/>
        <w:rPr>
          <w:sz w:val="24"/>
          <w:szCs w:val="24"/>
          <w:lang w:val="en-CA"/>
        </w:rPr>
      </w:pPr>
      <w:r w:rsidRPr="00D12482">
        <w:rPr>
          <w:rStyle w:val="EndnoteReference"/>
          <w:sz w:val="24"/>
          <w:szCs w:val="24"/>
        </w:rPr>
        <w:footnoteRef/>
      </w:r>
      <w:r w:rsidRPr="00D12482">
        <w:rPr>
          <w:sz w:val="24"/>
          <w:szCs w:val="24"/>
        </w:rPr>
        <w:t xml:space="preserve"> </w:t>
      </w:r>
      <w:r w:rsidRPr="00D12482">
        <w:rPr>
          <w:color w:val="000000"/>
          <w:sz w:val="24"/>
          <w:szCs w:val="24"/>
        </w:rPr>
        <w:t xml:space="preserve">Space constraints prevent us from discussing at length the BTSCS methodology and its application to the analysis of pledge fulfillment. </w:t>
      </w:r>
      <w:r>
        <w:rPr>
          <w:color w:val="000000"/>
          <w:sz w:val="24"/>
          <w:szCs w:val="24"/>
        </w:rPr>
        <w:t xml:space="preserve">For more details on the application of the methodology to pledge fulfilment, see Duval and </w:t>
      </w:r>
      <w:proofErr w:type="spellStart"/>
      <w:r>
        <w:rPr>
          <w:color w:val="000000"/>
          <w:sz w:val="24"/>
          <w:szCs w:val="24"/>
        </w:rPr>
        <w:t>Pétry</w:t>
      </w:r>
      <w:proofErr w:type="spellEnd"/>
      <w:r>
        <w:rPr>
          <w:color w:val="000000"/>
          <w:sz w:val="24"/>
          <w:szCs w:val="24"/>
        </w:rPr>
        <w:t xml:space="preserve"> (2018).</w:t>
      </w:r>
    </w:p>
    <w:p w:rsidR="008D260E" w:rsidRPr="00D12482" w:rsidRDefault="008D260E" w:rsidP="008D260E">
      <w:pPr>
        <w:pStyle w:val="EndnoteText"/>
        <w:spacing w:line="480" w:lineRule="auto"/>
        <w:rPr>
          <w:sz w:val="24"/>
          <w:szCs w:val="24"/>
          <w:lang w:val="en-CA"/>
        </w:rPr>
      </w:pPr>
      <w:r w:rsidRPr="00D12482">
        <w:rPr>
          <w:rStyle w:val="EndnoteReference"/>
          <w:sz w:val="24"/>
          <w:szCs w:val="24"/>
        </w:rPr>
        <w:footnoteRef/>
      </w:r>
      <w:r w:rsidRPr="00D12482">
        <w:rPr>
          <w:sz w:val="24"/>
          <w:szCs w:val="24"/>
        </w:rPr>
        <w:t xml:space="preserve"> To assess the effect of introducing multiple time points for each pledge in Model 1, we also ran</w:t>
      </w:r>
      <w:r>
        <w:rPr>
          <w:sz w:val="24"/>
          <w:szCs w:val="24"/>
        </w:rPr>
        <w:t xml:space="preserve"> a </w:t>
      </w:r>
      <w:r w:rsidRPr="00D12482">
        <w:rPr>
          <w:sz w:val="24"/>
          <w:szCs w:val="24"/>
        </w:rPr>
        <w:t>conventional model w</w:t>
      </w:r>
      <w:r>
        <w:rPr>
          <w:sz w:val="24"/>
          <w:szCs w:val="24"/>
        </w:rPr>
        <w:t xml:space="preserve">ithout the </w:t>
      </w:r>
      <w:r w:rsidRPr="00D12482">
        <w:rPr>
          <w:sz w:val="24"/>
          <w:szCs w:val="24"/>
        </w:rPr>
        <w:t xml:space="preserve">time variable. The results for the conventional multivariate additive model with 603 observations </w:t>
      </w:r>
      <w:proofErr w:type="gramStart"/>
      <w:r w:rsidRPr="00D12482">
        <w:rPr>
          <w:sz w:val="24"/>
          <w:szCs w:val="24"/>
        </w:rPr>
        <w:t>are displayed</w:t>
      </w:r>
      <w:proofErr w:type="gramEnd"/>
      <w:r w:rsidRPr="00D12482">
        <w:rPr>
          <w:sz w:val="24"/>
          <w:szCs w:val="24"/>
        </w:rPr>
        <w:t xml:space="preserve"> in Model A1 in Appendix 1. </w:t>
      </w:r>
      <w:r w:rsidRPr="00D12482">
        <w:rPr>
          <w:sz w:val="24"/>
          <w:szCs w:val="24"/>
        </w:rPr>
        <w:lastRenderedPageBreak/>
        <w:t>Most coefficients in the conventional model have the correct sign although they often fail the test of statistical significance.</w:t>
      </w:r>
      <w:r>
        <w:rPr>
          <w:sz w:val="24"/>
          <w:szCs w:val="24"/>
        </w:rPr>
        <w:t xml:space="preserve"> </w:t>
      </w:r>
    </w:p>
    <w:p w:rsidR="008D260E" w:rsidRPr="008B4540" w:rsidRDefault="008D260E" w:rsidP="008D260E">
      <w:pPr>
        <w:pStyle w:val="EndnoteText"/>
        <w:spacing w:line="480" w:lineRule="auto"/>
        <w:rPr>
          <w:sz w:val="24"/>
          <w:szCs w:val="24"/>
          <w:lang w:val="en-CA"/>
        </w:rPr>
      </w:pPr>
      <w:r w:rsidRPr="00D12482">
        <w:rPr>
          <w:rStyle w:val="EndnoteReference"/>
          <w:sz w:val="24"/>
          <w:szCs w:val="24"/>
        </w:rPr>
        <w:footnoteRef/>
      </w:r>
      <w:r w:rsidRPr="00D12482">
        <w:rPr>
          <w:sz w:val="24"/>
          <w:szCs w:val="24"/>
        </w:rPr>
        <w:t xml:space="preserve"> To illustrate, the federal government could not comply with the 1994 PQ pledge to “</w:t>
      </w:r>
      <w:r w:rsidRPr="00D12482">
        <w:rPr>
          <w:color w:val="212121"/>
          <w:sz w:val="24"/>
          <w:szCs w:val="24"/>
          <w:lang w:val="en"/>
        </w:rPr>
        <w:t xml:space="preserve">establish the timetable and modalities for the transfer of powers from the federal government” because the pledge was stepping outside the bounds of the Canadian Constitution. The pledge remained unfulfilled. The 2012 PQ pledge to “demand the repatriation of employment insurance” </w:t>
      </w:r>
      <w:proofErr w:type="gramStart"/>
      <w:r w:rsidRPr="00D12482">
        <w:rPr>
          <w:color w:val="212121"/>
          <w:sz w:val="24"/>
          <w:szCs w:val="24"/>
          <w:lang w:val="en"/>
        </w:rPr>
        <w:t>could not be accepted</w:t>
      </w:r>
      <w:proofErr w:type="gramEnd"/>
      <w:r w:rsidRPr="00D12482">
        <w:rPr>
          <w:color w:val="212121"/>
          <w:sz w:val="24"/>
          <w:szCs w:val="24"/>
          <w:lang w:val="en"/>
        </w:rPr>
        <w:t xml:space="preserve"> by the federal government because it was stepping outside the bounds of federal provincial power distribution based on current legislation. The pledge remained unfulfilled.</w:t>
      </w:r>
      <w:r>
        <w:rPr>
          <w:color w:val="212121"/>
          <w:sz w:val="24"/>
          <w:szCs w:val="24"/>
          <w:lang w:val="en"/>
        </w:rPr>
        <w:t xml:space="preserve"> In both cases, t</w:t>
      </w:r>
      <w:r w:rsidRPr="003D34EE">
        <w:rPr>
          <w:sz w:val="24"/>
          <w:szCs w:val="24"/>
          <w:lang w:val="en-CA"/>
        </w:rPr>
        <w:t xml:space="preserve">he interaction between the center and the regional party </w:t>
      </w:r>
      <w:proofErr w:type="gramStart"/>
      <w:r>
        <w:rPr>
          <w:sz w:val="24"/>
          <w:szCs w:val="24"/>
          <w:lang w:val="en-CA"/>
        </w:rPr>
        <w:t>could be characterized</w:t>
      </w:r>
      <w:proofErr w:type="gramEnd"/>
      <w:r>
        <w:rPr>
          <w:sz w:val="24"/>
          <w:szCs w:val="24"/>
          <w:lang w:val="en-CA"/>
        </w:rPr>
        <w:t xml:space="preserve"> formally as a </w:t>
      </w:r>
      <w:r w:rsidRPr="003D34EE">
        <w:rPr>
          <w:sz w:val="24"/>
          <w:szCs w:val="24"/>
          <w:lang w:val="en-CA"/>
        </w:rPr>
        <w:t xml:space="preserve">non-cooperative game with a Nash equilibrium. </w:t>
      </w:r>
      <w:r>
        <w:rPr>
          <w:sz w:val="24"/>
          <w:szCs w:val="24"/>
          <w:lang w:val="en-CA"/>
        </w:rPr>
        <w:t>In this game, t</w:t>
      </w:r>
      <w:r w:rsidRPr="003D34EE">
        <w:rPr>
          <w:sz w:val="24"/>
          <w:szCs w:val="24"/>
          <w:lang w:val="en-CA"/>
        </w:rPr>
        <w:t xml:space="preserve">he regional party has two </w:t>
      </w:r>
      <w:proofErr w:type="gramStart"/>
      <w:r w:rsidRPr="003D34EE">
        <w:rPr>
          <w:sz w:val="24"/>
          <w:szCs w:val="24"/>
          <w:lang w:val="en-CA"/>
        </w:rPr>
        <w:t>strategies :</w:t>
      </w:r>
      <w:proofErr w:type="gramEnd"/>
      <w:r w:rsidRPr="003D34EE">
        <w:rPr>
          <w:sz w:val="24"/>
          <w:szCs w:val="24"/>
          <w:lang w:val="en-CA"/>
        </w:rPr>
        <w:t xml:space="preserve"> Either make a pledge that is acceptable by the center (cooperate) or make a pledge that is not acceptable (defect). </w:t>
      </w:r>
      <w:r>
        <w:rPr>
          <w:sz w:val="24"/>
          <w:szCs w:val="24"/>
          <w:lang w:val="en-CA"/>
        </w:rPr>
        <w:t xml:space="preserve">A dominant strategy to defect emerges each time the </w:t>
      </w:r>
      <w:r w:rsidRPr="003D34EE">
        <w:rPr>
          <w:sz w:val="24"/>
          <w:szCs w:val="24"/>
          <w:lang w:val="en-CA"/>
        </w:rPr>
        <w:t>regional party</w:t>
      </w:r>
      <w:r>
        <w:rPr>
          <w:sz w:val="24"/>
          <w:szCs w:val="24"/>
          <w:lang w:val="en-CA"/>
        </w:rPr>
        <w:t xml:space="preserve">’s payoff </w:t>
      </w:r>
      <w:r w:rsidRPr="003D34EE">
        <w:rPr>
          <w:sz w:val="24"/>
          <w:szCs w:val="24"/>
          <w:lang w:val="en-CA"/>
        </w:rPr>
        <w:t>for defecting is higher</w:t>
      </w:r>
      <w:r>
        <w:rPr>
          <w:sz w:val="24"/>
          <w:szCs w:val="24"/>
          <w:lang w:val="en-CA"/>
        </w:rPr>
        <w:t xml:space="preserve"> than its payoff for cooperating</w:t>
      </w:r>
      <w:r w:rsidRPr="003D34EE">
        <w:rPr>
          <w:sz w:val="24"/>
          <w:szCs w:val="24"/>
          <w:lang w:val="en-CA"/>
        </w:rPr>
        <w:t xml:space="preserve">, irrespective of the strategy that </w:t>
      </w:r>
      <w:proofErr w:type="gramStart"/>
      <w:r w:rsidRPr="003D34EE">
        <w:rPr>
          <w:sz w:val="24"/>
          <w:szCs w:val="24"/>
          <w:lang w:val="en-CA"/>
        </w:rPr>
        <w:t>is chosen</w:t>
      </w:r>
      <w:proofErr w:type="gramEnd"/>
      <w:r w:rsidRPr="003D34EE">
        <w:rPr>
          <w:sz w:val="24"/>
          <w:szCs w:val="24"/>
          <w:lang w:val="en-CA"/>
        </w:rPr>
        <w:t xml:space="preserve"> by the center. </w:t>
      </w:r>
    </w:p>
    <w:p w:rsidR="008D260E" w:rsidRPr="00FD690F" w:rsidRDefault="008D260E" w:rsidP="008D260E">
      <w:pPr>
        <w:pStyle w:val="EndnoteText"/>
        <w:spacing w:line="480" w:lineRule="auto"/>
        <w:rPr>
          <w:sz w:val="24"/>
          <w:szCs w:val="24"/>
          <w:lang w:val="en-CA"/>
        </w:rPr>
      </w:pPr>
      <w:r w:rsidRPr="00D12482">
        <w:rPr>
          <w:rStyle w:val="EndnoteReference"/>
          <w:sz w:val="24"/>
          <w:szCs w:val="24"/>
        </w:rPr>
        <w:footnoteRef/>
      </w:r>
      <w:r w:rsidRPr="00D12482">
        <w:rPr>
          <w:sz w:val="24"/>
          <w:szCs w:val="24"/>
        </w:rPr>
        <w:t xml:space="preserve"> </w:t>
      </w:r>
      <w:r w:rsidRPr="00FD690F">
        <w:rPr>
          <w:sz w:val="24"/>
          <w:szCs w:val="24"/>
          <w:lang w:val="en-CA"/>
        </w:rPr>
        <w:t xml:space="preserve">Before the NDP-Green coalition came to power in 2017 in British Columbia, there had been no provincial coalition government since the Conservative-Liberal coalition of the 1940s also in British Columbia. </w:t>
      </w:r>
    </w:p>
    <w:p w:rsidR="008D260E" w:rsidRPr="00061E6C" w:rsidRDefault="008D260E" w:rsidP="008D260E">
      <w:pPr>
        <w:pStyle w:val="EndnoteText"/>
        <w:spacing w:line="480" w:lineRule="auto"/>
        <w:rPr>
          <w:sz w:val="24"/>
          <w:szCs w:val="24"/>
          <w:lang w:val="en-CA"/>
        </w:rPr>
      </w:pPr>
      <w:r w:rsidRPr="00061E6C">
        <w:rPr>
          <w:rStyle w:val="EndnoteReference"/>
          <w:sz w:val="24"/>
          <w:szCs w:val="24"/>
        </w:rPr>
        <w:footnoteRef/>
      </w:r>
      <w:r w:rsidRPr="00061E6C">
        <w:rPr>
          <w:sz w:val="24"/>
          <w:szCs w:val="24"/>
        </w:rPr>
        <w:t xml:space="preserve"> </w:t>
      </w:r>
      <w:r w:rsidRPr="00061E6C">
        <w:rPr>
          <w:sz w:val="24"/>
          <w:szCs w:val="24"/>
          <w:lang w:val="en-CA"/>
        </w:rPr>
        <w:t xml:space="preserve">For the distinction between </w:t>
      </w:r>
      <w:r>
        <w:rPr>
          <w:sz w:val="24"/>
          <w:szCs w:val="24"/>
          <w:lang w:val="en-CA"/>
        </w:rPr>
        <w:t>“</w:t>
      </w:r>
      <w:r w:rsidRPr="00061E6C">
        <w:rPr>
          <w:sz w:val="24"/>
          <w:szCs w:val="24"/>
          <w:lang w:val="en-CA"/>
        </w:rPr>
        <w:t>shared-cost</w:t>
      </w:r>
      <w:r>
        <w:rPr>
          <w:sz w:val="24"/>
          <w:szCs w:val="24"/>
          <w:lang w:val="en-CA"/>
        </w:rPr>
        <w:t>”</w:t>
      </w:r>
      <w:r w:rsidRPr="00061E6C">
        <w:rPr>
          <w:sz w:val="24"/>
          <w:szCs w:val="24"/>
          <w:lang w:val="en-CA"/>
        </w:rPr>
        <w:t xml:space="preserve"> </w:t>
      </w:r>
      <w:r>
        <w:rPr>
          <w:sz w:val="24"/>
          <w:szCs w:val="24"/>
          <w:lang w:val="en-CA"/>
        </w:rPr>
        <w:t xml:space="preserve">federalism </w:t>
      </w:r>
      <w:r w:rsidRPr="00061E6C">
        <w:rPr>
          <w:sz w:val="24"/>
          <w:szCs w:val="24"/>
          <w:lang w:val="en-CA"/>
        </w:rPr>
        <w:t xml:space="preserve">and </w:t>
      </w:r>
      <w:r>
        <w:rPr>
          <w:sz w:val="24"/>
          <w:szCs w:val="24"/>
          <w:lang w:val="en-CA"/>
        </w:rPr>
        <w:t>“</w:t>
      </w:r>
      <w:r w:rsidRPr="00061E6C">
        <w:rPr>
          <w:sz w:val="24"/>
          <w:szCs w:val="24"/>
          <w:lang w:val="en-CA"/>
        </w:rPr>
        <w:t>joint-decision</w:t>
      </w:r>
      <w:r>
        <w:rPr>
          <w:sz w:val="24"/>
          <w:szCs w:val="24"/>
          <w:lang w:val="en-CA"/>
        </w:rPr>
        <w:t>”</w:t>
      </w:r>
      <w:r w:rsidRPr="00061E6C">
        <w:rPr>
          <w:sz w:val="24"/>
          <w:szCs w:val="24"/>
          <w:lang w:val="en-CA"/>
        </w:rPr>
        <w:t xml:space="preserve"> </w:t>
      </w:r>
      <w:proofErr w:type="gramStart"/>
      <w:r w:rsidRPr="00061E6C">
        <w:rPr>
          <w:sz w:val="24"/>
          <w:szCs w:val="24"/>
          <w:lang w:val="en-CA"/>
        </w:rPr>
        <w:t>federalism</w:t>
      </w:r>
      <w:proofErr w:type="gramEnd"/>
      <w:r w:rsidRPr="00061E6C">
        <w:rPr>
          <w:sz w:val="24"/>
          <w:szCs w:val="24"/>
          <w:lang w:val="en-CA"/>
        </w:rPr>
        <w:t xml:space="preserve"> see Banting (2008).</w:t>
      </w:r>
    </w:p>
    <w:p w:rsidR="008D260E" w:rsidRPr="008B4540" w:rsidRDefault="008D260E" w:rsidP="008D260E">
      <w:pPr>
        <w:pStyle w:val="EndnoteText"/>
        <w:spacing w:line="480" w:lineRule="auto"/>
        <w:rPr>
          <w:sz w:val="24"/>
          <w:szCs w:val="24"/>
          <w:lang w:val="en-CA"/>
        </w:rPr>
      </w:pPr>
      <w:r w:rsidRPr="00061E6C">
        <w:rPr>
          <w:rStyle w:val="EndnoteReference"/>
          <w:sz w:val="24"/>
          <w:szCs w:val="24"/>
        </w:rPr>
        <w:footnoteRef/>
      </w:r>
      <w:r w:rsidRPr="00061E6C">
        <w:rPr>
          <w:sz w:val="24"/>
          <w:szCs w:val="24"/>
        </w:rPr>
        <w:t xml:space="preserve"> </w:t>
      </w:r>
      <w:r w:rsidRPr="008B4540">
        <w:rPr>
          <w:sz w:val="24"/>
          <w:szCs w:val="24"/>
          <w:lang w:val="en-CA"/>
        </w:rPr>
        <w:t xml:space="preserve">For the distinction between </w:t>
      </w:r>
      <w:r>
        <w:rPr>
          <w:sz w:val="24"/>
          <w:szCs w:val="24"/>
          <w:lang w:val="en-CA"/>
        </w:rPr>
        <w:t>“</w:t>
      </w:r>
      <w:r w:rsidRPr="008B4540">
        <w:rPr>
          <w:sz w:val="24"/>
          <w:szCs w:val="24"/>
          <w:lang w:val="en-CA"/>
        </w:rPr>
        <w:t>national</w:t>
      </w:r>
      <w:r>
        <w:rPr>
          <w:sz w:val="24"/>
          <w:szCs w:val="24"/>
          <w:lang w:val="en-CA"/>
        </w:rPr>
        <w:t>”</w:t>
      </w:r>
      <w:r w:rsidRPr="008B4540">
        <w:rPr>
          <w:sz w:val="24"/>
          <w:szCs w:val="24"/>
          <w:lang w:val="en-CA"/>
        </w:rPr>
        <w:t xml:space="preserve"> and </w:t>
      </w:r>
      <w:r>
        <w:rPr>
          <w:sz w:val="24"/>
          <w:szCs w:val="24"/>
          <w:lang w:val="en-CA"/>
        </w:rPr>
        <w:t>“pluralist”</w:t>
      </w:r>
      <w:r w:rsidRPr="008B4540">
        <w:rPr>
          <w:sz w:val="24"/>
          <w:szCs w:val="24"/>
          <w:lang w:val="en-CA"/>
        </w:rPr>
        <w:t xml:space="preserve"> federations see </w:t>
      </w:r>
      <w:r>
        <w:rPr>
          <w:sz w:val="24"/>
          <w:szCs w:val="24"/>
        </w:rPr>
        <w:t xml:space="preserve">Smiley and Watts (1985) and </w:t>
      </w:r>
      <w:proofErr w:type="spellStart"/>
      <w:r w:rsidRPr="008B4540">
        <w:rPr>
          <w:sz w:val="24"/>
          <w:szCs w:val="24"/>
          <w:lang w:val="en-CA"/>
        </w:rPr>
        <w:t>McGarry</w:t>
      </w:r>
      <w:proofErr w:type="spellEnd"/>
      <w:r w:rsidRPr="008B4540">
        <w:rPr>
          <w:sz w:val="24"/>
          <w:szCs w:val="24"/>
          <w:lang w:val="en-CA"/>
        </w:rPr>
        <w:t>, O’Leary and Simeon (2008).</w:t>
      </w:r>
    </w:p>
    <w:p w:rsidR="008D260E" w:rsidRPr="008D260E" w:rsidRDefault="008D260E" w:rsidP="008D260E">
      <w:pPr>
        <w:rPr>
          <w:b/>
        </w:rPr>
      </w:pPr>
      <w:r w:rsidRPr="008B4540">
        <w:rPr>
          <w:rStyle w:val="EndnoteReference"/>
          <w:sz w:val="24"/>
          <w:szCs w:val="24"/>
        </w:rPr>
        <w:footnoteRef/>
      </w:r>
      <w:r w:rsidRPr="008B4540">
        <w:rPr>
          <w:sz w:val="24"/>
          <w:szCs w:val="24"/>
        </w:rPr>
        <w:t xml:space="preserve"> </w:t>
      </w:r>
      <w:r w:rsidRPr="008B4540">
        <w:rPr>
          <w:sz w:val="24"/>
          <w:szCs w:val="24"/>
          <w:lang w:val="en-CA"/>
        </w:rPr>
        <w:t xml:space="preserve">For the distinction between </w:t>
      </w:r>
      <w:r w:rsidRPr="00C07680">
        <w:rPr>
          <w:sz w:val="24"/>
          <w:szCs w:val="24"/>
          <w:lang w:val="en-CA"/>
        </w:rPr>
        <w:t xml:space="preserve">“regional national parties” and “mainstream parties” in Western </w:t>
      </w:r>
      <w:proofErr w:type="gramStart"/>
      <w:r w:rsidRPr="00C07680">
        <w:rPr>
          <w:sz w:val="24"/>
          <w:szCs w:val="24"/>
          <w:lang w:val="en-CA"/>
        </w:rPr>
        <w:t>Europe</w:t>
      </w:r>
      <w:proofErr w:type="gramEnd"/>
      <w:r w:rsidRPr="00C07680">
        <w:rPr>
          <w:sz w:val="24"/>
          <w:szCs w:val="24"/>
          <w:lang w:val="en-CA"/>
        </w:rPr>
        <w:t xml:space="preserve"> see </w:t>
      </w:r>
      <w:proofErr w:type="spellStart"/>
      <w:r w:rsidRPr="00C07680">
        <w:rPr>
          <w:sz w:val="24"/>
          <w:szCs w:val="24"/>
          <w:lang w:val="en-CA"/>
        </w:rPr>
        <w:t>Toubeau</w:t>
      </w:r>
      <w:proofErr w:type="spellEnd"/>
      <w:r w:rsidRPr="00C07680">
        <w:rPr>
          <w:sz w:val="24"/>
          <w:szCs w:val="24"/>
          <w:lang w:val="en-CA"/>
        </w:rPr>
        <w:t xml:space="preserve"> (2011)</w:t>
      </w:r>
      <w:r>
        <w:rPr>
          <w:sz w:val="24"/>
          <w:szCs w:val="24"/>
          <w:lang w:val="en-CA"/>
        </w:rPr>
        <w:t>.</w:t>
      </w:r>
    </w:p>
    <w:p w:rsidR="008D260E" w:rsidRDefault="008D260E"/>
    <w:p w:rsidR="008D260E" w:rsidRDefault="008D260E"/>
    <w:sectPr w:rsidR="008D2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0E"/>
    <w:rsid w:val="00551548"/>
    <w:rsid w:val="008D26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7EF2"/>
  <w15:chartTrackingRefBased/>
  <w15:docId w15:val="{0BFA2622-B316-4758-8E93-218ED86C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260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8D260E"/>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unhideWhenUsed/>
    <w:rsid w:val="008D260E"/>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8D260E"/>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8D2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Shivank Joshi</dc:creator>
  <cp:keywords/>
  <dc:description/>
  <cp:lastModifiedBy>Shivank Joshi</cp:lastModifiedBy>
  <cp:revision>1</cp:revision>
  <dcterms:created xsi:type="dcterms:W3CDTF">2018-06-19T06:42:00Z</dcterms:created>
  <dcterms:modified xsi:type="dcterms:W3CDTF">2018-06-19T06:43:00Z</dcterms:modified>
</cp:coreProperties>
</file>