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E" w:rsidRDefault="00170826" w:rsidP="00435ECE">
      <w:pPr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5A0E7C">
        <w:rPr>
          <w:rFonts w:ascii="Times New Roman" w:hAnsi="Times New Roman"/>
          <w:b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DB6E56" w:rsidRPr="00435EC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>C</w:t>
      </w:r>
      <w:r w:rsidR="00DB6E56" w:rsidRPr="00435ECE">
        <w:rPr>
          <w:rFonts w:ascii="Times New Roman" w:hAnsi="Times New Roman"/>
          <w:b/>
          <w:sz w:val="24"/>
          <w:szCs w:val="24"/>
          <w:lang w:val="en-US"/>
        </w:rPr>
        <w:t>hange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>s</w:t>
      </w:r>
      <w:r w:rsidR="00DB6E56" w:rsidRPr="00435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>in</w:t>
      </w:r>
      <w:r w:rsidR="00DB6E56" w:rsidRPr="00435ECE">
        <w:rPr>
          <w:rFonts w:ascii="Times New Roman" w:hAnsi="Times New Roman"/>
          <w:b/>
          <w:sz w:val="24"/>
          <w:szCs w:val="24"/>
          <w:lang w:val="en-US"/>
        </w:rPr>
        <w:t xml:space="preserve"> protein expression levels for each studied cancer stem cell marker following treatment 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="00435ECE" w:rsidRPr="00435ECE">
        <w:rPr>
          <w:rFonts w:ascii="Times New Roman" w:hAnsi="Times New Roman"/>
          <w:b/>
          <w:sz w:val="24"/>
          <w:szCs w:val="24"/>
          <w:lang w:val="en-US"/>
        </w:rPr>
        <w:t xml:space="preserve">OSC2 cells </w:t>
      </w:r>
      <w:r w:rsidR="00DB6E56" w:rsidRPr="00435ECE">
        <w:rPr>
          <w:rFonts w:ascii="Times New Roman" w:hAnsi="Times New Roman"/>
          <w:b/>
          <w:sz w:val="24"/>
          <w:szCs w:val="24"/>
          <w:lang w:val="en-US"/>
        </w:rPr>
        <w:t xml:space="preserve">with various cisplatin concentrations (5, 10, 50 </w:t>
      </w:r>
      <w:r w:rsidR="00DB6E56" w:rsidRPr="00435ECE">
        <w:rPr>
          <w:rFonts w:ascii="Times New Roman" w:hAnsi="Times New Roman"/>
          <w:b/>
          <w:sz w:val="24"/>
          <w:szCs w:val="24"/>
        </w:rPr>
        <w:t>μ</w:t>
      </w:r>
      <w:r w:rsidR="00DB6E56" w:rsidRPr="00435ECE">
        <w:rPr>
          <w:rFonts w:ascii="Times New Roman" w:hAnsi="Times New Roman"/>
          <w:b/>
          <w:sz w:val="24"/>
          <w:szCs w:val="24"/>
          <w:lang w:val="en-US"/>
        </w:rPr>
        <w:t>M)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 xml:space="preserve"> for 72 hours</w:t>
      </w:r>
      <w:r w:rsidR="00E64576" w:rsidRPr="00435ECE">
        <w:rPr>
          <w:rFonts w:ascii="Times New Roman" w:hAnsi="Times New Roman"/>
          <w:b/>
          <w:sz w:val="24"/>
          <w:szCs w:val="24"/>
          <w:lang w:val="en-US"/>
        </w:rPr>
        <w:t>.</w:t>
      </w:r>
      <w:r w:rsidR="00435ECE" w:rsidRPr="00435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 xml:space="preserve">Data are </w:t>
      </w:r>
      <w:r w:rsidR="00435ECE" w:rsidRPr="000D4AEA">
        <w:rPr>
          <w:rFonts w:ascii="Times New Roman" w:hAnsi="Times New Roman"/>
          <w:b/>
          <w:sz w:val="24"/>
          <w:szCs w:val="24"/>
          <w:lang w:val="en-US"/>
        </w:rPr>
        <w:t xml:space="preserve">presented as percentage of 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 xml:space="preserve">the levels of each marker in </w:t>
      </w:r>
      <w:r w:rsidR="00435ECE" w:rsidRPr="000D4AEA">
        <w:rPr>
          <w:rFonts w:ascii="Times New Roman" w:hAnsi="Times New Roman"/>
          <w:b/>
          <w:sz w:val="24"/>
          <w:szCs w:val="24"/>
          <w:lang w:val="en-US"/>
        </w:rPr>
        <w:t>control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 xml:space="preserve"> untreated</w:t>
      </w:r>
      <w:r w:rsidR="00435ECE" w:rsidRPr="000D4AEA">
        <w:rPr>
          <w:rFonts w:ascii="Times New Roman" w:hAnsi="Times New Roman"/>
          <w:b/>
          <w:sz w:val="24"/>
          <w:szCs w:val="24"/>
          <w:lang w:val="en-US"/>
        </w:rPr>
        <w:t xml:space="preserve"> cells (set as 100%)</w:t>
      </w:r>
      <w:r w:rsidR="00435ECE" w:rsidRPr="00C142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>after Western blot</w:t>
      </w:r>
      <w:r w:rsidR="00435ECE" w:rsidRPr="000D4AEA">
        <w:rPr>
          <w:rFonts w:ascii="Times New Roman" w:hAnsi="Times New Roman"/>
          <w:b/>
          <w:sz w:val="24"/>
          <w:szCs w:val="24"/>
          <w:lang w:val="en-US"/>
        </w:rPr>
        <w:t xml:space="preserve"> normalization</w:t>
      </w:r>
      <w:r w:rsidR="00435ECE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pPr w:leftFromText="180" w:rightFromText="180" w:vertAnchor="page" w:horzAnchor="margin" w:tblpXSpec="center" w:tblpY="3381"/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176"/>
        <w:gridCol w:w="1176"/>
        <w:gridCol w:w="1175"/>
        <w:gridCol w:w="1175"/>
        <w:gridCol w:w="1334"/>
        <w:gridCol w:w="1335"/>
        <w:gridCol w:w="1175"/>
      </w:tblGrid>
      <w:tr w:rsidR="005F4564" w:rsidRPr="00760872" w:rsidTr="005F4564">
        <w:trPr>
          <w:trHeight w:val="504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4564" w:rsidRPr="00760872" w:rsidRDefault="005F4564" w:rsidP="005F4564">
            <w:pPr>
              <w:rPr>
                <w:b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Default="005F4564" w:rsidP="005F4564">
            <w:pPr>
              <w:rPr>
                <w:lang w:val="en-US"/>
              </w:rPr>
            </w:pPr>
          </w:p>
          <w:p w:rsidR="005F4564" w:rsidRPr="00760872" w:rsidRDefault="005F4564" w:rsidP="005F4564">
            <w:r w:rsidRPr="00760872">
              <w:rPr>
                <w:lang w:val="en-US"/>
              </w:rPr>
              <w:t>ALDH1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Default="005F4564" w:rsidP="005F4564">
            <w:pPr>
              <w:rPr>
                <w:lang w:val="en-US"/>
              </w:rPr>
            </w:pPr>
          </w:p>
          <w:p w:rsidR="005F4564" w:rsidRPr="00760872" w:rsidRDefault="005F4564" w:rsidP="005F4564">
            <w:r w:rsidRPr="00760872">
              <w:rPr>
                <w:lang w:val="en-US"/>
              </w:rPr>
              <w:t>ABCG2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Default="005F4564" w:rsidP="005F4564">
            <w:pPr>
              <w:rPr>
                <w:lang w:val="en-US"/>
              </w:rPr>
            </w:pPr>
          </w:p>
          <w:p w:rsidR="005F4564" w:rsidRPr="00760872" w:rsidRDefault="005F4564" w:rsidP="005F4564">
            <w:r w:rsidRPr="00760872">
              <w:rPr>
                <w:lang w:val="en-US"/>
              </w:rPr>
              <w:t>BMI1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Default="005F4564" w:rsidP="005F4564">
            <w:pPr>
              <w:rPr>
                <w:lang w:val="en-US"/>
              </w:rPr>
            </w:pPr>
          </w:p>
          <w:p w:rsidR="005F4564" w:rsidRPr="00760872" w:rsidRDefault="005F4564" w:rsidP="005F4564">
            <w:r w:rsidRPr="00760872">
              <w:rPr>
                <w:lang w:val="en-US"/>
              </w:rPr>
              <w:t>PDPN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Default="005F4564" w:rsidP="005F4564">
            <w:pPr>
              <w:rPr>
                <w:lang w:val="en-US"/>
              </w:rPr>
            </w:pPr>
          </w:p>
          <w:p w:rsidR="005F4564" w:rsidRPr="00760872" w:rsidRDefault="005F4564" w:rsidP="005F4564">
            <w:r w:rsidRPr="00760872">
              <w:rPr>
                <w:lang w:val="en-US"/>
              </w:rPr>
              <w:t>CD44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Default="005F4564" w:rsidP="005F4564">
            <w:pPr>
              <w:rPr>
                <w:lang w:val="en-US"/>
              </w:rPr>
            </w:pPr>
          </w:p>
          <w:p w:rsidR="005F4564" w:rsidRPr="00760872" w:rsidRDefault="005F4564" w:rsidP="005F4564">
            <w:r w:rsidRPr="00760872">
              <w:rPr>
                <w:lang w:val="en-US"/>
              </w:rPr>
              <w:t>CD133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Default="005F4564" w:rsidP="005F4564">
            <w:pPr>
              <w:rPr>
                <w:lang w:val="en-US"/>
              </w:rPr>
            </w:pPr>
          </w:p>
          <w:p w:rsidR="005F4564" w:rsidRPr="00760872" w:rsidRDefault="005F4564" w:rsidP="005F4564">
            <w:r w:rsidRPr="00760872">
              <w:rPr>
                <w:lang w:val="en-US"/>
              </w:rPr>
              <w:t>LGR4</w:t>
            </w:r>
          </w:p>
        </w:tc>
      </w:tr>
      <w:tr w:rsidR="005F4564" w:rsidRPr="00760872" w:rsidTr="005F4564">
        <w:trPr>
          <w:trHeight w:val="504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4564" w:rsidRPr="00760872" w:rsidRDefault="005F4564" w:rsidP="005F4564">
            <w:r>
              <w:rPr>
                <w:lang w:val="en-US"/>
              </w:rPr>
              <w:t>Cis 5.0</w:t>
            </w:r>
            <w:r>
              <w:t>μ</w:t>
            </w:r>
            <w:r w:rsidRPr="00760872">
              <w:rPr>
                <w:lang w:val="en-US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166%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89%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287%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108%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32%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80%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120%</w:t>
            </w:r>
          </w:p>
        </w:tc>
      </w:tr>
      <w:tr w:rsidR="005F4564" w:rsidRPr="00760872" w:rsidTr="005F4564">
        <w:trPr>
          <w:trHeight w:val="504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4564" w:rsidRPr="00760872" w:rsidRDefault="005F4564" w:rsidP="005F4564">
            <w:r>
              <w:rPr>
                <w:lang w:val="en-US"/>
              </w:rPr>
              <w:t>Cis 10.0</w:t>
            </w:r>
            <w:r>
              <w:t>μ</w:t>
            </w:r>
            <w:r w:rsidRPr="00760872">
              <w:rPr>
                <w:lang w:val="en-US"/>
              </w:rPr>
              <w:t>M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266%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215%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524%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96%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79%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160%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110%</w:t>
            </w:r>
          </w:p>
        </w:tc>
      </w:tr>
      <w:tr w:rsidR="005F4564" w:rsidRPr="00760872" w:rsidTr="005F4564">
        <w:trPr>
          <w:trHeight w:val="504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4564" w:rsidRPr="00760872" w:rsidRDefault="005F4564" w:rsidP="005F4564">
            <w:r>
              <w:rPr>
                <w:lang w:val="en-US"/>
              </w:rPr>
              <w:t>Cis 50.0</w:t>
            </w:r>
            <w:r>
              <w:t>μ</w:t>
            </w:r>
            <w:r w:rsidRPr="00760872">
              <w:rPr>
                <w:lang w:val="en-US"/>
              </w:rPr>
              <w:t>M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200%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218%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526%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114%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48%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106%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4564" w:rsidRPr="00760872" w:rsidRDefault="005F4564" w:rsidP="005F4564">
            <w:r w:rsidRPr="00760872">
              <w:t>121%</w:t>
            </w:r>
          </w:p>
        </w:tc>
      </w:tr>
    </w:tbl>
    <w:p w:rsidR="00E64576" w:rsidRPr="00435ECE" w:rsidRDefault="00E64576" w:rsidP="00E645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5397" w:rsidRDefault="00B25397" w:rsidP="00B25397">
      <w:pPr>
        <w:rPr>
          <w:lang w:val="en-US"/>
        </w:rPr>
      </w:pPr>
    </w:p>
    <w:p w:rsidR="007C0401" w:rsidRPr="00B25397" w:rsidRDefault="007C0401">
      <w:pPr>
        <w:rPr>
          <w:lang w:val="en-US"/>
        </w:rPr>
      </w:pPr>
    </w:p>
    <w:sectPr w:rsidR="007C0401" w:rsidRPr="00B25397" w:rsidSect="007C04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25397"/>
    <w:rsid w:val="00170826"/>
    <w:rsid w:val="00216427"/>
    <w:rsid w:val="00435ECE"/>
    <w:rsid w:val="005712AA"/>
    <w:rsid w:val="00571B33"/>
    <w:rsid w:val="005A0E7C"/>
    <w:rsid w:val="005F4564"/>
    <w:rsid w:val="007C0401"/>
    <w:rsid w:val="0085273D"/>
    <w:rsid w:val="00B25397"/>
    <w:rsid w:val="00CB06B2"/>
    <w:rsid w:val="00CC306B"/>
    <w:rsid w:val="00CD2452"/>
    <w:rsid w:val="00DB6E56"/>
    <w:rsid w:val="00E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97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B2"/>
    <w:rPr>
      <w:rFonts w:ascii="Segoe UI" w:hAnsi="Segoe UI" w:cs="Segoe UI"/>
      <w:sz w:val="18"/>
      <w:szCs w:val="18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97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B2"/>
    <w:rPr>
      <w:rFonts w:ascii="Segoe UI" w:hAnsi="Segoe UI" w:cs="Segoe UI"/>
      <w:sz w:val="18"/>
      <w:szCs w:val="1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D2C9011-40BC-4D79-8983-AE6DDC5A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422</Characters>
  <Application>Microsoft Office Word</Application>
  <DocSecurity>0</DocSecurity>
  <Lines>52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gkouver</dc:creator>
  <cp:lastModifiedBy>LTACHADO</cp:lastModifiedBy>
  <cp:revision>3</cp:revision>
  <cp:lastPrinted>2017-08-29T19:00:00Z</cp:lastPrinted>
  <dcterms:created xsi:type="dcterms:W3CDTF">2018-06-12T19:38:00Z</dcterms:created>
  <dcterms:modified xsi:type="dcterms:W3CDTF">2018-06-22T02:29:00Z</dcterms:modified>
</cp:coreProperties>
</file>