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7F953" w14:textId="697E8FD5" w:rsidR="004564BA" w:rsidRPr="00952C17" w:rsidRDefault="00952C17" w:rsidP="0032216F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52C17">
        <w:rPr>
          <w:rFonts w:ascii="Times New Roman" w:hAnsi="Times New Roman" w:cs="Times New Roman"/>
          <w:b/>
        </w:rPr>
        <w:t>Supplementary Appendix</w:t>
      </w:r>
    </w:p>
    <w:p w14:paraId="637DBB12" w14:textId="77777777" w:rsidR="00952C17" w:rsidRDefault="00952C17">
      <w:pPr>
        <w:rPr>
          <w:rFonts w:ascii="Times New Roman" w:hAnsi="Times New Roman" w:cs="Times New Roman"/>
        </w:rPr>
      </w:pPr>
    </w:p>
    <w:p w14:paraId="775DF3D9" w14:textId="77777777" w:rsidR="00952C17" w:rsidRPr="006D5AD3" w:rsidRDefault="00952C17" w:rsidP="00952C1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6D5AD3">
        <w:rPr>
          <w:rFonts w:ascii="Times New Roman" w:hAnsi="Times New Roman" w:cs="Times New Roman"/>
          <w:b/>
          <w:color w:val="000000" w:themeColor="text1"/>
        </w:rPr>
        <w:t>Impact of resting heart rate at 30 days following transcatheter or surgical aortic valve replacement and cardiovascular outcomes; insights from PARTNER 2 trial.</w:t>
      </w:r>
    </w:p>
    <w:p w14:paraId="1E18D2C8" w14:textId="77777777" w:rsidR="00952C17" w:rsidRPr="006D5AD3" w:rsidRDefault="00952C17" w:rsidP="00952C17">
      <w:pPr>
        <w:jc w:val="both"/>
        <w:outlineLvl w:val="0"/>
        <w:rPr>
          <w:rFonts w:ascii="Times New Roman" w:hAnsi="Times New Roman" w:cs="Times New Roman"/>
          <w:b/>
        </w:rPr>
      </w:pPr>
    </w:p>
    <w:p w14:paraId="63F1CEE2" w14:textId="77777777" w:rsidR="00952C17" w:rsidRPr="006D5AD3" w:rsidRDefault="00952C17" w:rsidP="00952C17">
      <w:pPr>
        <w:jc w:val="both"/>
        <w:rPr>
          <w:rFonts w:ascii="Times New Roman" w:hAnsi="Times New Roman" w:cs="Times New Roman"/>
        </w:rPr>
      </w:pPr>
    </w:p>
    <w:p w14:paraId="77FAC562" w14:textId="439399AF" w:rsidR="00D7501A" w:rsidRPr="00B3083B" w:rsidRDefault="00D7501A" w:rsidP="00D7501A">
      <w:pPr>
        <w:jc w:val="center"/>
        <w:rPr>
          <w:rFonts w:ascii="Times New Roman" w:hAnsi="Times New Roman" w:cs="Times New Roman"/>
          <w:bCs/>
          <w:vertAlign w:val="superscript"/>
        </w:rPr>
      </w:pPr>
      <w:r w:rsidRPr="00C65FE9">
        <w:rPr>
          <w:rFonts w:ascii="Times New Roman" w:hAnsi="Times New Roman" w:cs="Times New Roman"/>
        </w:rPr>
        <w:t>Leon G.R. Macedo, MD, Ioanna Kosmidou, MD PhD, Aaron Crowley, M</w:t>
      </w:r>
      <w:r>
        <w:rPr>
          <w:rFonts w:ascii="Times New Roman" w:hAnsi="Times New Roman" w:cs="Times New Roman"/>
        </w:rPr>
        <w:t>A</w:t>
      </w:r>
      <w:r w:rsidRPr="00C65FE9">
        <w:rPr>
          <w:rFonts w:ascii="Times New Roman" w:hAnsi="Times New Roman" w:cs="Times New Roman"/>
        </w:rPr>
        <w:t xml:space="preserve">, </w:t>
      </w:r>
      <w:r w:rsidRPr="001770A4">
        <w:rPr>
          <w:rFonts w:ascii="Times New Roman" w:hAnsi="Times New Roman" w:cs="Times New Roman"/>
        </w:rPr>
        <w:t xml:space="preserve">Maria Alu, </w:t>
      </w:r>
      <w:r>
        <w:rPr>
          <w:rFonts w:ascii="Times New Roman" w:hAnsi="Times New Roman" w:cs="Times New Roman"/>
        </w:rPr>
        <w:t>MS</w:t>
      </w:r>
      <w:r w:rsidRPr="001770A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65FE9">
        <w:rPr>
          <w:rFonts w:ascii="Times New Roman" w:hAnsi="Times New Roman" w:cs="Times New Roman"/>
          <w:bCs/>
        </w:rPr>
        <w:t xml:space="preserve">Fabien Praz, MD, </w:t>
      </w:r>
      <w:r>
        <w:rPr>
          <w:rFonts w:ascii="Times New Roman" w:hAnsi="Times New Roman" w:cs="Times New Roman"/>
          <w:bCs/>
        </w:rPr>
        <w:t xml:space="preserve">Shmuel Chen, MD PhD, </w:t>
      </w:r>
      <w:r w:rsidRPr="00C65FE9">
        <w:rPr>
          <w:rFonts w:ascii="Times New Roman" w:hAnsi="Times New Roman" w:cs="Times New Roman"/>
          <w:bCs/>
        </w:rPr>
        <w:t xml:space="preserve">Tamim Nazif, MD, Vasilis Babaliaros, MD, Howard C. Herrmann, MD, Samir Kapadia, MD, Raj Makkar, MD, John Webb, MD, Vinod H. Thourani, MD, Martin B. Leon, MD, </w:t>
      </w:r>
      <w:r w:rsidRPr="00C65FE9">
        <w:rPr>
          <w:rFonts w:ascii="Times New Roman" w:hAnsi="Times New Roman" w:cs="Times New Roman"/>
        </w:rPr>
        <w:t>Susheel Kodali, MD</w:t>
      </w:r>
    </w:p>
    <w:p w14:paraId="767238D3" w14:textId="77777777" w:rsidR="00952C17" w:rsidRDefault="00952C17" w:rsidP="00952C17">
      <w:pPr>
        <w:jc w:val="both"/>
        <w:rPr>
          <w:rFonts w:ascii="Times New Roman" w:hAnsi="Times New Roman" w:cs="Times New Roman"/>
        </w:rPr>
      </w:pPr>
    </w:p>
    <w:p w14:paraId="16FAE34D" w14:textId="77777777" w:rsidR="00952C17" w:rsidRDefault="00952C17" w:rsidP="00952C17">
      <w:pPr>
        <w:jc w:val="both"/>
        <w:rPr>
          <w:rFonts w:ascii="Times New Roman" w:hAnsi="Times New Roman" w:cs="Times New Roman"/>
        </w:rPr>
      </w:pPr>
    </w:p>
    <w:p w14:paraId="31EEC323" w14:textId="77777777" w:rsidR="00952C17" w:rsidRDefault="00952C17" w:rsidP="00952C17">
      <w:pPr>
        <w:jc w:val="both"/>
        <w:rPr>
          <w:rFonts w:ascii="Times New Roman" w:hAnsi="Times New Roman" w:cs="Times New Roman"/>
        </w:rPr>
      </w:pPr>
    </w:p>
    <w:p w14:paraId="3760C69B" w14:textId="77777777" w:rsidR="00952C17" w:rsidRPr="006B41E0" w:rsidRDefault="00952C17">
      <w:pPr>
        <w:rPr>
          <w:rFonts w:ascii="Times New Roman" w:hAnsi="Times New Roman" w:cs="Times New Roman"/>
        </w:rPr>
      </w:pPr>
    </w:p>
    <w:p w14:paraId="27C747B0" w14:textId="77777777" w:rsidR="00D7501A" w:rsidRDefault="00D750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354BDCB" w14:textId="2A1FFA04" w:rsidR="00B90DB9" w:rsidRPr="006B41E0" w:rsidRDefault="001D0D9E" w:rsidP="001D0D9E">
      <w:pPr>
        <w:pStyle w:val="NoSpacing"/>
        <w:rPr>
          <w:rFonts w:ascii="Times New Roman" w:hAnsi="Times New Roman" w:cs="Times New Roman"/>
        </w:rPr>
      </w:pPr>
      <w:r w:rsidRPr="00952C17">
        <w:rPr>
          <w:rFonts w:ascii="Times New Roman" w:hAnsi="Times New Roman" w:cs="Times New Roman"/>
          <w:b/>
        </w:rPr>
        <w:lastRenderedPageBreak/>
        <w:t>Supplementa</w:t>
      </w:r>
      <w:r w:rsidR="00952C17" w:rsidRPr="00952C17">
        <w:rPr>
          <w:rFonts w:ascii="Times New Roman" w:hAnsi="Times New Roman" w:cs="Times New Roman"/>
          <w:b/>
        </w:rPr>
        <w:t>l</w:t>
      </w:r>
      <w:r w:rsidRPr="00952C17">
        <w:rPr>
          <w:rFonts w:ascii="Times New Roman" w:hAnsi="Times New Roman" w:cs="Times New Roman"/>
          <w:b/>
        </w:rPr>
        <w:t xml:space="preserve"> </w:t>
      </w:r>
      <w:r w:rsidR="00952C17" w:rsidRPr="001E399F">
        <w:rPr>
          <w:rFonts w:ascii="Times New Roman" w:hAnsi="Times New Roman" w:cs="Times New Roman"/>
          <w:b/>
        </w:rPr>
        <w:t>T</w:t>
      </w:r>
      <w:r w:rsidRPr="001E399F">
        <w:rPr>
          <w:rFonts w:ascii="Times New Roman" w:hAnsi="Times New Roman" w:cs="Times New Roman"/>
          <w:b/>
        </w:rPr>
        <w:t>able 1</w:t>
      </w:r>
      <w:r w:rsidR="001E399F" w:rsidRPr="001E399F">
        <w:rPr>
          <w:rFonts w:ascii="Times New Roman" w:hAnsi="Times New Roman" w:cs="Times New Roman"/>
          <w:b/>
        </w:rPr>
        <w:t xml:space="preserve">: Complete multivariable </w:t>
      </w:r>
      <w:r w:rsidR="00952C17" w:rsidRPr="001E399F">
        <w:rPr>
          <w:rFonts w:ascii="Times New Roman" w:hAnsi="Times New Roman" w:cs="Times New Roman"/>
          <w:b/>
        </w:rPr>
        <w:t>model of the composite endpoint of death, rehospitalization or stroke at</w:t>
      </w:r>
      <w:r w:rsidRPr="001E399F">
        <w:rPr>
          <w:rFonts w:ascii="Times New Roman" w:hAnsi="Times New Roman" w:cs="Times New Roman"/>
          <w:b/>
        </w:rPr>
        <w:t xml:space="preserve"> 2 years</w:t>
      </w:r>
      <w:r w:rsidRPr="006B41E0">
        <w:rPr>
          <w:rFonts w:ascii="Times New Roman" w:hAnsi="Times New Roman" w:cs="Times New Roman"/>
        </w:rPr>
        <w:t xml:space="preserve"> </w:t>
      </w:r>
    </w:p>
    <w:tbl>
      <w:tblPr>
        <w:tblW w:w="12955" w:type="dxa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065"/>
        <w:gridCol w:w="990"/>
        <w:gridCol w:w="1080"/>
        <w:gridCol w:w="5490"/>
        <w:gridCol w:w="2070"/>
        <w:gridCol w:w="1260"/>
      </w:tblGrid>
      <w:tr w:rsidR="001E399F" w:rsidRPr="006B41E0" w14:paraId="3D12ECB1" w14:textId="77777777" w:rsidTr="00407159">
        <w:trPr>
          <w:trHeight w:val="280"/>
        </w:trPr>
        <w:tc>
          <w:tcPr>
            <w:tcW w:w="206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7531FBA" w14:textId="043AEC85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AF4EC87" w14:textId="77777777" w:rsidR="001E399F" w:rsidRPr="001E399F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122B53B" w14:textId="39184649" w:rsidR="001E399F" w:rsidRPr="001E399F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Patients</w:t>
            </w:r>
          </w:p>
        </w:tc>
        <w:tc>
          <w:tcPr>
            <w:tcW w:w="5490" w:type="dxa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B8F8F7E" w14:textId="77777777" w:rsidR="001E399F" w:rsidRPr="001E399F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070" w:type="dxa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D7BBFF0" w14:textId="77777777" w:rsidR="001E399F" w:rsidRPr="001E399F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1260" w:type="dxa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F7F2DF5" w14:textId="77777777" w:rsidR="001E399F" w:rsidRPr="001E399F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1E399F" w:rsidRPr="006B41E0" w14:paraId="294F5522" w14:textId="77777777" w:rsidTr="00407159">
        <w:trPr>
          <w:trHeight w:val="280"/>
        </w:trPr>
        <w:tc>
          <w:tcPr>
            <w:tcW w:w="2065" w:type="dxa"/>
            <w:vMerge w:val="restart"/>
            <w:tcBorders>
              <w:top w:val="nil"/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A0F103B" w14:textId="77777777" w:rsidR="001E399F" w:rsidRPr="00952C17" w:rsidRDefault="001E399F" w:rsidP="00952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Death, </w:t>
            </w:r>
          </w:p>
          <w:p w14:paraId="28987487" w14:textId="1454491D" w:rsidR="001E399F" w:rsidRPr="00952C17" w:rsidRDefault="001E399F" w:rsidP="00952C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rehospitalization, or stroke</w:t>
            </w:r>
          </w:p>
          <w:p w14:paraId="7BBB180F" w14:textId="77777777" w:rsidR="001E399F" w:rsidRPr="00952C17" w:rsidRDefault="001E399F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5397006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2F7E435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AFAAF3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E20319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41B1D37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F3C72A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D07B99F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C690F4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57B329D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251907E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442510E" w14:textId="14253F14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F2C522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522</w:t>
            </w:r>
          </w:p>
          <w:p w14:paraId="1257F09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2B4BB3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A7F5DA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339021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D11591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D94689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17CEBB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06B2E7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AE3199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558DDAA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D3CA49E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A83FD6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49DB84F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1B4584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</w:tcBorders>
            <w:shd w:val="clear" w:color="000000" w:fill="auto"/>
            <w:noWrap/>
            <w:vAlign w:val="bottom"/>
            <w:hideMark/>
          </w:tcPr>
          <w:p w14:paraId="6EABBB17" w14:textId="7341810F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3170</w:t>
            </w:r>
          </w:p>
          <w:p w14:paraId="4D3541A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F23F3C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14C639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A95CEE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02F6A8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616AB7D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EBDAA3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D37ACA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BE6CCF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05130C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5C8824E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83BBF87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72F8C0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61C27F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1136CBE9" w14:textId="33C8379F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Resting h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eart rate at 30 days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(per 5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bpm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61683710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1.07 (1.03, 1.11)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761546F0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0.0007</w:t>
            </w:r>
          </w:p>
        </w:tc>
      </w:tr>
      <w:tr w:rsidR="001E399F" w:rsidRPr="006B41E0" w14:paraId="709B1CDC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381BB3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2F7F9D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E392E55" w14:textId="4A5F1F50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72B362AC" w14:textId="4948701A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Actual treatment, TAVR vs.</w:t>
            </w:r>
            <w:r w:rsidR="004071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SAVR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76578CC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1.10 (0.84, 1.43)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17C1606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0.49</w:t>
            </w:r>
          </w:p>
        </w:tc>
      </w:tr>
      <w:tr w:rsidR="001E399F" w:rsidRPr="006B41E0" w14:paraId="155D725B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AF29E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FE70757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D116394" w14:textId="657F8293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1F260FD7" w14:textId="6C012175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Age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10 years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236BC52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1.05 (0.92, 1.19)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7877574F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0.45</w:t>
            </w:r>
          </w:p>
        </w:tc>
      </w:tr>
      <w:tr w:rsidR="001E399F" w:rsidRPr="006B41E0" w14:paraId="565279DB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CF8BBE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D4CE17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9723837" w14:textId="7A7A9A70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2DE399B5" w14:textId="0636C9CB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Male sex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7D406FD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0.97 (0.80, 1.18)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2C0EFED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0.74</w:t>
            </w:r>
          </w:p>
        </w:tc>
      </w:tr>
      <w:tr w:rsidR="001E399F" w:rsidRPr="006B41E0" w14:paraId="3158EE9D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519AFE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57E3FF5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47686A54" w14:textId="71B7506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0BC3E792" w14:textId="0E0937C8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BMI (per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5 kg/m</w:t>
            </w:r>
            <w:r w:rsidRPr="00952C1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506BF24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0.96 (0.89, 1.03)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583982BA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0.28</w:t>
            </w:r>
          </w:p>
        </w:tc>
      </w:tr>
      <w:tr w:rsidR="001E399F" w:rsidRPr="006B41E0" w14:paraId="05636886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BC6DD1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71CB650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038AF7AE" w14:textId="786D110F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054C6ECF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Diabetes mellitus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1AEE50F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1.28 (0.98, 1.66)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43A3FE6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0.07</w:t>
            </w:r>
          </w:p>
        </w:tc>
      </w:tr>
      <w:tr w:rsidR="001E399F" w:rsidRPr="006B41E0" w14:paraId="5088D651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1AD8B8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CDE83A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3B529F0F" w14:textId="7513B62B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6BACDFCF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COPD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20AAF27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1.10 (0.91, 1.33)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5923E15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0.34</w:t>
            </w:r>
          </w:p>
        </w:tc>
      </w:tr>
      <w:tr w:rsidR="001E399F" w:rsidRPr="006B41E0" w14:paraId="036564D9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C92CA1A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66017C5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F7CAF9D" w14:textId="16679429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6D6A0C13" w14:textId="2C5EA49A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Creatinine ≥ 2  mg/dL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473EE41F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1.51 (1.11, 2.06)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52C24F3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0.009</w:t>
            </w:r>
          </w:p>
        </w:tc>
      </w:tr>
      <w:tr w:rsidR="001E399F" w:rsidRPr="006B41E0" w14:paraId="3A3AFA2F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3DA7BF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FD2E090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67FDDDBC" w14:textId="39CE4C59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113064F1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NYHA III or IV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078A4A4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1.03 (0.81, 1.31)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5F50CFA6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0.80</w:t>
            </w:r>
          </w:p>
        </w:tc>
      </w:tr>
      <w:tr w:rsidR="001E399F" w:rsidRPr="006B41E0" w14:paraId="490EE9D5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39C9F9D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AA408E7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1F6489A" w14:textId="38E4072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104C2F1D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Coronary artery disease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4261FEF4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1.19 (0.92, 1.54)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447EA1B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0.17</w:t>
            </w:r>
          </w:p>
        </w:tc>
      </w:tr>
      <w:tr w:rsidR="001E399F" w:rsidRPr="006B41E0" w14:paraId="41A2F013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C2D6FF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62E0E0E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3FDE246D" w14:textId="736173F1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48282E4F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Hypertension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66E5B39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1.00 (0.70, 1.44)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15282F15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0.98</w:t>
            </w:r>
          </w:p>
        </w:tc>
      </w:tr>
      <w:tr w:rsidR="001E399F" w:rsidRPr="006B41E0" w14:paraId="1FC5FB0F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2E0F2A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AC8C948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3DE8ADF" w14:textId="195298F9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3B82844C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Prior PCI or CABG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6DE8AD8B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1.07 (0.87, 1.33)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12569CB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0.51</w:t>
            </w:r>
          </w:p>
        </w:tc>
      </w:tr>
      <w:tr w:rsidR="001E399F" w:rsidRPr="006B41E0" w14:paraId="04725D3C" w14:textId="77777777" w:rsidTr="00407159">
        <w:trPr>
          <w:trHeight w:val="280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3D303D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B705A1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703C2A12" w14:textId="2FF86DCE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4F26E3F5" w14:textId="012D9123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LVEF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 per 5%)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7D3EAFC7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0.97 (0.93, 1.00)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68EA6D5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0.07</w:t>
            </w:r>
          </w:p>
        </w:tc>
      </w:tr>
      <w:tr w:rsidR="001E399F" w:rsidRPr="006B41E0" w14:paraId="0395FA93" w14:textId="77777777" w:rsidTr="00407159">
        <w:trPr>
          <w:trHeight w:val="297"/>
        </w:trPr>
        <w:tc>
          <w:tcPr>
            <w:tcW w:w="206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26F6F1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806545E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</w:tcBorders>
            <w:shd w:val="clear" w:color="000000" w:fill="auto"/>
            <w:noWrap/>
            <w:vAlign w:val="bottom"/>
            <w:hideMark/>
          </w:tcPr>
          <w:p w14:paraId="25DF9A21" w14:textId="5913973B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shd w:val="clear" w:color="000000" w:fill="auto"/>
            <w:noWrap/>
            <w:vAlign w:val="bottom"/>
            <w:hideMark/>
          </w:tcPr>
          <w:p w14:paraId="0E28A0C2" w14:textId="3A8DA46F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Atrioventricular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pacing at 30 days</w:t>
            </w:r>
          </w:p>
        </w:tc>
        <w:tc>
          <w:tcPr>
            <w:tcW w:w="2070" w:type="dxa"/>
            <w:shd w:val="clear" w:color="000000" w:fill="auto"/>
            <w:noWrap/>
            <w:vAlign w:val="bottom"/>
            <w:hideMark/>
          </w:tcPr>
          <w:p w14:paraId="57590211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0.83 (0.60, 1.14)</w:t>
            </w:r>
          </w:p>
        </w:tc>
        <w:tc>
          <w:tcPr>
            <w:tcW w:w="1260" w:type="dxa"/>
            <w:shd w:val="clear" w:color="000000" w:fill="auto"/>
            <w:noWrap/>
            <w:vAlign w:val="bottom"/>
            <w:hideMark/>
          </w:tcPr>
          <w:p w14:paraId="0CB1299C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0.25</w:t>
            </w:r>
          </w:p>
        </w:tc>
      </w:tr>
      <w:tr w:rsidR="001E399F" w:rsidRPr="006B41E0" w14:paraId="37FB6801" w14:textId="77777777" w:rsidTr="00407159">
        <w:trPr>
          <w:trHeight w:val="288"/>
        </w:trPr>
        <w:tc>
          <w:tcPr>
            <w:tcW w:w="2065" w:type="dxa"/>
            <w:vMerge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BBA9605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01A15A2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3BCBD31" w14:textId="3BD01772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2AB2FCBC" w14:textId="77777777" w:rsidR="001E399F" w:rsidRPr="006B41E0" w:rsidRDefault="001E399F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Beta-blocker use at 30 days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04D700D9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0.97 (0.80, 1.18)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000000" w:fill="auto"/>
            <w:noWrap/>
            <w:vAlign w:val="bottom"/>
            <w:hideMark/>
          </w:tcPr>
          <w:p w14:paraId="474833E3" w14:textId="77777777" w:rsidR="001E399F" w:rsidRPr="006B41E0" w:rsidRDefault="001E399F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0.76</w:t>
            </w:r>
          </w:p>
        </w:tc>
      </w:tr>
    </w:tbl>
    <w:p w14:paraId="42D1AE5A" w14:textId="47E11D3C" w:rsidR="00AD3FC9" w:rsidRPr="006B41E0" w:rsidRDefault="00AD3FC9" w:rsidP="003F1820">
      <w:pPr>
        <w:jc w:val="both"/>
        <w:rPr>
          <w:rFonts w:ascii="Times New Roman" w:hAnsi="Times New Roman" w:cs="Times New Roman"/>
          <w:color w:val="2D2829"/>
        </w:rPr>
      </w:pPr>
      <w:r w:rsidRPr="006B41E0">
        <w:rPr>
          <w:rFonts w:ascii="Times New Roman" w:hAnsi="Times New Roman" w:cs="Times New Roman"/>
          <w:color w:val="2D2829"/>
        </w:rPr>
        <w:t>Hazard ratios (HR) and 95% confidence intervals (95% CI) are estimated by Cox proportional hazards regression models stratified by study</w:t>
      </w:r>
      <w:r w:rsidR="00407159">
        <w:rPr>
          <w:rFonts w:ascii="Times New Roman" w:hAnsi="Times New Roman" w:cs="Times New Roman"/>
          <w:color w:val="2D2829"/>
        </w:rPr>
        <w:t xml:space="preserve"> cohort</w:t>
      </w:r>
      <w:r w:rsidRPr="006B41E0">
        <w:rPr>
          <w:rFonts w:ascii="Times New Roman" w:hAnsi="Times New Roman" w:cs="Times New Roman"/>
          <w:color w:val="2D2829"/>
        </w:rPr>
        <w:t>.</w:t>
      </w:r>
    </w:p>
    <w:p w14:paraId="011A912F" w14:textId="1DB37D86" w:rsidR="003F1820" w:rsidRPr="006B41E0" w:rsidRDefault="008C3105" w:rsidP="003F1820">
      <w:pPr>
        <w:jc w:val="both"/>
        <w:rPr>
          <w:rFonts w:ascii="Times New Roman" w:hAnsi="Times New Roman" w:cs="Times New Roman"/>
          <w:color w:val="2D2829"/>
        </w:rPr>
      </w:pPr>
      <w:r w:rsidRPr="006B41E0">
        <w:rPr>
          <w:rFonts w:ascii="Times New Roman" w:hAnsi="Times New Roman" w:cs="Times New Roman"/>
          <w:color w:val="2D2829"/>
        </w:rPr>
        <w:t xml:space="preserve">TAVR; transcatheter aortic valve replacement; SAVR, surgical valve replacement; </w:t>
      </w:r>
      <w:r w:rsidR="003F1820" w:rsidRPr="006B41E0">
        <w:rPr>
          <w:rFonts w:ascii="Times New Roman" w:hAnsi="Times New Roman" w:cs="Times New Roman"/>
          <w:color w:val="2D2829"/>
        </w:rPr>
        <w:t xml:space="preserve">BMI, body mass index; COPD, </w:t>
      </w:r>
      <w:r w:rsidR="003F1820" w:rsidRPr="006B41E0">
        <w:rPr>
          <w:rFonts w:ascii="Times New Roman" w:hAnsi="Times New Roman" w:cs="Times New Roman"/>
          <w:bCs/>
          <w:color w:val="2D2829"/>
        </w:rPr>
        <w:t>chronic obstructive pulmonary disease;</w:t>
      </w:r>
      <w:r w:rsidRPr="006B41E0">
        <w:rPr>
          <w:rFonts w:ascii="Times New Roman" w:hAnsi="Times New Roman" w:cs="Times New Roman"/>
          <w:color w:val="2D2829"/>
        </w:rPr>
        <w:t xml:space="preserve"> NYHA, New York Heart Association heart failure class III or IV</w:t>
      </w:r>
      <w:r w:rsidR="003F1820" w:rsidRPr="006B41E0">
        <w:rPr>
          <w:rFonts w:ascii="Times New Roman" w:hAnsi="Times New Roman" w:cs="Times New Roman"/>
          <w:color w:val="2D2829"/>
        </w:rPr>
        <w:t>; PCI, percutaneous coronary intervention; CABG, coronary artery bypass grafting; LVEF, left</w:t>
      </w:r>
      <w:r w:rsidR="00952C17">
        <w:rPr>
          <w:rFonts w:ascii="Times New Roman" w:hAnsi="Times New Roman" w:cs="Times New Roman"/>
          <w:color w:val="2D2829"/>
        </w:rPr>
        <w:t xml:space="preserve"> ventricular ejection fraction</w:t>
      </w:r>
    </w:p>
    <w:p w14:paraId="73406D6C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09B2AEAB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26E37A77" w14:textId="77777777" w:rsidR="00B90DB9" w:rsidRPr="006B41E0" w:rsidRDefault="00B90DB9">
      <w:pPr>
        <w:rPr>
          <w:rFonts w:ascii="Times New Roman" w:hAnsi="Times New Roman" w:cs="Times New Roman"/>
        </w:rPr>
      </w:pPr>
    </w:p>
    <w:p w14:paraId="7FDDDE60" w14:textId="77777777" w:rsidR="002C5D5B" w:rsidRPr="006B41E0" w:rsidRDefault="002C5D5B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</w:rPr>
        <w:br w:type="page"/>
      </w:r>
    </w:p>
    <w:p w14:paraId="7DA8FD16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57022AB4" w14:textId="4F572C0D" w:rsidR="002C5D5B" w:rsidRPr="001E399F" w:rsidRDefault="001D0D9E" w:rsidP="001D0D9E">
      <w:pPr>
        <w:pStyle w:val="NoSpacing"/>
        <w:rPr>
          <w:rFonts w:ascii="Times New Roman" w:hAnsi="Times New Roman" w:cs="Times New Roman"/>
          <w:b/>
        </w:rPr>
      </w:pPr>
      <w:r w:rsidRPr="001E399F">
        <w:rPr>
          <w:rFonts w:ascii="Times New Roman" w:hAnsi="Times New Roman" w:cs="Times New Roman"/>
          <w:b/>
        </w:rPr>
        <w:t>Supplementa</w:t>
      </w:r>
      <w:r w:rsidR="00952C17" w:rsidRPr="001E399F">
        <w:rPr>
          <w:rFonts w:ascii="Times New Roman" w:hAnsi="Times New Roman" w:cs="Times New Roman"/>
          <w:b/>
        </w:rPr>
        <w:t>l</w:t>
      </w:r>
      <w:r w:rsidRPr="001E399F">
        <w:rPr>
          <w:rFonts w:ascii="Times New Roman" w:hAnsi="Times New Roman" w:cs="Times New Roman"/>
          <w:b/>
        </w:rPr>
        <w:t xml:space="preserve"> </w:t>
      </w:r>
      <w:r w:rsidR="00952C17" w:rsidRPr="001E399F">
        <w:rPr>
          <w:rFonts w:ascii="Times New Roman" w:hAnsi="Times New Roman" w:cs="Times New Roman"/>
          <w:b/>
        </w:rPr>
        <w:t>T</w:t>
      </w:r>
      <w:r w:rsidRPr="001E399F">
        <w:rPr>
          <w:rFonts w:ascii="Times New Roman" w:hAnsi="Times New Roman" w:cs="Times New Roman"/>
          <w:b/>
        </w:rPr>
        <w:t xml:space="preserve">able 2: </w:t>
      </w:r>
      <w:r w:rsidR="001E399F" w:rsidRPr="001E399F">
        <w:rPr>
          <w:rFonts w:ascii="Times New Roman" w:hAnsi="Times New Roman" w:cs="Times New Roman"/>
          <w:b/>
        </w:rPr>
        <w:t>F</w:t>
      </w:r>
      <w:r w:rsidRPr="001E399F">
        <w:rPr>
          <w:rFonts w:ascii="Times New Roman" w:hAnsi="Times New Roman" w:cs="Times New Roman"/>
          <w:b/>
        </w:rPr>
        <w:t>ull model of adjudicative rehospitalization events from 30 days to 2 years in RHR as a continuous variable</w:t>
      </w:r>
    </w:p>
    <w:tbl>
      <w:tblPr>
        <w:tblW w:w="12595" w:type="dxa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335"/>
        <w:gridCol w:w="1170"/>
        <w:gridCol w:w="1170"/>
        <w:gridCol w:w="4500"/>
        <w:gridCol w:w="2160"/>
        <w:gridCol w:w="1260"/>
      </w:tblGrid>
      <w:tr w:rsidR="00952C17" w:rsidRPr="006B41E0" w14:paraId="309A8E24" w14:textId="77777777" w:rsidTr="00407159">
        <w:trPr>
          <w:trHeight w:val="280"/>
        </w:trPr>
        <w:tc>
          <w:tcPr>
            <w:tcW w:w="233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2282CC3" w14:textId="606F0D3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A4A0769" w14:textId="77777777" w:rsidR="00952C17" w:rsidRPr="001E399F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50B276E" w14:textId="77777777" w:rsidR="00952C17" w:rsidRPr="001E399F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7F46A1A" w14:textId="77777777" w:rsidR="00952C17" w:rsidRPr="001E399F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037FA2A" w14:textId="77777777" w:rsidR="00952C17" w:rsidRPr="001E399F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E850841" w14:textId="77777777" w:rsidR="00952C17" w:rsidRPr="001E399F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E39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952C17" w:rsidRPr="006B41E0" w14:paraId="65599C06" w14:textId="77777777" w:rsidTr="00407159">
        <w:trPr>
          <w:trHeight w:val="280"/>
        </w:trPr>
        <w:tc>
          <w:tcPr>
            <w:tcW w:w="2335" w:type="dxa"/>
            <w:vMerge w:val="restart"/>
            <w:tcBorders>
              <w:top w:val="nil"/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44BBD77" w14:textId="78608C56" w:rsidR="00952C17" w:rsidRPr="00952C17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Aortic Valve Related Rehospitalization</w:t>
            </w:r>
          </w:p>
          <w:p w14:paraId="58B05585" w14:textId="77777777" w:rsidR="00952C17" w:rsidRPr="00952C17" w:rsidRDefault="00952C17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52C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7FCDC09B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362ECBA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5205D22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5A1B8B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8383CB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07F0CF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520D4DF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793158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0AD9D7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F7E5AEF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D735CF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EC177EA" w14:textId="41B7DE48" w:rsidR="00952C17" w:rsidRPr="006B41E0" w:rsidRDefault="00952C17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F221BBC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322</w:t>
            </w:r>
          </w:p>
          <w:p w14:paraId="7A8EB8F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05AA20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006359D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943B0C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4E1E65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94D55F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6E8BD5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9B4010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99753C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D7535F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4A2E05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7859DF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C09A1DC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893574D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78911C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3170</w:t>
            </w:r>
          </w:p>
          <w:p w14:paraId="507B828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D4AD48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AC7F8F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4A6DED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0C0BAE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CCED1A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54D2A0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C51A01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277548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6F234B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4DCB4AF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20C688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111E8EA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72140DB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C20879" w14:textId="52F1E945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Heart rate at 30 days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5 bpm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B9A135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1.09 (1.04, 1.14)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0E4D20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0.0003</w:t>
            </w:r>
          </w:p>
        </w:tc>
      </w:tr>
      <w:tr w:rsidR="00952C17" w:rsidRPr="006B41E0" w14:paraId="6BF50072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C3715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9DFEFC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FE384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C0C75E" w14:textId="2DEDDC13" w:rsidR="00952C17" w:rsidRPr="006B41E0" w:rsidRDefault="00952C17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Actual treatment, TAVR vs. SAVR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A24EC6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1.31 (0.91, 1.87)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58D61F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0.14</w:t>
            </w:r>
          </w:p>
        </w:tc>
      </w:tr>
      <w:tr w:rsidR="00952C17" w:rsidRPr="006B41E0" w14:paraId="42C2B1BD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1F17F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0E63C3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BA0BE4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0B0A1C2" w14:textId="724C86FD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Age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10 years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18B92B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1.01 (0.87, 1.18)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684767F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0.88</w:t>
            </w:r>
          </w:p>
        </w:tc>
      </w:tr>
      <w:tr w:rsidR="00952C17" w:rsidRPr="006B41E0" w14:paraId="314EBF6B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229841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DBC42F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A60C4F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D70C7B0" w14:textId="7D1BD74A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Male sex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85BB8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0.79 (0.61, 1.01)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B77E31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0.059</w:t>
            </w:r>
          </w:p>
        </w:tc>
      </w:tr>
      <w:tr w:rsidR="00952C17" w:rsidRPr="006B41E0" w14:paraId="436EF3A0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512473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942A63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CEEEC9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4F70C35" w14:textId="0D5DE90F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BMI (per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5 kg/m</w:t>
            </w:r>
            <w:r w:rsidRPr="00952C1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06CBA4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1.05 (0.96, 1.14)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632518A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0.33</w:t>
            </w:r>
          </w:p>
        </w:tc>
      </w:tr>
      <w:tr w:rsidR="00952C17" w:rsidRPr="006B41E0" w14:paraId="29C42972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285087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4A2475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097E8D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ECB5857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Diabetes mellitus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608F43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1.23 (0.89, 1.70)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08DC4D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0.21</w:t>
            </w:r>
          </w:p>
        </w:tc>
      </w:tr>
      <w:tr w:rsidR="00952C17" w:rsidRPr="006B41E0" w14:paraId="32CF62B5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576B1A2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5898F0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941176C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2C6B31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COPD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334CB3D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1.27 (1.00, 1.62)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B65934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0.049</w:t>
            </w:r>
          </w:p>
        </w:tc>
      </w:tr>
      <w:tr w:rsidR="00952C17" w:rsidRPr="006B41E0" w14:paraId="04B55D7F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90A8CD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CA4B8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FC06D0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24AB51" w14:textId="6DBB6D94" w:rsidR="00952C17" w:rsidRPr="006B41E0" w:rsidRDefault="00952C17" w:rsidP="00952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Creatinine ≥ 2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mg/dL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76440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1.49 (1.01, 2.21)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A1DCFB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0.045</w:t>
            </w:r>
          </w:p>
        </w:tc>
      </w:tr>
      <w:tr w:rsidR="00952C17" w:rsidRPr="006B41E0" w14:paraId="30F0A8DC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CD07A5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4F27E6D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5E8EA2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36A8EE3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NYHA III or IV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B65B66B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1.11 (0.80, 1.53)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813F6D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0.55</w:t>
            </w:r>
          </w:p>
        </w:tc>
      </w:tr>
      <w:tr w:rsidR="00952C17" w:rsidRPr="006B41E0" w14:paraId="19D43E46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B8AE05B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CDD422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84FE45C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BF86641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Coronary artery disease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2C1C9E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1.30 (0.93, 1.81)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F6AA8A2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0.13</w:t>
            </w:r>
          </w:p>
        </w:tc>
      </w:tr>
      <w:tr w:rsidR="00952C17" w:rsidRPr="006B41E0" w14:paraId="3D58E463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65D1BA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32BC5A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14A85E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2FF36BA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Hypertension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DEB333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1.01 (0.63, 1.61)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3181135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0.97</w:t>
            </w:r>
          </w:p>
        </w:tc>
      </w:tr>
      <w:tr w:rsidR="00952C17" w:rsidRPr="006B41E0" w14:paraId="62951369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63E846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76A467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1E6EBE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18B4053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Prior PCI or CABG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0FDA444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1.18 (0.90, 1.55)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D939A5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0.23</w:t>
            </w:r>
          </w:p>
        </w:tc>
      </w:tr>
      <w:tr w:rsidR="00952C17" w:rsidRPr="006B41E0" w14:paraId="3A87C972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C167D2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5CB60F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6538E83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8F2CED" w14:textId="61E94100" w:rsidR="00952C17" w:rsidRPr="006B41E0" w:rsidRDefault="00952C17" w:rsidP="00952C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LVEF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5%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3730D1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0.96 (0.92, 1.01)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D58963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0.09</w:t>
            </w:r>
          </w:p>
        </w:tc>
      </w:tr>
      <w:tr w:rsidR="00952C17" w:rsidRPr="006B41E0" w14:paraId="55615FA4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647F1DC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116376D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C591469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070C262" w14:textId="4B68B0C2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Atrioventricular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pacing at 30 days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E7BADA7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0.73 (0.47, 1.13)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C1A84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0.16</w:t>
            </w:r>
          </w:p>
        </w:tc>
      </w:tr>
      <w:tr w:rsidR="00952C17" w:rsidRPr="006B41E0" w14:paraId="4B3CE6BF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39F0B18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7795C8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5DE90F6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66C0DE0" w14:textId="77777777" w:rsidR="00952C17" w:rsidRPr="006B41E0" w:rsidRDefault="00952C17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Beta-blocker use at 30 days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E21A9AF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1.04 (0.81, 1.34)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C7763D0" w14:textId="77777777" w:rsidR="00952C17" w:rsidRPr="006B41E0" w:rsidRDefault="00952C17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0.77</w:t>
            </w:r>
          </w:p>
        </w:tc>
      </w:tr>
    </w:tbl>
    <w:p w14:paraId="7A6D1276" w14:textId="77777777" w:rsidR="00AD3FC9" w:rsidRPr="006B41E0" w:rsidRDefault="00AD3FC9">
      <w:pPr>
        <w:rPr>
          <w:rFonts w:ascii="Times New Roman" w:hAnsi="Times New Roman" w:cs="Times New Roman"/>
          <w:color w:val="2D2829"/>
        </w:rPr>
      </w:pPr>
      <w:r w:rsidRPr="006B41E0">
        <w:rPr>
          <w:rFonts w:ascii="Times New Roman" w:hAnsi="Times New Roman" w:cs="Times New Roman"/>
          <w:color w:val="2D2829"/>
        </w:rPr>
        <w:t>Hazard ratios (HR) and 95% confidence intervals (95% CI) are estimated by Cox proportional hazards regression models stratified by study.</w:t>
      </w:r>
    </w:p>
    <w:p w14:paraId="456A3A58" w14:textId="77777777" w:rsidR="002C5D5B" w:rsidRPr="006B41E0" w:rsidRDefault="008C3105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  <w:color w:val="2D2829"/>
        </w:rPr>
        <w:t xml:space="preserve">TAVR; transcatheter aortic valve replacement; SAVR, surgical valve replacement; BMI, body mass index; COPD, </w:t>
      </w:r>
      <w:r w:rsidRPr="006B41E0">
        <w:rPr>
          <w:rFonts w:ascii="Times New Roman" w:hAnsi="Times New Roman" w:cs="Times New Roman"/>
          <w:bCs/>
          <w:color w:val="2D2829"/>
        </w:rPr>
        <w:t>chronic obstructive pulmonary disease;</w:t>
      </w:r>
      <w:r w:rsidRPr="006B41E0">
        <w:rPr>
          <w:rFonts w:ascii="Times New Roman" w:hAnsi="Times New Roman" w:cs="Times New Roman"/>
          <w:color w:val="2D2829"/>
        </w:rPr>
        <w:t xml:space="preserve"> NYHA, New York Heart Association heart failure class III or IV; PCI, percutaneous coronary intervention; CABG, coronary artery bypass grafting; LVEF, left ventricular ejection fraction; A/V, atrium/ventricular;</w:t>
      </w:r>
    </w:p>
    <w:p w14:paraId="174D1704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0378AE27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47BDBC66" w14:textId="77777777" w:rsidR="002C5D5B" w:rsidRPr="006B41E0" w:rsidRDefault="002C5D5B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</w:rPr>
        <w:br w:type="page"/>
      </w:r>
    </w:p>
    <w:p w14:paraId="54F171AA" w14:textId="77777777" w:rsidR="00B90DB9" w:rsidRPr="006B41E0" w:rsidRDefault="00B90DB9">
      <w:pPr>
        <w:rPr>
          <w:rFonts w:ascii="Times New Roman" w:hAnsi="Times New Roman" w:cs="Times New Roman"/>
        </w:rPr>
      </w:pPr>
    </w:p>
    <w:p w14:paraId="4DA27414" w14:textId="76B1FC7A" w:rsidR="002C5D5B" w:rsidRPr="006B41E0" w:rsidRDefault="001D0D9E" w:rsidP="001D0D9E">
      <w:pPr>
        <w:pStyle w:val="NoSpacing"/>
        <w:rPr>
          <w:rFonts w:ascii="Times New Roman" w:hAnsi="Times New Roman" w:cs="Times New Roman"/>
        </w:rPr>
      </w:pPr>
      <w:r w:rsidRPr="001E399F">
        <w:rPr>
          <w:rFonts w:ascii="Times New Roman" w:hAnsi="Times New Roman" w:cs="Times New Roman"/>
          <w:b/>
        </w:rPr>
        <w:t>Supplementa</w:t>
      </w:r>
      <w:r w:rsidR="001E399F" w:rsidRPr="001E399F">
        <w:rPr>
          <w:rFonts w:ascii="Times New Roman" w:hAnsi="Times New Roman" w:cs="Times New Roman"/>
          <w:b/>
        </w:rPr>
        <w:t xml:space="preserve">l Table </w:t>
      </w:r>
      <w:r w:rsidRPr="001E399F">
        <w:rPr>
          <w:rFonts w:ascii="Times New Roman" w:hAnsi="Times New Roman" w:cs="Times New Roman"/>
          <w:b/>
        </w:rPr>
        <w:t>3</w:t>
      </w:r>
      <w:r w:rsidRPr="006B41E0">
        <w:rPr>
          <w:rFonts w:ascii="Times New Roman" w:hAnsi="Times New Roman" w:cs="Times New Roman"/>
        </w:rPr>
        <w:t xml:space="preserve">: </w:t>
      </w:r>
      <w:r w:rsidR="002D0660" w:rsidRPr="001E399F">
        <w:rPr>
          <w:rFonts w:ascii="Times New Roman" w:hAnsi="Times New Roman" w:cs="Times New Roman"/>
          <w:b/>
        </w:rPr>
        <w:t>Complete multivariable model of the composite endpoint of death, rehospitalization or stroke at 2 years</w:t>
      </w:r>
      <w:r w:rsidR="002D0660">
        <w:rPr>
          <w:rFonts w:ascii="Times New Roman" w:hAnsi="Times New Roman" w:cs="Times New Roman"/>
          <w:b/>
        </w:rPr>
        <w:t xml:space="preserve"> with RHR ≥ 75 bpm</w:t>
      </w:r>
    </w:p>
    <w:tbl>
      <w:tblPr>
        <w:tblW w:w="13045" w:type="dxa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155"/>
        <w:gridCol w:w="1350"/>
        <w:gridCol w:w="1170"/>
        <w:gridCol w:w="5220"/>
        <w:gridCol w:w="1980"/>
        <w:gridCol w:w="1170"/>
      </w:tblGrid>
      <w:tr w:rsidR="002D0660" w:rsidRPr="006B41E0" w14:paraId="5E228B53" w14:textId="77777777" w:rsidTr="00407159">
        <w:trPr>
          <w:trHeight w:val="280"/>
        </w:trPr>
        <w:tc>
          <w:tcPr>
            <w:tcW w:w="215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2C01C36" w14:textId="5C1D8128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F073F8C" w14:textId="77777777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Events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41DC87B" w14:textId="77777777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Patients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5A102BA" w14:textId="77777777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Variable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61CBF7E" w14:textId="77777777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HR (95% 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7EB04C4" w14:textId="77777777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p-Value</w:t>
            </w:r>
          </w:p>
        </w:tc>
      </w:tr>
      <w:tr w:rsidR="002D0660" w:rsidRPr="006B41E0" w14:paraId="244798AF" w14:textId="77777777" w:rsidTr="00407159">
        <w:trPr>
          <w:trHeight w:val="280"/>
        </w:trPr>
        <w:tc>
          <w:tcPr>
            <w:tcW w:w="2155" w:type="dxa"/>
            <w:vMerge w:val="restart"/>
            <w:tcBorders>
              <w:top w:val="nil"/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D561065" w14:textId="77777777" w:rsidR="002D0660" w:rsidRPr="002D066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Death, </w:t>
            </w:r>
          </w:p>
          <w:p w14:paraId="6E47CADD" w14:textId="39BFADF6" w:rsidR="002D0660" w:rsidRPr="002D066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rehospitalization, or stroke</w:t>
            </w:r>
          </w:p>
          <w:p w14:paraId="533E66B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BF739A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66B4D7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D890A2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D58691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3C4842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50E9C1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C87FD7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813C4E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974AED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C65979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0769D3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84EFF77" w14:textId="320E68B6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9AB322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522</w:t>
            </w:r>
          </w:p>
          <w:p w14:paraId="37AFC54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D31119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E7C6F9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6D12A5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152914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79BBDF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CD4560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8F5DA9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AD05AC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6366DE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1236EA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758721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71E383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D5EAD7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4312C6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3170</w:t>
            </w:r>
          </w:p>
          <w:p w14:paraId="0D826A6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F37CCB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AB5CBF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B5EBF1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CD6831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C6FF51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E1AC81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47A74D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8E04FC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060E3E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012E1C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F6BEA6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AEFF46F" w14:textId="77777777" w:rsidR="00407159" w:rsidRDefault="00407159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14:paraId="3AD1BD75" w14:textId="5B133548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2F4347D" w14:textId="47743909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Hea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rt rate at 30 days</w:t>
            </w:r>
            <w:r w:rsidR="004071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≥75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4BB254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1.26 (1.05, 1.52)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A92FED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0.015</w:t>
            </w:r>
          </w:p>
        </w:tc>
      </w:tr>
      <w:tr w:rsidR="002D0660" w:rsidRPr="006B41E0" w14:paraId="5C12A714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9B940D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2F9A56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4BB28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90C5814" w14:textId="4E245571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Actual treatment, TAVR vs.</w:t>
            </w:r>
            <w:r w:rsidR="004071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SAVR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6498C2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1.07 (0.82, 1.40)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E916D1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0.60</w:t>
            </w:r>
          </w:p>
        </w:tc>
      </w:tr>
      <w:tr w:rsidR="002D0660" w:rsidRPr="006B41E0" w14:paraId="166ED67B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2A08C3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2F438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43DE14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4F7BE1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Age per 10 years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EA3FC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1.04 (0.92, 1.18)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B9D23A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0.53</w:t>
            </w:r>
          </w:p>
        </w:tc>
      </w:tr>
      <w:tr w:rsidR="002D0660" w:rsidRPr="006B41E0" w14:paraId="13AFB2FA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526E15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FA0548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4D6705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19FA7A6" w14:textId="6EA738D4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Male sex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5593EB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0.95 (0.78, 1.15)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BC8068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0.58</w:t>
            </w:r>
          </w:p>
        </w:tc>
      </w:tr>
      <w:tr w:rsidR="002D0660" w:rsidRPr="006B41E0" w14:paraId="48A9B4A6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671E84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AE9B6C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314C95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F7D6738" w14:textId="31AEA43D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BMI (per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5 kg/m</w:t>
            </w:r>
            <w:r w:rsidRPr="002D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394ACA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0.96 (0.89, 1.04)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B039E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0.29</w:t>
            </w:r>
          </w:p>
        </w:tc>
      </w:tr>
      <w:tr w:rsidR="002D0660" w:rsidRPr="006B41E0" w14:paraId="36DAD51A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840F7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251DC7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83765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360529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Diabetes mellitus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8DEBB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1.29 (0.99, 1.68)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6996C4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0.06</w:t>
            </w:r>
          </w:p>
        </w:tc>
      </w:tr>
      <w:tr w:rsidR="002D0660" w:rsidRPr="006B41E0" w14:paraId="0B308C98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2E17F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75A508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ED0E15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E611EA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COPD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915CEA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1.11 (0.91, 1.34)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4A50EA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0.30</w:t>
            </w:r>
          </w:p>
        </w:tc>
      </w:tr>
      <w:tr w:rsidR="002D0660" w:rsidRPr="006B41E0" w14:paraId="1ABDBE8D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08E47D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D6795F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9F0224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C5FF4EE" w14:textId="408A2768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Creatinine ≥ 2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mg/dL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097810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1.52 (1.11, 2.07)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F3E793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0.008</w:t>
            </w:r>
          </w:p>
        </w:tc>
      </w:tr>
      <w:tr w:rsidR="002D0660" w:rsidRPr="006B41E0" w14:paraId="44EAF3BC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C43F34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5D8AC4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5616B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5B1DB5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NYHA III or 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F8888E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1.03 (0.82, 1.31)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F9101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0.78</w:t>
            </w:r>
          </w:p>
        </w:tc>
      </w:tr>
      <w:tr w:rsidR="002D0660" w:rsidRPr="006B41E0" w14:paraId="2AD92385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9541A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D053D2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D08AB1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098264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Coronary artery 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22931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1.18 (0.92, 1.53)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07104F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0.20</w:t>
            </w:r>
          </w:p>
        </w:tc>
      </w:tr>
      <w:tr w:rsidR="002D0660" w:rsidRPr="006B41E0" w14:paraId="36BCA4CF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734755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286642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8BCBB9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B75ECD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Hypertension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B6D9EE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1.00 (0.69, 1.43)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77676E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0.98</w:t>
            </w:r>
          </w:p>
        </w:tc>
      </w:tr>
      <w:tr w:rsidR="002D0660" w:rsidRPr="006B41E0" w14:paraId="34A50DF6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0B5CB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4F07ED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93EFE4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0AEEE5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Prior PCI or CABG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73B63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1.08 (0.88, 1.34)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821682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0.46</w:t>
            </w:r>
          </w:p>
        </w:tc>
      </w:tr>
      <w:tr w:rsidR="002D0660" w:rsidRPr="006B41E0" w14:paraId="713937E8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B156AF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FB53BF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6CAD32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E12E671" w14:textId="1A8FA564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LVEF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(per 5%)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BF2829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0.97 (0.93, 1.00)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189742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0.053</w:t>
            </w:r>
          </w:p>
        </w:tc>
      </w:tr>
      <w:tr w:rsidR="002D0660" w:rsidRPr="006B41E0" w14:paraId="6663B089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B22AD4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C5E492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828EDC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537B7C0" w14:textId="6B8ECAD4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Atrioventricular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pacing at 30 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48615D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0.84 (0.61, 1.16)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700024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0.30</w:t>
            </w:r>
          </w:p>
        </w:tc>
      </w:tr>
      <w:tr w:rsidR="002D0660" w:rsidRPr="006B41E0" w14:paraId="5082919D" w14:textId="77777777" w:rsidTr="00407159">
        <w:trPr>
          <w:trHeight w:val="280"/>
        </w:trPr>
        <w:tc>
          <w:tcPr>
            <w:tcW w:w="2155" w:type="dxa"/>
            <w:vMerge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9785CB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35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890C3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9A6042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0FB11A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Beta-blocker use at 30 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8ECD75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0.96 (0.79, 1.17)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10DFBD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0.67</w:t>
            </w:r>
          </w:p>
        </w:tc>
      </w:tr>
    </w:tbl>
    <w:p w14:paraId="3C190436" w14:textId="77777777" w:rsidR="00AD3FC9" w:rsidRPr="006B41E0" w:rsidRDefault="00AD3FC9">
      <w:pPr>
        <w:rPr>
          <w:rFonts w:ascii="Times New Roman" w:hAnsi="Times New Roman" w:cs="Times New Roman"/>
          <w:color w:val="2D2829"/>
        </w:rPr>
      </w:pPr>
      <w:r w:rsidRPr="006B41E0">
        <w:rPr>
          <w:rFonts w:ascii="Times New Roman" w:hAnsi="Times New Roman" w:cs="Times New Roman"/>
          <w:color w:val="2D2829"/>
        </w:rPr>
        <w:t>Hazard ratios (HR) and 95% confidence intervals (95% CI) are estimated by Cox proportional hazards regression models stratified by study.</w:t>
      </w:r>
    </w:p>
    <w:p w14:paraId="26C34CBB" w14:textId="6008209F" w:rsidR="002C5D5B" w:rsidRPr="006B41E0" w:rsidRDefault="008C3105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  <w:color w:val="2D2829"/>
        </w:rPr>
        <w:t xml:space="preserve">TAVR; transcatheter aortic valve replacement; SAVR, surgical valve replacement; BMI, body mass index; COPD, </w:t>
      </w:r>
      <w:r w:rsidRPr="006B41E0">
        <w:rPr>
          <w:rFonts w:ascii="Times New Roman" w:hAnsi="Times New Roman" w:cs="Times New Roman"/>
          <w:bCs/>
          <w:color w:val="2D2829"/>
        </w:rPr>
        <w:t>chronic obstructive pulmonary disease;</w:t>
      </w:r>
      <w:r w:rsidRPr="006B41E0">
        <w:rPr>
          <w:rFonts w:ascii="Times New Roman" w:hAnsi="Times New Roman" w:cs="Times New Roman"/>
          <w:color w:val="2D2829"/>
        </w:rPr>
        <w:t xml:space="preserve"> NYHA, New York Heart Association heart failure class III or IV; PCI, percutaneous coronary intervention; CABG, coronary artery bypass grafting; LVEF, left ventricular ejection fraction; </w:t>
      </w:r>
    </w:p>
    <w:p w14:paraId="2D6375DB" w14:textId="77777777" w:rsidR="00B90DB9" w:rsidRPr="006B41E0" w:rsidRDefault="00B90DB9">
      <w:pPr>
        <w:rPr>
          <w:rFonts w:ascii="Times New Roman" w:hAnsi="Times New Roman" w:cs="Times New Roman"/>
        </w:rPr>
      </w:pPr>
    </w:p>
    <w:p w14:paraId="5BAD16D1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1A513BFA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39769673" w14:textId="77777777" w:rsidR="002C5D5B" w:rsidRPr="006B41E0" w:rsidRDefault="002C5D5B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</w:rPr>
        <w:br w:type="page"/>
      </w:r>
    </w:p>
    <w:p w14:paraId="15768F33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00604DB4" w14:textId="0B6F5B42" w:rsidR="002C5D5B" w:rsidRPr="002D0660" w:rsidRDefault="001D0D9E">
      <w:pPr>
        <w:rPr>
          <w:rFonts w:ascii="Times New Roman" w:hAnsi="Times New Roman" w:cs="Times New Roman"/>
          <w:b/>
        </w:rPr>
      </w:pPr>
      <w:r w:rsidRPr="002D0660">
        <w:rPr>
          <w:rFonts w:ascii="Times New Roman" w:hAnsi="Times New Roman" w:cs="Times New Roman"/>
          <w:b/>
        </w:rPr>
        <w:t>Supplementa</w:t>
      </w:r>
      <w:r w:rsidR="002D0660">
        <w:rPr>
          <w:rFonts w:ascii="Times New Roman" w:hAnsi="Times New Roman" w:cs="Times New Roman"/>
          <w:b/>
        </w:rPr>
        <w:t xml:space="preserve">l Table </w:t>
      </w:r>
      <w:r w:rsidRPr="002D0660">
        <w:rPr>
          <w:rFonts w:ascii="Times New Roman" w:hAnsi="Times New Roman" w:cs="Times New Roman"/>
          <w:b/>
        </w:rPr>
        <w:t xml:space="preserve">4: </w:t>
      </w:r>
      <w:r w:rsidR="002D0660">
        <w:rPr>
          <w:rFonts w:ascii="Times New Roman" w:hAnsi="Times New Roman" w:cs="Times New Roman"/>
          <w:b/>
        </w:rPr>
        <w:t>F</w:t>
      </w:r>
      <w:r w:rsidRPr="002D0660">
        <w:rPr>
          <w:rFonts w:ascii="Times New Roman" w:hAnsi="Times New Roman" w:cs="Times New Roman"/>
          <w:b/>
        </w:rPr>
        <w:t>ull model of</w:t>
      </w:r>
      <w:r w:rsidR="002D0660">
        <w:rPr>
          <w:rFonts w:ascii="Times New Roman" w:hAnsi="Times New Roman" w:cs="Times New Roman"/>
          <w:b/>
        </w:rPr>
        <w:t xml:space="preserve"> aortic valve-related </w:t>
      </w:r>
      <w:r w:rsidRPr="002D0660">
        <w:rPr>
          <w:rFonts w:ascii="Times New Roman" w:hAnsi="Times New Roman" w:cs="Times New Roman"/>
          <w:b/>
        </w:rPr>
        <w:t xml:space="preserve">rehospitalization </w:t>
      </w:r>
      <w:r w:rsidR="002D0660">
        <w:rPr>
          <w:rFonts w:ascii="Times New Roman" w:hAnsi="Times New Roman" w:cs="Times New Roman"/>
          <w:b/>
        </w:rPr>
        <w:t>at 2 years with</w:t>
      </w:r>
      <w:r w:rsidRPr="002D0660">
        <w:rPr>
          <w:rFonts w:ascii="Times New Roman" w:hAnsi="Times New Roman" w:cs="Times New Roman"/>
          <w:b/>
        </w:rPr>
        <w:t xml:space="preserve"> RHR ≥ 75 bpm </w:t>
      </w:r>
    </w:p>
    <w:tbl>
      <w:tblPr>
        <w:tblW w:w="13045" w:type="dxa"/>
        <w:shd w:val="clear" w:color="000000" w:fill="auto"/>
        <w:tblLayout w:type="fixed"/>
        <w:tblLook w:val="04A0" w:firstRow="1" w:lastRow="0" w:firstColumn="1" w:lastColumn="0" w:noHBand="0" w:noVBand="1"/>
      </w:tblPr>
      <w:tblGrid>
        <w:gridCol w:w="2335"/>
        <w:gridCol w:w="1080"/>
        <w:gridCol w:w="1170"/>
        <w:gridCol w:w="5310"/>
        <w:gridCol w:w="1980"/>
        <w:gridCol w:w="1170"/>
      </w:tblGrid>
      <w:tr w:rsidR="002D0660" w:rsidRPr="006B41E0" w14:paraId="055CCE72" w14:textId="77777777" w:rsidTr="00407159">
        <w:trPr>
          <w:trHeight w:val="280"/>
        </w:trPr>
        <w:tc>
          <w:tcPr>
            <w:tcW w:w="2335" w:type="dxa"/>
            <w:tcBorders>
              <w:top w:val="nil"/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AB1361" w14:textId="29A77BB4" w:rsidR="002D0660" w:rsidRPr="006B41E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13661B" w14:textId="77777777" w:rsidR="002D0660" w:rsidRPr="002D066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Events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740C2A4" w14:textId="77777777" w:rsidR="002D0660" w:rsidRPr="002D066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Patients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A780D8F" w14:textId="77777777" w:rsidR="002D0660" w:rsidRPr="002D066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Variable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73CCFE7" w14:textId="77777777" w:rsidR="002D0660" w:rsidRPr="002D066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HR (95% CI)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30080DF" w14:textId="77777777" w:rsidR="002D0660" w:rsidRPr="002D0660" w:rsidRDefault="002D0660" w:rsidP="002C5D5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</w:tr>
      <w:tr w:rsidR="002D0660" w:rsidRPr="006B41E0" w14:paraId="0BFDF140" w14:textId="77777777" w:rsidTr="00407159">
        <w:trPr>
          <w:trHeight w:val="280"/>
        </w:trPr>
        <w:tc>
          <w:tcPr>
            <w:tcW w:w="2335" w:type="dxa"/>
            <w:vMerge w:val="restart"/>
            <w:tcBorders>
              <w:top w:val="nil"/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468A050" w14:textId="35A0E2B7" w:rsidR="002D0660" w:rsidRPr="002D066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Aortic valve-related Rehospitalization</w:t>
            </w:r>
          </w:p>
          <w:p w14:paraId="4CDB000B" w14:textId="77777777" w:rsidR="002D0660" w:rsidRPr="002D066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089D7DD1" w14:textId="77777777" w:rsidR="002D0660" w:rsidRPr="002D066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D066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  <w:p w14:paraId="1CF069E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E1BBED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975754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A220F7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7B767A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2101FF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FA7770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68E7D8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23731F4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283C23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3BE35C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32315C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407230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322</w:t>
            </w:r>
          </w:p>
          <w:p w14:paraId="60D76BB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34BC00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C123B4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27A281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360741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65159C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9ED606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2987C6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EEA4B1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D4FCE5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9AB5AF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7DCD5F2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AC8B94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177DB2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E1EB67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3170</w:t>
            </w:r>
          </w:p>
          <w:p w14:paraId="3B4ACA8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F48419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209C9B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C8CA60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ACB5DD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06DC23D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65829C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3F46967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208679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677BFE4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1AD7AB0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5EC8602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81E0F7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  <w:p w14:paraId="44430FE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97D1912" w14:textId="422F4C4A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Heart rate at 30 days, ≥75 bpm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6126D0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1.42 (1.12, 1.79)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BEC86D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0.004</w:t>
            </w:r>
          </w:p>
        </w:tc>
      </w:tr>
      <w:tr w:rsidR="002D0660" w:rsidRPr="006B41E0" w14:paraId="05A2D47A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81CE37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75017E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6B330B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361F238" w14:textId="540D9E6D" w:rsidR="002D0660" w:rsidRPr="006B41E0" w:rsidRDefault="002D0660" w:rsidP="004071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Actual treatment, TAVR vs.</w:t>
            </w:r>
            <w:r w:rsidR="0040715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SAVR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3DFB21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1.28 (0.89, 1.83)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7BF015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0.18</w:t>
            </w:r>
          </w:p>
        </w:tc>
      </w:tr>
      <w:tr w:rsidR="002D0660" w:rsidRPr="006B41E0" w14:paraId="01448347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2BE017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E4A43E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21D19A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16D7F0C" w14:textId="59FCF02B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Age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10 years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8FB469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1.00 (0.85, 1.17)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ACEF97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0.99</w:t>
            </w:r>
          </w:p>
        </w:tc>
      </w:tr>
      <w:tr w:rsidR="002D0660" w:rsidRPr="006B41E0" w14:paraId="6D706503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C6CEDB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E97FA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DD2B84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7F465BE" w14:textId="4C6A5469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Male sex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276D35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0.77 (0.60, 0.98)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397464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0.035</w:t>
            </w:r>
          </w:p>
        </w:tc>
      </w:tr>
      <w:tr w:rsidR="002D0660" w:rsidRPr="006B41E0" w14:paraId="7E2BDEC9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BE0260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11F401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6EAADF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4219183" w14:textId="3CE79493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BMI (per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 5 kg/m</w:t>
            </w:r>
            <w:r w:rsidRPr="002D0660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0D44CF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1.05 (0.96, 1.14)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B98561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0.32</w:t>
            </w:r>
          </w:p>
        </w:tc>
      </w:tr>
      <w:tr w:rsidR="002D0660" w:rsidRPr="006B41E0" w14:paraId="116A6C1D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0EBFD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E1F6C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BC4937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F5958F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Diabetes mellitus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89CFA2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1.24 (0.90, 1.72)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936410D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0.18</w:t>
            </w:r>
          </w:p>
        </w:tc>
      </w:tr>
      <w:tr w:rsidR="002D0660" w:rsidRPr="006B41E0" w14:paraId="3F14F8DA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AC2469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A1ACF3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18C7250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0A07C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COPD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00C4BC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1.28 (1.01, 1.63)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2C372B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0.043</w:t>
            </w:r>
          </w:p>
        </w:tc>
      </w:tr>
      <w:tr w:rsidR="002D0660" w:rsidRPr="006B41E0" w14:paraId="6E0C48E9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29B8E4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4ADED6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F7A017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6979CD4" w14:textId="2D0C1551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Creatinine ≥ 2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m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g/dL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751CFB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1.51 (1.02, 2.22)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899C44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0.040</w:t>
            </w:r>
          </w:p>
        </w:tc>
      </w:tr>
      <w:tr w:rsidR="002D0660" w:rsidRPr="006B41E0" w14:paraId="624F918D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856006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465AC06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293AD0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66179D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NYHA III or IV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BDCC5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1.11 (0.80, 1.54)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055454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0.54</w:t>
            </w:r>
          </w:p>
        </w:tc>
      </w:tr>
      <w:tr w:rsidR="002D0660" w:rsidRPr="006B41E0" w14:paraId="5DA751D5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18FC97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431543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377B3D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23B295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Coronary artery disease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693449A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1.28 (0.92, 1.79)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ABBB1F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0.15</w:t>
            </w:r>
          </w:p>
        </w:tc>
      </w:tr>
      <w:tr w:rsidR="002D0660" w:rsidRPr="006B41E0" w14:paraId="2B52EB2B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6FB30F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D91823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23D4AC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46A831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Hypertension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480849B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1.00 (0.62, 1.60)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16C1AF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0.99</w:t>
            </w:r>
          </w:p>
        </w:tc>
      </w:tr>
      <w:tr w:rsidR="002D0660" w:rsidRPr="006B41E0" w14:paraId="5301A028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714930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B58968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09345E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CED2E9E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Prior PCI or CABG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9F19377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1.20 (0.91, 1.57)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3B2F22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0.20</w:t>
            </w:r>
          </w:p>
        </w:tc>
      </w:tr>
      <w:tr w:rsidR="002D0660" w:rsidRPr="006B41E0" w14:paraId="5B591250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06A096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EF6A8D3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57B797A5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94179DF" w14:textId="232B7133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LVEF 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(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per 5%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29F7038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0.96 (0.92, 1.00)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44EBA9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0.06</w:t>
            </w:r>
          </w:p>
        </w:tc>
      </w:tr>
      <w:tr w:rsidR="002D0660" w:rsidRPr="006B41E0" w14:paraId="35F132E5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32070A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E8DF46F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76E70A49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88279B3" w14:textId="285B5379" w:rsidR="002D0660" w:rsidRPr="006B41E0" w:rsidRDefault="002D0660" w:rsidP="002D066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Atrioventricular </w:t>
            </w: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pacing at 30 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E8B676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0.74 (0.48, 1.15)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509D9B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0.18</w:t>
            </w:r>
          </w:p>
        </w:tc>
      </w:tr>
      <w:tr w:rsidR="002D0660" w:rsidRPr="006B41E0" w14:paraId="237F1230" w14:textId="77777777" w:rsidTr="00407159">
        <w:trPr>
          <w:trHeight w:val="280"/>
        </w:trPr>
        <w:tc>
          <w:tcPr>
            <w:tcW w:w="2335" w:type="dxa"/>
            <w:vMerge/>
            <w:tcBorders>
              <w:left w:val="single" w:sz="4" w:space="0" w:color="C1C1C1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13A3BA2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320E716C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6F21FF38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0648FB86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Beta-blocker use at 30 days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FF517A1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1.03 (0.80, 1.33)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C1C1C1"/>
              <w:right w:val="single" w:sz="4" w:space="0" w:color="C1C1C1"/>
            </w:tcBorders>
            <w:shd w:val="clear" w:color="000000" w:fill="auto"/>
            <w:noWrap/>
            <w:vAlign w:val="bottom"/>
            <w:hideMark/>
          </w:tcPr>
          <w:p w14:paraId="18983D94" w14:textId="77777777" w:rsidR="002D0660" w:rsidRPr="006B41E0" w:rsidRDefault="002D0660" w:rsidP="00106A5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6B41E0">
              <w:rPr>
                <w:rFonts w:ascii="Times New Roman" w:eastAsia="Times New Roman" w:hAnsi="Times New Roman" w:cs="Times New Roman"/>
                <w:bCs/>
                <w:color w:val="000000"/>
              </w:rPr>
              <w:t>0.82</w:t>
            </w:r>
          </w:p>
        </w:tc>
      </w:tr>
    </w:tbl>
    <w:p w14:paraId="5CE9707C" w14:textId="77777777" w:rsidR="00AD3FC9" w:rsidRPr="006B41E0" w:rsidRDefault="00AD3FC9">
      <w:pPr>
        <w:rPr>
          <w:rFonts w:ascii="Times New Roman" w:hAnsi="Times New Roman" w:cs="Times New Roman"/>
          <w:color w:val="2D2829"/>
        </w:rPr>
      </w:pPr>
      <w:r w:rsidRPr="006B41E0">
        <w:rPr>
          <w:rFonts w:ascii="Times New Roman" w:hAnsi="Times New Roman" w:cs="Times New Roman"/>
          <w:color w:val="2D2829"/>
        </w:rPr>
        <w:t>Hazard ratios (HR) and 95% confidence intervals (95% CI) are estimated by Cox proportional hazards regression models stratified by study.</w:t>
      </w:r>
    </w:p>
    <w:p w14:paraId="028D35F8" w14:textId="7659D357" w:rsidR="002C5D5B" w:rsidRPr="006B41E0" w:rsidRDefault="008C3105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  <w:color w:val="2D2829"/>
        </w:rPr>
        <w:t xml:space="preserve">TAVR; transcatheter aortic valve replacement; SAVR, surgical valve replacement; BMI, body mass index; COPD, </w:t>
      </w:r>
      <w:r w:rsidRPr="006B41E0">
        <w:rPr>
          <w:rFonts w:ascii="Times New Roman" w:hAnsi="Times New Roman" w:cs="Times New Roman"/>
          <w:bCs/>
          <w:color w:val="2D2829"/>
        </w:rPr>
        <w:t>chronic obstructive pulmonary disease;</w:t>
      </w:r>
      <w:r w:rsidRPr="006B41E0">
        <w:rPr>
          <w:rFonts w:ascii="Times New Roman" w:hAnsi="Times New Roman" w:cs="Times New Roman"/>
          <w:color w:val="2D2829"/>
        </w:rPr>
        <w:t xml:space="preserve"> NYHA, New York Heart Association heart failure class III or IV; PCI, percutaneous coronary intervention; CABG, coronary artery bypass grafting; LVEF, left</w:t>
      </w:r>
      <w:r w:rsidR="002D0660">
        <w:rPr>
          <w:rFonts w:ascii="Times New Roman" w:hAnsi="Times New Roman" w:cs="Times New Roman"/>
          <w:color w:val="2D2829"/>
        </w:rPr>
        <w:t xml:space="preserve"> ventricular ejection fraction</w:t>
      </w:r>
    </w:p>
    <w:p w14:paraId="7E5C144D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75E2B456" w14:textId="152D44C0" w:rsidR="00202E22" w:rsidRPr="006B41E0" w:rsidRDefault="00202E22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</w:rPr>
        <w:br w:type="page"/>
      </w:r>
    </w:p>
    <w:p w14:paraId="04B336D2" w14:textId="77777777" w:rsidR="00202E22" w:rsidRPr="006B41E0" w:rsidRDefault="00202E22">
      <w:pPr>
        <w:rPr>
          <w:rFonts w:ascii="Times New Roman" w:hAnsi="Times New Roman" w:cs="Times New Roman"/>
        </w:rPr>
      </w:pPr>
    </w:p>
    <w:p w14:paraId="2D83CA6F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6A4ACB30" w14:textId="493C11CC" w:rsidR="00202E22" w:rsidRPr="00CA5C2C" w:rsidRDefault="006B41E0" w:rsidP="00202E22">
      <w:pPr>
        <w:spacing w:line="480" w:lineRule="auto"/>
        <w:jc w:val="both"/>
        <w:rPr>
          <w:rFonts w:ascii="Times New Roman" w:eastAsia="SimSun" w:hAnsi="Times New Roman" w:cs="Times New Roman"/>
          <w:b/>
          <w:bCs/>
          <w:color w:val="000000" w:themeColor="text1"/>
        </w:rPr>
      </w:pPr>
      <w:r w:rsidRPr="00CA5C2C">
        <w:rPr>
          <w:rFonts w:ascii="Times New Roman" w:hAnsi="Times New Roman" w:cs="Times New Roman"/>
          <w:b/>
        </w:rPr>
        <w:t>Supplementa</w:t>
      </w:r>
      <w:r w:rsidR="00CA5C2C" w:rsidRPr="00CA5C2C">
        <w:rPr>
          <w:rFonts w:ascii="Times New Roman" w:hAnsi="Times New Roman" w:cs="Times New Roman"/>
          <w:b/>
        </w:rPr>
        <w:t>l F</w:t>
      </w:r>
      <w:r w:rsidR="00202E22" w:rsidRPr="00CA5C2C">
        <w:rPr>
          <w:rFonts w:ascii="Times New Roman" w:hAnsi="Times New Roman" w:cs="Times New Roman"/>
          <w:b/>
        </w:rPr>
        <w:t xml:space="preserve">igure 1: </w:t>
      </w:r>
      <w:r w:rsidR="00202E22" w:rsidRPr="00CA5C2C">
        <w:rPr>
          <w:rFonts w:ascii="Times New Roman" w:eastAsia="SimSun" w:hAnsi="Times New Roman" w:cs="Times New Roman"/>
          <w:b/>
          <w:bCs/>
          <w:color w:val="000000" w:themeColor="text1"/>
        </w:rPr>
        <w:t xml:space="preserve">Adjusted association between resting heart rate at 30-days and the risk of the primary composite endpoint of </w:t>
      </w:r>
      <w:r w:rsidR="00202E22" w:rsidRPr="00CA5C2C">
        <w:rPr>
          <w:rFonts w:ascii="Times New Roman" w:hAnsi="Times New Roman" w:cs="Times New Roman"/>
          <w:b/>
        </w:rPr>
        <w:t>all-cause death, rehospitalization or stroke (A) and aortic valve-related reshospitalization at 2 years (B)</w:t>
      </w:r>
      <w:r w:rsidR="00202E22" w:rsidRPr="00CA5C2C">
        <w:rPr>
          <w:rFonts w:ascii="Times New Roman" w:eastAsia="SimSun" w:hAnsi="Times New Roman" w:cs="Times New Roman"/>
          <w:b/>
          <w:bCs/>
          <w:color w:val="000000" w:themeColor="text1"/>
        </w:rPr>
        <w:t xml:space="preserve">. Multivariable Cox proportional hazards regression was performed using a spline function to model resting heart rate as a continuous metric for the primary composite endpoint and aortic valve-related rehospitalization. </w:t>
      </w:r>
    </w:p>
    <w:p w14:paraId="5261D36B" w14:textId="77777777" w:rsidR="00202E22" w:rsidRPr="00CA5C2C" w:rsidRDefault="00202E22" w:rsidP="00202E22">
      <w:pPr>
        <w:spacing w:line="480" w:lineRule="auto"/>
        <w:jc w:val="both"/>
        <w:rPr>
          <w:rFonts w:ascii="Times New Roman" w:hAnsi="Times New Roman" w:cs="Times New Roman"/>
          <w:b/>
        </w:rPr>
      </w:pPr>
      <w:r w:rsidRPr="00CA5C2C">
        <w:rPr>
          <w:rFonts w:ascii="Times New Roman" w:eastAsia="SimSun" w:hAnsi="Times New Roman" w:cs="Times New Roman"/>
          <w:b/>
          <w:bCs/>
          <w:color w:val="000000" w:themeColor="text1"/>
        </w:rPr>
        <w:t>CI = confidence interval.</w:t>
      </w:r>
    </w:p>
    <w:p w14:paraId="33F9C37D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0FCD70F9" w14:textId="77777777" w:rsidR="002C5D5B" w:rsidRPr="006B41E0" w:rsidRDefault="002C5D5B">
      <w:pPr>
        <w:rPr>
          <w:rFonts w:ascii="Times New Roman" w:hAnsi="Times New Roman" w:cs="Times New Roman"/>
        </w:rPr>
      </w:pPr>
    </w:p>
    <w:p w14:paraId="0E1DDA3D" w14:textId="7DDB3C79" w:rsidR="00B90DB9" w:rsidRPr="006B41E0" w:rsidRDefault="006B41E0">
      <w:pPr>
        <w:rPr>
          <w:rFonts w:ascii="Times New Roman" w:hAnsi="Times New Roman" w:cs="Times New Roman"/>
        </w:rPr>
      </w:pPr>
      <w:r w:rsidRPr="006B41E0">
        <w:rPr>
          <w:rFonts w:ascii="Times New Roman" w:hAnsi="Times New Roman" w:cs="Times New Roman"/>
          <w:noProof/>
        </w:rPr>
        <w:drawing>
          <wp:inline distT="0" distB="0" distL="0" distR="0" wp14:anchorId="62E0A331" wp14:editId="6BE31855">
            <wp:extent cx="8229600" cy="3336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33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90DB9" w:rsidRPr="006B41E0" w:rsidSect="007038D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29FC3" w14:textId="77777777" w:rsidR="00BF6C10" w:rsidRDefault="00BF6C10" w:rsidP="00920391">
      <w:r>
        <w:separator/>
      </w:r>
    </w:p>
  </w:endnote>
  <w:endnote w:type="continuationSeparator" w:id="0">
    <w:p w14:paraId="67385FB0" w14:textId="77777777" w:rsidR="00BF6C10" w:rsidRDefault="00BF6C10" w:rsidP="0092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7221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711848" w14:textId="62242EC2" w:rsidR="00920391" w:rsidRDefault="009203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5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263DF94" w14:textId="77777777" w:rsidR="00920391" w:rsidRDefault="009203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4F094" w14:textId="77777777" w:rsidR="00BF6C10" w:rsidRDefault="00BF6C10" w:rsidP="00920391">
      <w:r>
        <w:separator/>
      </w:r>
    </w:p>
  </w:footnote>
  <w:footnote w:type="continuationSeparator" w:id="0">
    <w:p w14:paraId="1A60D66E" w14:textId="77777777" w:rsidR="00BF6C10" w:rsidRDefault="00BF6C10" w:rsidP="00920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B9"/>
    <w:rsid w:val="00040FC2"/>
    <w:rsid w:val="00063A80"/>
    <w:rsid w:val="0008374B"/>
    <w:rsid w:val="00106A54"/>
    <w:rsid w:val="00107706"/>
    <w:rsid w:val="001D0D9E"/>
    <w:rsid w:val="001E399F"/>
    <w:rsid w:val="00202E22"/>
    <w:rsid w:val="002C5D5B"/>
    <w:rsid w:val="002D0660"/>
    <w:rsid w:val="002E75DC"/>
    <w:rsid w:val="003147F0"/>
    <w:rsid w:val="0032216F"/>
    <w:rsid w:val="003F1820"/>
    <w:rsid w:val="00407159"/>
    <w:rsid w:val="0043401D"/>
    <w:rsid w:val="004564BA"/>
    <w:rsid w:val="005B4F90"/>
    <w:rsid w:val="00630298"/>
    <w:rsid w:val="006B41E0"/>
    <w:rsid w:val="006D5AD3"/>
    <w:rsid w:val="007038D7"/>
    <w:rsid w:val="00770582"/>
    <w:rsid w:val="00823F8F"/>
    <w:rsid w:val="0088425A"/>
    <w:rsid w:val="008C1571"/>
    <w:rsid w:val="008C3105"/>
    <w:rsid w:val="00906CA8"/>
    <w:rsid w:val="00920391"/>
    <w:rsid w:val="00952C17"/>
    <w:rsid w:val="009773EC"/>
    <w:rsid w:val="00AD3FC9"/>
    <w:rsid w:val="00B421CC"/>
    <w:rsid w:val="00B90DB9"/>
    <w:rsid w:val="00BB042D"/>
    <w:rsid w:val="00BE472E"/>
    <w:rsid w:val="00BF6C10"/>
    <w:rsid w:val="00C06C44"/>
    <w:rsid w:val="00CA5C2C"/>
    <w:rsid w:val="00D3489B"/>
    <w:rsid w:val="00D7501A"/>
    <w:rsid w:val="00DC6856"/>
    <w:rsid w:val="00E91EE6"/>
    <w:rsid w:val="00ED4DF0"/>
    <w:rsid w:val="00EF6C53"/>
    <w:rsid w:val="00F2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1A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D0D9E"/>
  </w:style>
  <w:style w:type="character" w:styleId="CommentReference">
    <w:name w:val="annotation reference"/>
    <w:basedOn w:val="DefaultParagraphFont"/>
    <w:uiPriority w:val="99"/>
    <w:semiHidden/>
    <w:unhideWhenUsed/>
    <w:rsid w:val="00952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C17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C1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391"/>
  </w:style>
  <w:style w:type="paragraph" w:styleId="Footer">
    <w:name w:val="footer"/>
    <w:basedOn w:val="Normal"/>
    <w:link w:val="FooterChar"/>
    <w:uiPriority w:val="99"/>
    <w:unhideWhenUsed/>
    <w:rsid w:val="0092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Cimini, Megan</cp:lastModifiedBy>
  <cp:revision>2</cp:revision>
  <dcterms:created xsi:type="dcterms:W3CDTF">2018-07-09T14:09:00Z</dcterms:created>
  <dcterms:modified xsi:type="dcterms:W3CDTF">2018-07-09T14:09:00Z</dcterms:modified>
</cp:coreProperties>
</file>