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5D" w:rsidRPr="00CE4A29" w:rsidRDefault="00E2105D" w:rsidP="00E2105D">
      <w:pPr>
        <w:pStyle w:val="Float-Caption"/>
        <w:rPr>
          <w:rFonts w:ascii="Times New Roman" w:hAnsi="Times New Roman" w:cs="Times New Roman"/>
          <w:lang w:val="en-GB"/>
        </w:rPr>
      </w:pPr>
      <w:r>
        <w:t>Additional file 5</w:t>
      </w:r>
      <w:r w:rsidRPr="00CE4A29">
        <w:rPr>
          <w:lang w:val="en-GB"/>
        </w:rPr>
        <w:t xml:space="preserve"> Conceptuali</w:t>
      </w:r>
      <w:r>
        <w:rPr>
          <w:lang w:val="en-GB"/>
        </w:rPr>
        <w:t>s</w:t>
      </w:r>
      <w:r w:rsidRPr="00CE4A29">
        <w:rPr>
          <w:lang w:val="en-GB"/>
        </w:rPr>
        <w:t xml:space="preserve">ing </w:t>
      </w:r>
      <w:proofErr w:type="gramStart"/>
      <w:r>
        <w:rPr>
          <w:lang w:val="en-GB"/>
        </w:rPr>
        <w:t>patient</w:t>
      </w:r>
      <w:proofErr w:type="gramEnd"/>
      <w:r>
        <w:rPr>
          <w:lang w:val="en-GB"/>
        </w:rPr>
        <w:t xml:space="preserve"> </w:t>
      </w:r>
      <w:r w:rsidRPr="00CE4A29">
        <w:rPr>
          <w:lang w:val="en-GB"/>
        </w:rPr>
        <w:t>and public involvement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96"/>
        <w:gridCol w:w="2325"/>
        <w:gridCol w:w="1862"/>
        <w:gridCol w:w="2017"/>
        <w:gridCol w:w="1976"/>
      </w:tblGrid>
      <w:tr w:rsidR="00E2105D" w:rsidRPr="00CE4A29" w:rsidTr="00AB6ABD">
        <w:trPr>
          <w:jc w:val="center"/>
        </w:trPr>
        <w:tc>
          <w:tcPr>
            <w:tcW w:w="729" w:type="pct"/>
            <w:shd w:val="clear" w:color="auto" w:fill="auto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Who</w:t>
            </w:r>
          </w:p>
        </w:tc>
        <w:tc>
          <w:tcPr>
            <w:tcW w:w="1214" w:type="pct"/>
            <w:shd w:val="clear" w:color="auto" w:fill="auto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Identity</w:t>
            </w:r>
          </w:p>
        </w:tc>
        <w:tc>
          <w:tcPr>
            <w:tcW w:w="972" w:type="pct"/>
            <w:shd w:val="clear" w:color="auto" w:fill="auto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Expertise</w:t>
            </w:r>
          </w:p>
        </w:tc>
        <w:tc>
          <w:tcPr>
            <w:tcW w:w="1053" w:type="pct"/>
            <w:shd w:val="clear" w:color="auto" w:fill="auto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Interest in health research</w:t>
            </w:r>
          </w:p>
        </w:tc>
        <w:tc>
          <w:tcPr>
            <w:tcW w:w="1033" w:type="pct"/>
            <w:shd w:val="clear" w:color="auto" w:fill="auto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Representation </w:t>
            </w: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 w:val="restar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CE4A29">
              <w:rPr>
                <w:rFonts w:cstheme="minorHAnsi"/>
                <w:sz w:val="22"/>
                <w:szCs w:val="22"/>
                <w:lang w:val="en-GB"/>
              </w:rPr>
              <w:t>Patient</w:t>
            </w:r>
          </w:p>
        </w:tc>
        <w:tc>
          <w:tcPr>
            <w:tcW w:w="1214" w:type="pct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highlight w:val="cyan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Service users, consumers, caregivers </w:t>
            </w:r>
            <w:r w:rsidRPr="00E2105D">
              <w:rPr>
                <w:rFonts w:cstheme="minorHAnsi"/>
                <w:noProof/>
                <w:sz w:val="22"/>
                <w:szCs w:val="22"/>
                <w:highlight w:val="white"/>
                <w:lang w:val="en-GB"/>
              </w:rPr>
              <w:t>[1, 4, 15, 16, 43]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72" w:type="pct"/>
            <w:vMerge w:val="restar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Experience-based knowledge of clinical conditions, treatments or care pathways </w:t>
            </w:r>
            <w:r w:rsidRPr="00E2105D">
              <w:rPr>
                <w:rFonts w:cstheme="minorHAnsi"/>
                <w:noProof/>
                <w:sz w:val="22"/>
                <w:szCs w:val="22"/>
                <w:highlight w:val="white"/>
                <w:lang w:val="en-GB"/>
              </w:rPr>
              <w:t>[1]</w:t>
            </w:r>
          </w:p>
        </w:tc>
        <w:tc>
          <w:tcPr>
            <w:tcW w:w="1053" w:type="pct"/>
            <w:vMerge w:val="restar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Interest in full range of health research</w:t>
            </w:r>
          </w:p>
        </w:tc>
        <w:tc>
          <w:tcPr>
            <w:tcW w:w="1033" w:type="pct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Represented as core public in scholarly papers</w:t>
            </w: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14" w:type="pct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F351B">
              <w:rPr>
                <w:rFonts w:cstheme="minorHAnsi"/>
                <w:sz w:val="22"/>
                <w:szCs w:val="22"/>
                <w:lang w:val="en-GB"/>
              </w:rPr>
              <w:t xml:space="preserve">Potential 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service users </w:t>
            </w:r>
            <w:r w:rsidRPr="00E2105D">
              <w:rPr>
                <w:rFonts w:cstheme="minorHAnsi"/>
                <w:noProof/>
                <w:sz w:val="22"/>
                <w:szCs w:val="22"/>
                <w:highlight w:val="white"/>
                <w:lang w:val="en-GB"/>
              </w:rPr>
              <w:t>[6, 63, 81]</w:t>
            </w:r>
          </w:p>
        </w:tc>
        <w:tc>
          <w:tcPr>
            <w:tcW w:w="972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053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033" w:type="pct"/>
            <w:vMerge w:val="restar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Represented as core public in policy reports</w:t>
            </w: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14" w:type="pc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i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Operationali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>ed as individuals or groups (i.e. patient advocacy organi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>ations)</w:t>
            </w:r>
          </w:p>
        </w:tc>
        <w:tc>
          <w:tcPr>
            <w:tcW w:w="972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053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033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 w:val="restar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Community</w:t>
            </w:r>
          </w:p>
        </w:tc>
        <w:tc>
          <w:tcPr>
            <w:tcW w:w="1214" w:type="pct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Social constituencies </w:t>
            </w:r>
            <w:r>
              <w:rPr>
                <w:rFonts w:cstheme="minorHAnsi"/>
                <w:sz w:val="22"/>
                <w:szCs w:val="22"/>
                <w:lang w:val="en-GB"/>
              </w:rPr>
              <w:t>–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 by common history or interest/identity such as gender, race/ethnicity, sexual orientation, illness experience </w:t>
            </w:r>
            <w:r w:rsidRPr="00E2105D">
              <w:rPr>
                <w:rFonts w:cstheme="minorHAnsi"/>
                <w:noProof/>
                <w:sz w:val="22"/>
                <w:szCs w:val="22"/>
                <w:highlight w:val="white"/>
                <w:lang w:val="en-GB"/>
              </w:rPr>
              <w:t>[44]</w:t>
            </w:r>
          </w:p>
        </w:tc>
        <w:tc>
          <w:tcPr>
            <w:tcW w:w="972" w:type="pct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Collective expertise – derived from historical, cultural, politico-economic conditions</w:t>
            </w:r>
          </w:p>
        </w:tc>
        <w:tc>
          <w:tcPr>
            <w:tcW w:w="1053" w:type="pct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Interest in population health research, e.g. inequities in care, disparities in outcome </w:t>
            </w:r>
            <w:r w:rsidRPr="00E2105D">
              <w:rPr>
                <w:rFonts w:cstheme="minorHAnsi"/>
                <w:noProof/>
                <w:sz w:val="22"/>
                <w:szCs w:val="22"/>
                <w:highlight w:val="white"/>
                <w:lang w:val="en-GB"/>
              </w:rPr>
              <w:t>[51, 61]</w:t>
            </w:r>
          </w:p>
        </w:tc>
        <w:tc>
          <w:tcPr>
            <w:tcW w:w="1033" w:type="pct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Represented as core public in scholarly papers</w:t>
            </w: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14" w:type="pct"/>
            <w:vMerge w:val="restart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>Operationali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>ed as organi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>ed or emergent groups, including health, religious or educational organi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ations </w:t>
            </w:r>
            <w:r w:rsidRPr="00E2105D">
              <w:rPr>
                <w:rFonts w:cstheme="minorHAnsi"/>
                <w:bCs/>
                <w:noProof/>
                <w:sz w:val="22"/>
                <w:szCs w:val="22"/>
                <w:highlight w:val="white"/>
                <w:lang w:val="en-GB"/>
              </w:rPr>
              <w:t>[44]</w:t>
            </w:r>
            <w:r>
              <w:rPr>
                <w:rFonts w:cstheme="minorHAnsi"/>
                <w:bCs/>
                <w:noProof/>
                <w:sz w:val="22"/>
                <w:szCs w:val="22"/>
                <w:lang w:val="en-GB"/>
              </w:rPr>
              <w:t>,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 civil society organi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ations or </w:t>
            </w:r>
            <w:r>
              <w:rPr>
                <w:rFonts w:cstheme="minorHAnsi"/>
                <w:sz w:val="22"/>
                <w:szCs w:val="22"/>
                <w:lang w:val="en-GB"/>
              </w:rPr>
              <w:t>NGOs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E2105D">
              <w:rPr>
                <w:rFonts w:cstheme="minorHAnsi"/>
                <w:bCs/>
                <w:noProof/>
                <w:sz w:val="22"/>
                <w:szCs w:val="22"/>
                <w:highlight w:val="white"/>
                <w:lang w:val="en-GB"/>
              </w:rPr>
              <w:t>[38, 41]</w:t>
            </w:r>
          </w:p>
        </w:tc>
        <w:tc>
          <w:tcPr>
            <w:tcW w:w="972" w:type="pct"/>
            <w:vMerge w:val="restar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To represent a public interest, </w:t>
            </w:r>
            <w:r w:rsidRPr="00CE4A29">
              <w:rPr>
                <w:rFonts w:cstheme="minorHAnsi"/>
                <w:bCs/>
                <w:iCs/>
                <w:sz w:val="22"/>
                <w:szCs w:val="22"/>
                <w:lang w:val="en-GB"/>
              </w:rPr>
              <w:t>not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 the 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‘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>consumer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’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 of market-based relations </w:t>
            </w:r>
            <w:r w:rsidRPr="00E2105D">
              <w:rPr>
                <w:rFonts w:cstheme="minorHAnsi"/>
                <w:bCs/>
                <w:noProof/>
                <w:sz w:val="22"/>
                <w:szCs w:val="22"/>
                <w:highlight w:val="white"/>
                <w:lang w:val="en-GB"/>
              </w:rPr>
              <w:t>[45]</w:t>
            </w:r>
          </w:p>
        </w:tc>
        <w:tc>
          <w:tcPr>
            <w:tcW w:w="1053" w:type="pct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Interest in research 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beyond health sector for social determinants of health </w:t>
            </w:r>
            <w:r w:rsidRPr="00E2105D">
              <w:rPr>
                <w:rFonts w:cstheme="minorHAnsi"/>
                <w:bCs/>
                <w:noProof/>
                <w:sz w:val="22"/>
                <w:szCs w:val="22"/>
                <w:highlight w:val="white"/>
                <w:lang w:val="en-GB"/>
              </w:rPr>
              <w:t>[45]</w:t>
            </w:r>
          </w:p>
        </w:tc>
        <w:tc>
          <w:tcPr>
            <w:tcW w:w="1033" w:type="pct"/>
            <w:vMerge w:val="restar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Generally </w:t>
            </w:r>
            <w:r w:rsidRPr="004F351B">
              <w:rPr>
                <w:rFonts w:cstheme="minorHAnsi"/>
                <w:sz w:val="22"/>
                <w:szCs w:val="22"/>
                <w:lang w:val="en-GB"/>
              </w:rPr>
              <w:t>not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 identified as core public in policy reports </w:t>
            </w:r>
            <w:r w:rsidRPr="00E2105D">
              <w:rPr>
                <w:rFonts w:cstheme="minorHAnsi"/>
                <w:noProof/>
                <w:sz w:val="22"/>
                <w:szCs w:val="22"/>
                <w:highlight w:val="white"/>
                <w:lang w:val="en-GB"/>
              </w:rPr>
              <w:t>[56]</w:t>
            </w: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14" w:type="pct"/>
            <w:vMerge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972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053" w:type="pc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Emphasis on applied, inter-disciplinary research </w:t>
            </w:r>
            <w:r w:rsidRPr="00E2105D">
              <w:rPr>
                <w:rFonts w:cstheme="minorHAnsi"/>
                <w:noProof/>
                <w:sz w:val="22"/>
                <w:szCs w:val="22"/>
                <w:highlight w:val="white"/>
                <w:lang w:val="en-GB"/>
              </w:rPr>
              <w:t>[42, 46]</w:t>
            </w:r>
          </w:p>
        </w:tc>
        <w:tc>
          <w:tcPr>
            <w:tcW w:w="1033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 w:val="restart"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4271" w:type="pct"/>
            <w:gridSpan w:val="4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Citizen/Public</w:t>
            </w: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271" w:type="pct"/>
            <w:gridSpan w:val="4"/>
          </w:tcPr>
          <w:p w:rsidR="00E2105D" w:rsidRPr="00CE4A29" w:rsidRDefault="00E2105D" w:rsidP="00E2105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Persons with 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general lay expertise </w:t>
            </w:r>
            <w:r w:rsidRPr="00E2105D">
              <w:rPr>
                <w:rFonts w:cstheme="minorHAnsi"/>
                <w:bCs/>
                <w:noProof/>
                <w:sz w:val="22"/>
                <w:szCs w:val="22"/>
                <w:highlight w:val="white"/>
                <w:lang w:val="en-GB"/>
              </w:rPr>
              <w:t>[47]</w:t>
            </w: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271" w:type="pct"/>
            <w:gridSpan w:val="4"/>
          </w:tcPr>
          <w:p w:rsidR="00E2105D" w:rsidRPr="00CE4A29" w:rsidRDefault="00E2105D" w:rsidP="00E2105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Includes </w:t>
            </w:r>
            <w:r>
              <w:rPr>
                <w:rFonts w:cstheme="minorHAnsi"/>
                <w:sz w:val="22"/>
                <w:szCs w:val="22"/>
                <w:lang w:val="en-GB"/>
              </w:rPr>
              <w:t>‘k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>nowledge user</w:t>
            </w:r>
            <w:r>
              <w:rPr>
                <w:rFonts w:cstheme="minorHAnsi"/>
                <w:sz w:val="22"/>
                <w:szCs w:val="22"/>
                <w:lang w:val="en-GB"/>
              </w:rPr>
              <w:t>s’</w:t>
            </w:r>
            <w:r w:rsidRPr="00CE4A29">
              <w:rPr>
                <w:rFonts w:cstheme="minorHAnsi"/>
                <w:sz w:val="22"/>
                <w:szCs w:val="22"/>
                <w:lang w:val="en-GB"/>
              </w:rPr>
              <w:t xml:space="preserve"> such as 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>policy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-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>maker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>, administrator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, community 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lastRenderedPageBreak/>
              <w:t>leader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>, private sector organi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s</w:t>
            </w: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ation, etc. </w:t>
            </w:r>
            <w:r w:rsidRPr="00E2105D">
              <w:rPr>
                <w:rFonts w:cstheme="minorHAnsi"/>
                <w:bCs/>
                <w:noProof/>
                <w:sz w:val="22"/>
                <w:szCs w:val="22"/>
                <w:highlight w:val="white"/>
                <w:lang w:val="en-GB"/>
              </w:rPr>
              <w:t>[62]</w:t>
            </w: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271" w:type="pct"/>
            <w:gridSpan w:val="4"/>
          </w:tcPr>
          <w:p w:rsidR="00E2105D" w:rsidRPr="00CE4A29" w:rsidRDefault="00E2105D" w:rsidP="00AB6ABD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sz w:val="22"/>
                <w:szCs w:val="22"/>
                <w:lang w:val="en-GB"/>
              </w:rPr>
              <w:t>Clinician</w:t>
            </w:r>
          </w:p>
        </w:tc>
      </w:tr>
      <w:tr w:rsidR="00E2105D" w:rsidRPr="00CE4A29" w:rsidTr="00AB6ABD">
        <w:trPr>
          <w:jc w:val="center"/>
        </w:trPr>
        <w:tc>
          <w:tcPr>
            <w:tcW w:w="729" w:type="pct"/>
            <w:vMerge/>
          </w:tcPr>
          <w:p w:rsidR="00E2105D" w:rsidRPr="00CE4A29" w:rsidRDefault="00E2105D" w:rsidP="00AB6ABD">
            <w:pPr>
              <w:pStyle w:val="ListParagraph"/>
              <w:spacing w:line="360" w:lineRule="auto"/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271" w:type="pct"/>
            <w:gridSpan w:val="4"/>
          </w:tcPr>
          <w:p w:rsidR="00E2105D" w:rsidRPr="00CE4A29" w:rsidRDefault="00E2105D" w:rsidP="00E2105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CE4A29">
              <w:rPr>
                <w:rFonts w:cstheme="minorHAnsi"/>
                <w:bCs/>
                <w:sz w:val="22"/>
                <w:szCs w:val="22"/>
                <w:lang w:val="en-GB"/>
              </w:rPr>
              <w:t xml:space="preserve">Key informants regarding service use, alongside patients </w:t>
            </w:r>
            <w:r w:rsidRPr="00E2105D">
              <w:rPr>
                <w:rFonts w:cstheme="minorHAnsi"/>
                <w:bCs/>
                <w:noProof/>
                <w:sz w:val="22"/>
                <w:szCs w:val="22"/>
                <w:highlight w:val="white"/>
                <w:lang w:val="en-GB"/>
              </w:rPr>
              <w:t>[47, 48]</w:t>
            </w:r>
          </w:p>
        </w:tc>
      </w:tr>
    </w:tbl>
    <w:p w:rsidR="00E1097D" w:rsidRDefault="00E1097D"/>
    <w:sectPr w:rsidR="00E1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3789"/>
    <w:multiLevelType w:val="hybridMultilevel"/>
    <w:tmpl w:val="A8FEA436"/>
    <w:lvl w:ilvl="0" w:tplc="561268B8">
      <w:start w:val="1"/>
      <w:numFmt w:val="bullet"/>
      <w:lvlText w:val="∙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8453A"/>
    <w:multiLevelType w:val="hybridMultilevel"/>
    <w:tmpl w:val="F57651F0"/>
    <w:lvl w:ilvl="0" w:tplc="561268B8">
      <w:start w:val="1"/>
      <w:numFmt w:val="bullet"/>
      <w:lvlText w:val="∙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5D"/>
    <w:rsid w:val="00471E1E"/>
    <w:rsid w:val="00E1097D"/>
    <w:rsid w:val="00E2105D"/>
    <w:rsid w:val="00F0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5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E2105D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-Caption">
    <w:name w:val="Float-Caption"/>
    <w:link w:val="Float-CaptionChar"/>
    <w:uiPriority w:val="20"/>
    <w:locked/>
    <w:rsid w:val="00E2105D"/>
    <w:pPr>
      <w:spacing w:after="0" w:line="360" w:lineRule="auto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E2105D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5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E2105D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-Caption">
    <w:name w:val="Float-Caption"/>
    <w:link w:val="Float-CaptionChar"/>
    <w:uiPriority w:val="20"/>
    <w:locked/>
    <w:rsid w:val="00E2105D"/>
    <w:pPr>
      <w:spacing w:after="0" w:line="360" w:lineRule="auto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E2105D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1399</Characters>
  <Application>Microsoft Office Word</Application>
  <DocSecurity>0</DocSecurity>
  <Lines>25</Lines>
  <Paragraphs>9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ADAYAP</dc:creator>
  <cp:lastModifiedBy>ADAYAP</cp:lastModifiedBy>
  <cp:revision>1</cp:revision>
  <dcterms:created xsi:type="dcterms:W3CDTF">2018-07-24T11:13:00Z</dcterms:created>
  <dcterms:modified xsi:type="dcterms:W3CDTF">2018-07-24T11:14:00Z</dcterms:modified>
</cp:coreProperties>
</file>