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5020"/>
        <w:tblW w:w="0" w:type="auto"/>
        <w:tblLook w:val="04A0" w:firstRow="1" w:lastRow="0" w:firstColumn="1" w:lastColumn="0" w:noHBand="0" w:noVBand="1"/>
      </w:tblPr>
      <w:tblGrid>
        <w:gridCol w:w="1615"/>
        <w:gridCol w:w="1260"/>
        <w:gridCol w:w="2160"/>
        <w:gridCol w:w="900"/>
        <w:gridCol w:w="990"/>
        <w:gridCol w:w="990"/>
        <w:gridCol w:w="966"/>
      </w:tblGrid>
      <w:tr w:rsidR="00024292" w:rsidTr="00024292">
        <w:trPr>
          <w:trHeight w:val="720"/>
        </w:trPr>
        <w:tc>
          <w:tcPr>
            <w:tcW w:w="1615" w:type="dxa"/>
          </w:tcPr>
          <w:p w:rsidR="00024292" w:rsidRDefault="00024292" w:rsidP="00024292">
            <w:r>
              <w:t>Litter type</w:t>
            </w:r>
          </w:p>
        </w:tc>
        <w:tc>
          <w:tcPr>
            <w:tcW w:w="1260" w:type="dxa"/>
          </w:tcPr>
          <w:p w:rsidR="00024292" w:rsidRDefault="00024292" w:rsidP="00024292">
            <w:r>
              <w:t>Location</w:t>
            </w:r>
          </w:p>
        </w:tc>
        <w:tc>
          <w:tcPr>
            <w:tcW w:w="2160" w:type="dxa"/>
          </w:tcPr>
          <w:p w:rsidR="00024292" w:rsidRDefault="00024292" w:rsidP="00024292">
            <w:pPr>
              <w:jc w:val="center"/>
            </w:pPr>
            <w:r>
              <w:t>k</w:t>
            </w:r>
          </w:p>
        </w:tc>
        <w:tc>
          <w:tcPr>
            <w:tcW w:w="900" w:type="dxa"/>
          </w:tcPr>
          <w:p w:rsidR="00024292" w:rsidRDefault="00024292" w:rsidP="00024292">
            <w:pPr>
              <w:jc w:val="center"/>
            </w:pPr>
            <w:r>
              <w:t>F</w:t>
            </w:r>
          </w:p>
        </w:tc>
        <w:tc>
          <w:tcPr>
            <w:tcW w:w="990" w:type="dxa"/>
          </w:tcPr>
          <w:p w:rsidR="00024292" w:rsidRDefault="00024292" w:rsidP="00024292">
            <w:pPr>
              <w:jc w:val="center"/>
            </w:pPr>
            <w:r>
              <w:t>r</w:t>
            </w:r>
            <w:r>
              <w:rPr>
                <w:vertAlign w:val="superscript"/>
              </w:rPr>
              <w:t>2</w:t>
            </w:r>
          </w:p>
        </w:tc>
        <w:tc>
          <w:tcPr>
            <w:tcW w:w="990" w:type="dxa"/>
          </w:tcPr>
          <w:p w:rsidR="00024292" w:rsidRPr="004070C2" w:rsidRDefault="00024292" w:rsidP="00024292">
            <w:pPr>
              <w:jc w:val="center"/>
              <w:rPr>
                <w:i/>
              </w:rPr>
            </w:pPr>
            <w:r w:rsidRPr="004070C2">
              <w:rPr>
                <w:i/>
              </w:rPr>
              <w:t>P</w:t>
            </w:r>
          </w:p>
        </w:tc>
        <w:tc>
          <w:tcPr>
            <w:tcW w:w="966" w:type="dxa"/>
          </w:tcPr>
          <w:p w:rsidR="00024292" w:rsidRDefault="00024292" w:rsidP="00024292">
            <w:pPr>
              <w:jc w:val="center"/>
            </w:pPr>
            <w:r>
              <w:t>Phase 1</w:t>
            </w:r>
          </w:p>
        </w:tc>
      </w:tr>
      <w:tr w:rsidR="00024292" w:rsidTr="00024292">
        <w:trPr>
          <w:trHeight w:val="720"/>
        </w:trPr>
        <w:tc>
          <w:tcPr>
            <w:tcW w:w="1615" w:type="dxa"/>
          </w:tcPr>
          <w:p w:rsidR="00024292" w:rsidRDefault="00024292" w:rsidP="00024292">
            <w:r>
              <w:t>Longleaf pine</w:t>
            </w:r>
          </w:p>
          <w:p w:rsidR="00024292" w:rsidRDefault="00024292" w:rsidP="00024292"/>
        </w:tc>
        <w:tc>
          <w:tcPr>
            <w:tcW w:w="1260" w:type="dxa"/>
          </w:tcPr>
          <w:p w:rsidR="00024292" w:rsidRDefault="00024292" w:rsidP="00024292">
            <w:r>
              <w:t>Surface</w:t>
            </w:r>
          </w:p>
        </w:tc>
        <w:tc>
          <w:tcPr>
            <w:tcW w:w="2160" w:type="dxa"/>
          </w:tcPr>
          <w:p w:rsidR="00024292" w:rsidRDefault="00024292" w:rsidP="00024292">
            <w:pPr>
              <w:jc w:val="center"/>
            </w:pPr>
            <w:r>
              <w:t>0.194 ± 0.004</w:t>
            </w:r>
            <w:r w:rsidRPr="00455098">
              <w:rPr>
                <w:vertAlign w:val="superscript"/>
              </w:rPr>
              <w:t>a</w:t>
            </w:r>
          </w:p>
        </w:tc>
        <w:tc>
          <w:tcPr>
            <w:tcW w:w="900" w:type="dxa"/>
          </w:tcPr>
          <w:p w:rsidR="00024292" w:rsidRDefault="00024292" w:rsidP="00024292">
            <w:pPr>
              <w:jc w:val="right"/>
            </w:pPr>
            <w:r>
              <w:t>850.7</w:t>
            </w:r>
          </w:p>
        </w:tc>
        <w:tc>
          <w:tcPr>
            <w:tcW w:w="990" w:type="dxa"/>
          </w:tcPr>
          <w:p w:rsidR="00024292" w:rsidRDefault="00024292" w:rsidP="00024292">
            <w:pPr>
              <w:jc w:val="center"/>
            </w:pPr>
            <w:r>
              <w:t>0.993</w:t>
            </w:r>
          </w:p>
        </w:tc>
        <w:tc>
          <w:tcPr>
            <w:tcW w:w="990" w:type="dxa"/>
          </w:tcPr>
          <w:p w:rsidR="00024292" w:rsidRDefault="00024292" w:rsidP="00024292">
            <w:pPr>
              <w:jc w:val="center"/>
            </w:pPr>
            <w:r>
              <w:t>&lt;0.001</w:t>
            </w:r>
          </w:p>
        </w:tc>
        <w:tc>
          <w:tcPr>
            <w:tcW w:w="966" w:type="dxa"/>
          </w:tcPr>
          <w:p w:rsidR="00024292" w:rsidRDefault="00024292" w:rsidP="00024292">
            <w:pPr>
              <w:jc w:val="center"/>
            </w:pPr>
            <w:r>
              <w:t>8.3</w:t>
            </w:r>
          </w:p>
        </w:tc>
      </w:tr>
      <w:tr w:rsidR="00024292" w:rsidTr="00024292">
        <w:trPr>
          <w:trHeight w:val="720"/>
        </w:trPr>
        <w:tc>
          <w:tcPr>
            <w:tcW w:w="1615" w:type="dxa"/>
          </w:tcPr>
          <w:p w:rsidR="00024292" w:rsidRDefault="00024292" w:rsidP="00024292"/>
        </w:tc>
        <w:tc>
          <w:tcPr>
            <w:tcW w:w="1260" w:type="dxa"/>
          </w:tcPr>
          <w:p w:rsidR="00024292" w:rsidRDefault="00024292" w:rsidP="00024292">
            <w:r>
              <w:t>Buried</w:t>
            </w:r>
          </w:p>
        </w:tc>
        <w:tc>
          <w:tcPr>
            <w:tcW w:w="2160" w:type="dxa"/>
          </w:tcPr>
          <w:p w:rsidR="00024292" w:rsidRDefault="00024292" w:rsidP="00024292">
            <w:pPr>
              <w:jc w:val="center"/>
            </w:pPr>
            <w:r>
              <w:t>0.529 ± 0.021</w:t>
            </w:r>
            <w:r w:rsidRPr="00455098">
              <w:rPr>
                <w:vertAlign w:val="superscript"/>
              </w:rPr>
              <w:t>b</w:t>
            </w:r>
          </w:p>
        </w:tc>
        <w:tc>
          <w:tcPr>
            <w:tcW w:w="900" w:type="dxa"/>
          </w:tcPr>
          <w:p w:rsidR="00024292" w:rsidRDefault="00024292" w:rsidP="00024292">
            <w:pPr>
              <w:jc w:val="right"/>
            </w:pPr>
            <w:r>
              <w:t>146.1</w:t>
            </w:r>
          </w:p>
        </w:tc>
        <w:tc>
          <w:tcPr>
            <w:tcW w:w="990" w:type="dxa"/>
          </w:tcPr>
          <w:p w:rsidR="00024292" w:rsidRDefault="00024292" w:rsidP="00024292">
            <w:pPr>
              <w:jc w:val="center"/>
            </w:pPr>
            <w:r>
              <w:t>0.960</w:t>
            </w:r>
          </w:p>
        </w:tc>
        <w:tc>
          <w:tcPr>
            <w:tcW w:w="990" w:type="dxa"/>
          </w:tcPr>
          <w:p w:rsidR="00024292" w:rsidRDefault="00024292" w:rsidP="00024292">
            <w:pPr>
              <w:jc w:val="center"/>
            </w:pPr>
            <w:r>
              <w:t>&lt;0.001</w:t>
            </w:r>
          </w:p>
        </w:tc>
        <w:tc>
          <w:tcPr>
            <w:tcW w:w="966" w:type="dxa"/>
          </w:tcPr>
          <w:p w:rsidR="00024292" w:rsidRDefault="00024292" w:rsidP="00024292">
            <w:pPr>
              <w:jc w:val="center"/>
            </w:pPr>
            <w:r>
              <w:t>3.1</w:t>
            </w:r>
          </w:p>
        </w:tc>
      </w:tr>
      <w:tr w:rsidR="00024292" w:rsidTr="00024292">
        <w:trPr>
          <w:trHeight w:val="720"/>
        </w:trPr>
        <w:tc>
          <w:tcPr>
            <w:tcW w:w="1615" w:type="dxa"/>
          </w:tcPr>
          <w:p w:rsidR="00024292" w:rsidRDefault="00024292" w:rsidP="00024292">
            <w:r>
              <w:t>Turkey oak</w:t>
            </w:r>
          </w:p>
        </w:tc>
        <w:tc>
          <w:tcPr>
            <w:tcW w:w="1260" w:type="dxa"/>
          </w:tcPr>
          <w:p w:rsidR="00024292" w:rsidRDefault="00024292" w:rsidP="00024292">
            <w:r>
              <w:t xml:space="preserve">Surface </w:t>
            </w:r>
          </w:p>
        </w:tc>
        <w:tc>
          <w:tcPr>
            <w:tcW w:w="2160" w:type="dxa"/>
          </w:tcPr>
          <w:p w:rsidR="00024292" w:rsidRDefault="00024292" w:rsidP="00024292">
            <w:pPr>
              <w:jc w:val="center"/>
            </w:pPr>
            <w:r>
              <w:t>0.241 ± 0.006</w:t>
            </w:r>
            <w:r w:rsidRPr="00455098">
              <w:rPr>
                <w:vertAlign w:val="superscript"/>
              </w:rPr>
              <w:t>a</w:t>
            </w:r>
          </w:p>
        </w:tc>
        <w:tc>
          <w:tcPr>
            <w:tcW w:w="900" w:type="dxa"/>
          </w:tcPr>
          <w:p w:rsidR="00024292" w:rsidRDefault="00024292" w:rsidP="00024292">
            <w:pPr>
              <w:jc w:val="right"/>
            </w:pPr>
            <w:r>
              <w:t>558.2</w:t>
            </w:r>
          </w:p>
        </w:tc>
        <w:tc>
          <w:tcPr>
            <w:tcW w:w="990" w:type="dxa"/>
          </w:tcPr>
          <w:p w:rsidR="00024292" w:rsidRDefault="00024292" w:rsidP="00024292">
            <w:pPr>
              <w:jc w:val="center"/>
            </w:pPr>
            <w:r>
              <w:t>0.989</w:t>
            </w:r>
          </w:p>
        </w:tc>
        <w:tc>
          <w:tcPr>
            <w:tcW w:w="990" w:type="dxa"/>
          </w:tcPr>
          <w:p w:rsidR="00024292" w:rsidRDefault="00024292" w:rsidP="00024292">
            <w:pPr>
              <w:jc w:val="center"/>
            </w:pPr>
            <w:r>
              <w:t>&lt;0.001</w:t>
            </w:r>
          </w:p>
        </w:tc>
        <w:tc>
          <w:tcPr>
            <w:tcW w:w="966" w:type="dxa"/>
          </w:tcPr>
          <w:p w:rsidR="00024292" w:rsidRDefault="00024292" w:rsidP="00024292">
            <w:pPr>
              <w:jc w:val="center"/>
            </w:pPr>
            <w:r>
              <w:t>6.7</w:t>
            </w:r>
          </w:p>
        </w:tc>
      </w:tr>
      <w:tr w:rsidR="00024292" w:rsidTr="00024292">
        <w:trPr>
          <w:trHeight w:val="720"/>
        </w:trPr>
        <w:tc>
          <w:tcPr>
            <w:tcW w:w="1615" w:type="dxa"/>
          </w:tcPr>
          <w:p w:rsidR="00024292" w:rsidRDefault="00024292" w:rsidP="00024292"/>
        </w:tc>
        <w:tc>
          <w:tcPr>
            <w:tcW w:w="1260" w:type="dxa"/>
          </w:tcPr>
          <w:p w:rsidR="00024292" w:rsidRDefault="00024292" w:rsidP="00024292">
            <w:r>
              <w:t>Buried</w:t>
            </w:r>
          </w:p>
        </w:tc>
        <w:tc>
          <w:tcPr>
            <w:tcW w:w="2160" w:type="dxa"/>
          </w:tcPr>
          <w:p w:rsidR="00024292" w:rsidRDefault="00024292" w:rsidP="00024292">
            <w:pPr>
              <w:jc w:val="center"/>
            </w:pPr>
            <w:r>
              <w:t>0.775 ± 0.039</w:t>
            </w:r>
            <w:r w:rsidRPr="00CB3A5C">
              <w:rPr>
                <w:vertAlign w:val="superscript"/>
              </w:rPr>
              <w:t>c</w:t>
            </w:r>
          </w:p>
        </w:tc>
        <w:tc>
          <w:tcPr>
            <w:tcW w:w="900" w:type="dxa"/>
          </w:tcPr>
          <w:p w:rsidR="00024292" w:rsidRDefault="00024292" w:rsidP="00024292">
            <w:pPr>
              <w:jc w:val="right"/>
            </w:pPr>
            <w:r>
              <w:t>90.7</w:t>
            </w:r>
          </w:p>
        </w:tc>
        <w:tc>
          <w:tcPr>
            <w:tcW w:w="990" w:type="dxa"/>
          </w:tcPr>
          <w:p w:rsidR="00024292" w:rsidRDefault="00024292" w:rsidP="00024292">
            <w:pPr>
              <w:jc w:val="center"/>
            </w:pPr>
            <w:r>
              <w:t>0.937</w:t>
            </w:r>
          </w:p>
        </w:tc>
        <w:tc>
          <w:tcPr>
            <w:tcW w:w="990" w:type="dxa"/>
          </w:tcPr>
          <w:p w:rsidR="00024292" w:rsidRDefault="00024292" w:rsidP="00024292">
            <w:pPr>
              <w:jc w:val="center"/>
            </w:pPr>
            <w:r>
              <w:t>&lt;0.001</w:t>
            </w:r>
          </w:p>
        </w:tc>
        <w:tc>
          <w:tcPr>
            <w:tcW w:w="966" w:type="dxa"/>
          </w:tcPr>
          <w:p w:rsidR="00024292" w:rsidRDefault="00024292" w:rsidP="00024292">
            <w:pPr>
              <w:jc w:val="center"/>
            </w:pPr>
            <w:r>
              <w:t>2.1</w:t>
            </w:r>
          </w:p>
        </w:tc>
      </w:tr>
      <w:tr w:rsidR="00024292" w:rsidTr="00024292">
        <w:trPr>
          <w:trHeight w:val="720"/>
        </w:trPr>
        <w:tc>
          <w:tcPr>
            <w:tcW w:w="1615" w:type="dxa"/>
          </w:tcPr>
          <w:p w:rsidR="00024292" w:rsidRDefault="00024292" w:rsidP="00024292">
            <w:r>
              <w:t>Mixed</w:t>
            </w:r>
          </w:p>
        </w:tc>
        <w:tc>
          <w:tcPr>
            <w:tcW w:w="1260" w:type="dxa"/>
          </w:tcPr>
          <w:p w:rsidR="00024292" w:rsidRDefault="00024292" w:rsidP="00024292">
            <w:r>
              <w:t xml:space="preserve">Surface </w:t>
            </w:r>
          </w:p>
        </w:tc>
        <w:tc>
          <w:tcPr>
            <w:tcW w:w="2160" w:type="dxa"/>
          </w:tcPr>
          <w:p w:rsidR="00024292" w:rsidRDefault="00024292" w:rsidP="00024292">
            <w:pPr>
              <w:jc w:val="center"/>
            </w:pPr>
            <w:r>
              <w:t>0.268 ± 0.006</w:t>
            </w:r>
            <w:r w:rsidRPr="00CB3A5C">
              <w:rPr>
                <w:vertAlign w:val="superscript"/>
              </w:rPr>
              <w:t>a</w:t>
            </w:r>
          </w:p>
        </w:tc>
        <w:tc>
          <w:tcPr>
            <w:tcW w:w="900" w:type="dxa"/>
          </w:tcPr>
          <w:p w:rsidR="00024292" w:rsidRDefault="00024292" w:rsidP="00024292">
            <w:pPr>
              <w:jc w:val="right"/>
            </w:pPr>
            <w:r>
              <w:t>72.4</w:t>
            </w:r>
          </w:p>
        </w:tc>
        <w:tc>
          <w:tcPr>
            <w:tcW w:w="990" w:type="dxa"/>
          </w:tcPr>
          <w:p w:rsidR="00024292" w:rsidRDefault="00024292" w:rsidP="00024292">
            <w:pPr>
              <w:jc w:val="center"/>
            </w:pPr>
            <w:r>
              <w:t>0.923</w:t>
            </w:r>
          </w:p>
        </w:tc>
        <w:tc>
          <w:tcPr>
            <w:tcW w:w="990" w:type="dxa"/>
          </w:tcPr>
          <w:p w:rsidR="00024292" w:rsidRDefault="00024292" w:rsidP="00024292">
            <w:pPr>
              <w:jc w:val="center"/>
            </w:pPr>
            <w:r>
              <w:t>&lt;0.001</w:t>
            </w:r>
          </w:p>
        </w:tc>
        <w:tc>
          <w:tcPr>
            <w:tcW w:w="966" w:type="dxa"/>
          </w:tcPr>
          <w:p w:rsidR="00024292" w:rsidRDefault="00024292" w:rsidP="00024292">
            <w:pPr>
              <w:jc w:val="center"/>
            </w:pPr>
            <w:r>
              <w:t>6.0</w:t>
            </w:r>
          </w:p>
        </w:tc>
      </w:tr>
      <w:tr w:rsidR="00024292" w:rsidTr="00024292">
        <w:trPr>
          <w:trHeight w:val="720"/>
        </w:trPr>
        <w:tc>
          <w:tcPr>
            <w:tcW w:w="1615" w:type="dxa"/>
          </w:tcPr>
          <w:p w:rsidR="00024292" w:rsidRDefault="00024292" w:rsidP="00024292"/>
        </w:tc>
        <w:tc>
          <w:tcPr>
            <w:tcW w:w="1260" w:type="dxa"/>
          </w:tcPr>
          <w:p w:rsidR="00024292" w:rsidRDefault="00024292" w:rsidP="00024292">
            <w:r>
              <w:t>Buried</w:t>
            </w:r>
          </w:p>
        </w:tc>
        <w:tc>
          <w:tcPr>
            <w:tcW w:w="2160" w:type="dxa"/>
          </w:tcPr>
          <w:p w:rsidR="00024292" w:rsidRDefault="00024292" w:rsidP="00024292">
            <w:pPr>
              <w:jc w:val="center"/>
            </w:pPr>
            <w:r>
              <w:t>0.704 ± 0.017</w:t>
            </w:r>
            <w:r w:rsidRPr="00CB3A5C">
              <w:rPr>
                <w:vertAlign w:val="superscript"/>
              </w:rPr>
              <w:t>c</w:t>
            </w:r>
          </w:p>
        </w:tc>
        <w:tc>
          <w:tcPr>
            <w:tcW w:w="900" w:type="dxa"/>
          </w:tcPr>
          <w:p w:rsidR="00024292" w:rsidRDefault="00024292" w:rsidP="00024292">
            <w:pPr>
              <w:jc w:val="right"/>
            </w:pPr>
            <w:r>
              <w:t>50.9</w:t>
            </w:r>
          </w:p>
        </w:tc>
        <w:tc>
          <w:tcPr>
            <w:tcW w:w="990" w:type="dxa"/>
          </w:tcPr>
          <w:p w:rsidR="00024292" w:rsidRDefault="00024292" w:rsidP="00024292">
            <w:pPr>
              <w:jc w:val="center"/>
            </w:pPr>
            <w:r>
              <w:t>0.893</w:t>
            </w:r>
          </w:p>
        </w:tc>
        <w:tc>
          <w:tcPr>
            <w:tcW w:w="990" w:type="dxa"/>
          </w:tcPr>
          <w:p w:rsidR="00024292" w:rsidRDefault="00024292" w:rsidP="00024292">
            <w:pPr>
              <w:jc w:val="center"/>
            </w:pPr>
            <w:r>
              <w:t>&lt;0.001</w:t>
            </w:r>
          </w:p>
        </w:tc>
        <w:tc>
          <w:tcPr>
            <w:tcW w:w="966" w:type="dxa"/>
          </w:tcPr>
          <w:p w:rsidR="00024292" w:rsidRDefault="00024292" w:rsidP="00024292">
            <w:pPr>
              <w:jc w:val="center"/>
            </w:pPr>
            <w:r>
              <w:t>2.3</w:t>
            </w:r>
          </w:p>
        </w:tc>
      </w:tr>
    </w:tbl>
    <w:p w:rsidR="00172625" w:rsidRDefault="00172625" w:rsidP="00172625">
      <w:pPr>
        <w:spacing w:line="480" w:lineRule="auto"/>
      </w:pPr>
      <w:r w:rsidRPr="00CE3DFF">
        <w:rPr>
          <w:b/>
        </w:rPr>
        <w:t>S</w:t>
      </w:r>
      <w:r>
        <w:rPr>
          <w:b/>
        </w:rPr>
        <w:t>2</w:t>
      </w:r>
      <w:r w:rsidRPr="00CE3DFF">
        <w:rPr>
          <w:b/>
        </w:rPr>
        <w:t xml:space="preserve"> Table.  Decay constants (k, mean </w:t>
      </w:r>
      <w:r w:rsidRPr="00CE3DFF">
        <w:rPr>
          <w:b/>
        </w:rPr>
        <w:sym w:font="Symbol" w:char="F0B1"/>
      </w:r>
      <w:r w:rsidRPr="00CE3DFF">
        <w:rPr>
          <w:b/>
        </w:rPr>
        <w:t xml:space="preserve"> 1 SE) and statistics for model fit for mass loss from litter of longleaf pine, turkey oak, and mixed pine and oak litter on the surface of the forest floor and buried beneath pocket gopher mounds.</w:t>
      </w:r>
      <w:r>
        <w:t xml:space="preserve">  Data were fit to an exponential decay model (remaining mass = e </w:t>
      </w:r>
      <w:r>
        <w:rPr>
          <w:vertAlign w:val="superscript"/>
        </w:rPr>
        <w:t>–k * time</w:t>
      </w:r>
      <w:r>
        <w:t xml:space="preserve">).  </w:t>
      </w:r>
      <w:proofErr w:type="gramStart"/>
      <w:r>
        <w:t>k</w:t>
      </w:r>
      <w:proofErr w:type="gramEnd"/>
      <w:r>
        <w:t xml:space="preserve"> values with different letters are significantly different (p &lt; 0.05).  Estimated average time to the end of Phase 1 of decomposition, defined as &lt; 20% original litter mass remaining, is also presented.  </w:t>
      </w:r>
      <w:bookmarkStart w:id="0" w:name="_GoBack"/>
      <w:bookmarkEnd w:id="0"/>
    </w:p>
    <w:sectPr w:rsidR="00172625" w:rsidSect="005B4D28">
      <w:footerReference w:type="default" r:id="rId6"/>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C9B" w:rsidRDefault="00405C9B">
      <w:r>
        <w:separator/>
      </w:r>
    </w:p>
  </w:endnote>
  <w:endnote w:type="continuationSeparator" w:id="0">
    <w:p w:rsidR="00405C9B" w:rsidRDefault="0040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51" w:rsidRDefault="00405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C9B" w:rsidRDefault="00405C9B">
      <w:r>
        <w:separator/>
      </w:r>
    </w:p>
  </w:footnote>
  <w:footnote w:type="continuationSeparator" w:id="0">
    <w:p w:rsidR="00405C9B" w:rsidRDefault="00405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22"/>
    <w:rsid w:val="00024292"/>
    <w:rsid w:val="00172625"/>
    <w:rsid w:val="002B5FEF"/>
    <w:rsid w:val="00405C9B"/>
    <w:rsid w:val="00472AAB"/>
    <w:rsid w:val="004C5889"/>
    <w:rsid w:val="005B4D28"/>
    <w:rsid w:val="006A0E5C"/>
    <w:rsid w:val="006B4476"/>
    <w:rsid w:val="00733443"/>
    <w:rsid w:val="009A0422"/>
    <w:rsid w:val="00AC6BE2"/>
    <w:rsid w:val="00C22DA0"/>
    <w:rsid w:val="00FE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9F506-F354-447E-A9BE-29C36EF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0422"/>
    <w:pPr>
      <w:tabs>
        <w:tab w:val="center" w:pos="4680"/>
        <w:tab w:val="right" w:pos="9360"/>
      </w:tabs>
    </w:pPr>
  </w:style>
  <w:style w:type="character" w:customStyle="1" w:styleId="FooterChar">
    <w:name w:val="Footer Char"/>
    <w:basedOn w:val="DefaultParagraphFont"/>
    <w:link w:val="Footer"/>
    <w:uiPriority w:val="99"/>
    <w:rsid w:val="009A0422"/>
    <w:rPr>
      <w:rFonts w:ascii="Times New Roman" w:eastAsia="Times New Roman" w:hAnsi="Times New Roman" w:cs="Times New Roman"/>
      <w:sz w:val="24"/>
      <w:szCs w:val="20"/>
    </w:rPr>
  </w:style>
  <w:style w:type="table" w:styleId="TableGrid">
    <w:name w:val="Table Grid"/>
    <w:basedOn w:val="TableNormal"/>
    <w:uiPriority w:val="39"/>
    <w:rsid w:val="009A04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A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Kenneth -FS</dc:creator>
  <cp:keywords/>
  <dc:description/>
  <cp:lastModifiedBy>Clark, Kenneth -FS</cp:lastModifiedBy>
  <cp:revision>3</cp:revision>
  <dcterms:created xsi:type="dcterms:W3CDTF">2018-08-04T18:14:00Z</dcterms:created>
  <dcterms:modified xsi:type="dcterms:W3CDTF">2018-08-04T18:14:00Z</dcterms:modified>
</cp:coreProperties>
</file>