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7766E" w14:textId="40172663" w:rsidR="006679F9" w:rsidRDefault="006679F9" w:rsidP="006679F9">
      <w:pPr>
        <w:spacing w:line="480" w:lineRule="auto"/>
        <w:jc w:val="center"/>
        <w:outlineLvl w:val="0"/>
        <w:rPr>
          <w:rFonts w:ascii="Times New Roman" w:hAnsi="Times New Roman"/>
          <w:b/>
        </w:rPr>
      </w:pPr>
      <w:r>
        <w:rPr>
          <w:rFonts w:ascii="Times New Roman" w:hAnsi="Times New Roman"/>
          <w:b/>
        </w:rPr>
        <w:t>SUPPLEMENTARY INFORMATION</w:t>
      </w:r>
    </w:p>
    <w:p w14:paraId="33CBDA48" w14:textId="77777777" w:rsidR="006679F9" w:rsidRDefault="006679F9" w:rsidP="006679F9">
      <w:pPr>
        <w:spacing w:line="480" w:lineRule="auto"/>
        <w:outlineLvl w:val="0"/>
        <w:rPr>
          <w:rFonts w:ascii="Times New Roman" w:hAnsi="Times New Roman"/>
          <w:b/>
        </w:rPr>
      </w:pPr>
    </w:p>
    <w:p w14:paraId="4FFE48FF" w14:textId="77777777" w:rsidR="006679F9" w:rsidRPr="00C23F29" w:rsidRDefault="006679F9" w:rsidP="006679F9">
      <w:pPr>
        <w:spacing w:line="480" w:lineRule="auto"/>
        <w:outlineLvl w:val="0"/>
        <w:rPr>
          <w:rFonts w:ascii="Times New Roman" w:hAnsi="Times New Roman"/>
          <w:b/>
        </w:rPr>
      </w:pPr>
      <w:r>
        <w:rPr>
          <w:rFonts w:ascii="Times New Roman" w:hAnsi="Times New Roman"/>
          <w:b/>
        </w:rPr>
        <w:t xml:space="preserve">Integrated Human-Virus Metabolic Modelling </w:t>
      </w:r>
      <w:r w:rsidRPr="00C23F29">
        <w:rPr>
          <w:rFonts w:ascii="Times New Roman" w:hAnsi="Times New Roman"/>
          <w:b/>
        </w:rPr>
        <w:t>Predict</w:t>
      </w:r>
      <w:r>
        <w:rPr>
          <w:rFonts w:ascii="Times New Roman" w:hAnsi="Times New Roman"/>
          <w:b/>
        </w:rPr>
        <w:t>s</w:t>
      </w:r>
      <w:r w:rsidRPr="00C23F29">
        <w:rPr>
          <w:rFonts w:ascii="Times New Roman" w:hAnsi="Times New Roman"/>
          <w:b/>
        </w:rPr>
        <w:t xml:space="preserve"> Host-Based Antiviral </w:t>
      </w:r>
      <w:r>
        <w:rPr>
          <w:rFonts w:ascii="Times New Roman" w:hAnsi="Times New Roman"/>
          <w:b/>
        </w:rPr>
        <w:t>Targets Against Chikungunya, Dengue and Zika Viruses</w:t>
      </w:r>
    </w:p>
    <w:p w14:paraId="694343A3" w14:textId="77777777" w:rsidR="006679F9" w:rsidRPr="000D5DBA" w:rsidRDefault="006679F9" w:rsidP="006679F9">
      <w:pPr>
        <w:spacing w:line="480" w:lineRule="auto"/>
        <w:outlineLvl w:val="0"/>
        <w:rPr>
          <w:rFonts w:ascii="Times New Roman" w:hAnsi="Times New Roman"/>
          <w:vertAlign w:val="superscript"/>
        </w:rPr>
      </w:pPr>
      <w:r w:rsidRPr="00C23F29">
        <w:rPr>
          <w:rFonts w:ascii="Times New Roman" w:hAnsi="Times New Roman"/>
        </w:rPr>
        <w:t>Sean Aller</w:t>
      </w:r>
      <w:r w:rsidRPr="00C23F29">
        <w:rPr>
          <w:rFonts w:ascii="Times New Roman" w:hAnsi="Times New Roman"/>
          <w:vertAlign w:val="superscript"/>
        </w:rPr>
        <w:t>1</w:t>
      </w:r>
      <w:r>
        <w:rPr>
          <w:rFonts w:ascii="Times New Roman" w:hAnsi="Times New Roman"/>
        </w:rPr>
        <w:t>, Andrew Scott</w:t>
      </w:r>
      <w:r>
        <w:rPr>
          <w:rFonts w:ascii="Times New Roman" w:hAnsi="Times New Roman"/>
          <w:vertAlign w:val="superscript"/>
        </w:rPr>
        <w:t>2</w:t>
      </w:r>
      <w:r>
        <w:rPr>
          <w:rFonts w:ascii="Times New Roman" w:hAnsi="Times New Roman"/>
        </w:rPr>
        <w:t xml:space="preserve">, </w:t>
      </w:r>
      <w:proofErr w:type="spellStart"/>
      <w:r>
        <w:rPr>
          <w:rFonts w:ascii="Times New Roman" w:hAnsi="Times New Roman"/>
        </w:rPr>
        <w:t>Mitali</w:t>
      </w:r>
      <w:proofErr w:type="spellEnd"/>
      <w:r>
        <w:rPr>
          <w:rFonts w:ascii="Times New Roman" w:hAnsi="Times New Roman"/>
        </w:rPr>
        <w:t xml:space="preserve"> Sarkar-Tyson</w:t>
      </w:r>
      <w:r>
        <w:rPr>
          <w:rFonts w:ascii="Times New Roman" w:hAnsi="Times New Roman"/>
          <w:vertAlign w:val="superscript"/>
        </w:rPr>
        <w:t>2</w:t>
      </w:r>
      <w:proofErr w:type="gramStart"/>
      <w:r>
        <w:rPr>
          <w:rFonts w:ascii="Times New Roman" w:hAnsi="Times New Roman"/>
          <w:vertAlign w:val="superscript"/>
        </w:rPr>
        <w:t>,3</w:t>
      </w:r>
      <w:proofErr w:type="gramEnd"/>
      <w:r>
        <w:rPr>
          <w:rFonts w:ascii="Times New Roman" w:hAnsi="Times New Roman"/>
        </w:rPr>
        <w:t xml:space="preserve">, and </w:t>
      </w:r>
      <w:proofErr w:type="spellStart"/>
      <w:r w:rsidRPr="00C23F29">
        <w:rPr>
          <w:rFonts w:ascii="Times New Roman" w:hAnsi="Times New Roman"/>
        </w:rPr>
        <w:t>Orkun</w:t>
      </w:r>
      <w:proofErr w:type="spellEnd"/>
      <w:r w:rsidRPr="00C23F29">
        <w:rPr>
          <w:rFonts w:ascii="Times New Roman" w:hAnsi="Times New Roman"/>
        </w:rPr>
        <w:t xml:space="preserve"> </w:t>
      </w:r>
      <w:r>
        <w:rPr>
          <w:rFonts w:ascii="Times New Roman" w:hAnsi="Times New Roman"/>
        </w:rPr>
        <w:t xml:space="preserve">S. </w:t>
      </w:r>
      <w:r w:rsidRPr="00C23F29">
        <w:rPr>
          <w:rFonts w:ascii="Times New Roman" w:hAnsi="Times New Roman"/>
        </w:rPr>
        <w:t>Soyer</w:t>
      </w:r>
      <w:r w:rsidRPr="00C23F29">
        <w:rPr>
          <w:rFonts w:ascii="Times New Roman" w:hAnsi="Times New Roman"/>
          <w:vertAlign w:val="superscript"/>
        </w:rPr>
        <w:t>1</w:t>
      </w:r>
      <w:r>
        <w:rPr>
          <w:rFonts w:ascii="Times New Roman" w:hAnsi="Times New Roman"/>
          <w:vertAlign w:val="superscript"/>
        </w:rPr>
        <w:t>,</w:t>
      </w:r>
      <w:r w:rsidRPr="00C23F29">
        <w:rPr>
          <w:rFonts w:ascii="Times New Roman" w:hAnsi="Times New Roman"/>
          <w:vertAlign w:val="superscript"/>
        </w:rPr>
        <w:t>*</w:t>
      </w:r>
    </w:p>
    <w:p w14:paraId="5486BEB9" w14:textId="77777777" w:rsidR="006679F9" w:rsidRDefault="006679F9" w:rsidP="006679F9">
      <w:pPr>
        <w:spacing w:line="480" w:lineRule="auto"/>
        <w:jc w:val="both"/>
        <w:rPr>
          <w:rFonts w:ascii="Times New Roman" w:hAnsi="Times New Roman"/>
        </w:rPr>
      </w:pPr>
      <w:r w:rsidRPr="00E335A5">
        <w:rPr>
          <w:rFonts w:ascii="Times New Roman" w:hAnsi="Times New Roman"/>
          <w:vertAlign w:val="superscript"/>
        </w:rPr>
        <w:t xml:space="preserve">1 </w:t>
      </w:r>
      <w:r w:rsidRPr="00E335A5">
        <w:rPr>
          <w:rFonts w:ascii="Times New Roman" w:hAnsi="Times New Roman"/>
        </w:rPr>
        <w:t>School of Life Sciences, Gibbet Hill Campus, University of Warwick, Coventry, CV4 7ES, UK</w:t>
      </w:r>
      <w:r>
        <w:rPr>
          <w:rFonts w:ascii="Times New Roman" w:hAnsi="Times New Roman"/>
        </w:rPr>
        <w:t xml:space="preserve">. </w:t>
      </w:r>
    </w:p>
    <w:p w14:paraId="504F985F" w14:textId="77777777" w:rsidR="006679F9" w:rsidRPr="00E335A5" w:rsidRDefault="006679F9" w:rsidP="006679F9">
      <w:pPr>
        <w:spacing w:line="480" w:lineRule="auto"/>
        <w:jc w:val="both"/>
        <w:rPr>
          <w:rFonts w:ascii="Times New Roman" w:hAnsi="Times New Roman"/>
        </w:rPr>
      </w:pPr>
      <w:r w:rsidRPr="00E335A5">
        <w:rPr>
          <w:rFonts w:ascii="Times New Roman" w:hAnsi="Times New Roman"/>
          <w:vertAlign w:val="superscript"/>
        </w:rPr>
        <w:t xml:space="preserve">2 </w:t>
      </w:r>
      <w:r w:rsidRPr="00E335A5">
        <w:rPr>
          <w:rFonts w:ascii="Times New Roman" w:hAnsi="Times New Roman"/>
        </w:rPr>
        <w:t>Defence Science and Technology Laboratory (</w:t>
      </w:r>
      <w:proofErr w:type="spellStart"/>
      <w:r w:rsidRPr="00E335A5">
        <w:rPr>
          <w:rFonts w:ascii="Times New Roman" w:hAnsi="Times New Roman"/>
        </w:rPr>
        <w:t>Dstl</w:t>
      </w:r>
      <w:proofErr w:type="spellEnd"/>
      <w:r w:rsidRPr="00E335A5">
        <w:rPr>
          <w:rFonts w:ascii="Times New Roman" w:hAnsi="Times New Roman"/>
        </w:rPr>
        <w:t xml:space="preserve">), </w:t>
      </w:r>
      <w:proofErr w:type="spellStart"/>
      <w:r w:rsidRPr="00E335A5">
        <w:rPr>
          <w:rFonts w:ascii="Times New Roman" w:hAnsi="Times New Roman"/>
        </w:rPr>
        <w:t>Porton</w:t>
      </w:r>
      <w:proofErr w:type="spellEnd"/>
      <w:r w:rsidRPr="00E335A5">
        <w:rPr>
          <w:rFonts w:ascii="Times New Roman" w:hAnsi="Times New Roman"/>
        </w:rPr>
        <w:t xml:space="preserve"> Down, Salisbury, SP4 0JQ, UK</w:t>
      </w:r>
      <w:r>
        <w:rPr>
          <w:rFonts w:ascii="Times New Roman" w:hAnsi="Times New Roman"/>
        </w:rPr>
        <w:t xml:space="preserve">. </w:t>
      </w:r>
      <w:r w:rsidRPr="00E335A5">
        <w:rPr>
          <w:rFonts w:ascii="Times New Roman" w:hAnsi="Times New Roman"/>
          <w:vertAlign w:val="superscript"/>
        </w:rPr>
        <w:t>3</w:t>
      </w:r>
      <w:r w:rsidRPr="00E335A5">
        <w:rPr>
          <w:rFonts w:ascii="Times New Roman" w:hAnsi="Times New Roman"/>
        </w:rPr>
        <w:t xml:space="preserve">Marshall </w:t>
      </w:r>
      <w:proofErr w:type="spellStart"/>
      <w:r w:rsidRPr="00E335A5">
        <w:rPr>
          <w:rFonts w:ascii="Times New Roman" w:hAnsi="Times New Roman"/>
        </w:rPr>
        <w:t>Center</w:t>
      </w:r>
      <w:proofErr w:type="spellEnd"/>
      <w:r w:rsidRPr="00E335A5">
        <w:rPr>
          <w:rFonts w:ascii="Times New Roman" w:hAnsi="Times New Roman"/>
        </w:rPr>
        <w:t xml:space="preserve"> for Infectious Disease Research and Training, School of </w:t>
      </w:r>
      <w:r>
        <w:rPr>
          <w:rFonts w:ascii="Times New Roman" w:hAnsi="Times New Roman"/>
        </w:rPr>
        <w:t>Biomedical Sciences</w:t>
      </w:r>
      <w:r w:rsidRPr="00E335A5">
        <w:rPr>
          <w:rFonts w:ascii="Times New Roman" w:hAnsi="Times New Roman"/>
        </w:rPr>
        <w:t>, University of Western Australia, Perth, Australia.</w:t>
      </w:r>
    </w:p>
    <w:p w14:paraId="18955433" w14:textId="77777777" w:rsidR="006679F9" w:rsidRPr="00E335A5" w:rsidRDefault="006679F9" w:rsidP="006679F9">
      <w:pPr>
        <w:spacing w:line="480" w:lineRule="auto"/>
        <w:jc w:val="both"/>
        <w:rPr>
          <w:rFonts w:ascii="Times New Roman" w:hAnsi="Times New Roman"/>
        </w:rPr>
      </w:pPr>
      <w:r w:rsidRPr="00E335A5">
        <w:rPr>
          <w:rFonts w:ascii="Times New Roman" w:hAnsi="Times New Roman"/>
          <w:vertAlign w:val="superscript"/>
        </w:rPr>
        <w:t xml:space="preserve">* </w:t>
      </w:r>
      <w:r w:rsidRPr="00E335A5">
        <w:rPr>
          <w:rFonts w:ascii="Times New Roman" w:hAnsi="Times New Roman"/>
        </w:rPr>
        <w:t>Corresponding author</w:t>
      </w:r>
    </w:p>
    <w:p w14:paraId="19F7F589" w14:textId="3271BA21" w:rsidR="00B70FDF" w:rsidRPr="000D5DBA" w:rsidRDefault="00B70FDF" w:rsidP="00B70FDF">
      <w:pPr>
        <w:spacing w:line="480" w:lineRule="auto"/>
        <w:outlineLvl w:val="0"/>
        <w:rPr>
          <w:rFonts w:ascii="Times New Roman" w:hAnsi="Times New Roman"/>
          <w:vertAlign w:val="superscript"/>
        </w:rPr>
      </w:pPr>
      <w:r w:rsidRPr="00C23F29">
        <w:rPr>
          <w:rFonts w:ascii="Times New Roman" w:hAnsi="Times New Roman"/>
        </w:rPr>
        <w:t>Aller</w:t>
      </w:r>
      <w:r w:rsidRPr="00C23F29">
        <w:rPr>
          <w:rFonts w:ascii="Times New Roman" w:hAnsi="Times New Roman"/>
          <w:vertAlign w:val="superscript"/>
        </w:rPr>
        <w:t>1</w:t>
      </w:r>
      <w:r>
        <w:rPr>
          <w:rFonts w:ascii="Times New Roman" w:hAnsi="Times New Roman"/>
        </w:rPr>
        <w:t xml:space="preserve">, </w:t>
      </w:r>
      <w:r w:rsidR="0080698D">
        <w:rPr>
          <w:rFonts w:ascii="Times New Roman" w:hAnsi="Times New Roman"/>
        </w:rPr>
        <w:t>Andrew Scott</w:t>
      </w:r>
      <w:r w:rsidR="0080698D" w:rsidRPr="0080698D">
        <w:rPr>
          <w:rFonts w:ascii="Times New Roman" w:hAnsi="Times New Roman"/>
          <w:vertAlign w:val="superscript"/>
        </w:rPr>
        <w:t>2</w:t>
      </w:r>
      <w:r w:rsidR="0080698D">
        <w:rPr>
          <w:rFonts w:ascii="Times New Roman" w:hAnsi="Times New Roman"/>
        </w:rPr>
        <w:t xml:space="preserve">, </w:t>
      </w:r>
      <w:proofErr w:type="spellStart"/>
      <w:r>
        <w:rPr>
          <w:rFonts w:ascii="Times New Roman" w:hAnsi="Times New Roman"/>
        </w:rPr>
        <w:t>Mitali</w:t>
      </w:r>
      <w:proofErr w:type="spellEnd"/>
      <w:r>
        <w:rPr>
          <w:rFonts w:ascii="Times New Roman" w:hAnsi="Times New Roman"/>
        </w:rPr>
        <w:t xml:space="preserve"> Sarkar-Tyson</w:t>
      </w:r>
      <w:r>
        <w:rPr>
          <w:rFonts w:ascii="Times New Roman" w:hAnsi="Times New Roman"/>
          <w:vertAlign w:val="superscript"/>
        </w:rPr>
        <w:t>2</w:t>
      </w:r>
      <w:proofErr w:type="gramStart"/>
      <w:r>
        <w:rPr>
          <w:rFonts w:ascii="Times New Roman" w:hAnsi="Times New Roman"/>
          <w:vertAlign w:val="superscript"/>
        </w:rPr>
        <w:t>,3</w:t>
      </w:r>
      <w:proofErr w:type="gramEnd"/>
      <w:r>
        <w:rPr>
          <w:rFonts w:ascii="Times New Roman" w:hAnsi="Times New Roman"/>
        </w:rPr>
        <w:t xml:space="preserve">, and </w:t>
      </w:r>
      <w:proofErr w:type="spellStart"/>
      <w:r w:rsidRPr="00C23F29">
        <w:rPr>
          <w:rFonts w:ascii="Times New Roman" w:hAnsi="Times New Roman"/>
        </w:rPr>
        <w:t>Orkun</w:t>
      </w:r>
      <w:proofErr w:type="spellEnd"/>
      <w:r w:rsidRPr="00C23F29">
        <w:rPr>
          <w:rFonts w:ascii="Times New Roman" w:hAnsi="Times New Roman"/>
        </w:rPr>
        <w:t xml:space="preserve"> </w:t>
      </w:r>
      <w:r>
        <w:rPr>
          <w:rFonts w:ascii="Times New Roman" w:hAnsi="Times New Roman"/>
        </w:rPr>
        <w:t xml:space="preserve">S. </w:t>
      </w:r>
      <w:r w:rsidRPr="00C23F29">
        <w:rPr>
          <w:rFonts w:ascii="Times New Roman" w:hAnsi="Times New Roman"/>
        </w:rPr>
        <w:t>Soyer</w:t>
      </w:r>
      <w:r w:rsidRPr="00C23F29">
        <w:rPr>
          <w:rFonts w:ascii="Times New Roman" w:hAnsi="Times New Roman"/>
          <w:vertAlign w:val="superscript"/>
        </w:rPr>
        <w:t>1</w:t>
      </w:r>
      <w:r>
        <w:rPr>
          <w:rFonts w:ascii="Times New Roman" w:hAnsi="Times New Roman"/>
          <w:vertAlign w:val="superscript"/>
        </w:rPr>
        <w:t>,</w:t>
      </w:r>
      <w:r w:rsidRPr="00C23F29">
        <w:rPr>
          <w:rFonts w:ascii="Times New Roman" w:hAnsi="Times New Roman"/>
          <w:vertAlign w:val="superscript"/>
        </w:rPr>
        <w:t>*</w:t>
      </w:r>
    </w:p>
    <w:p w14:paraId="46C702C2" w14:textId="77777777" w:rsidR="00AD1331" w:rsidRDefault="00AD1331" w:rsidP="00AD1331">
      <w:pPr>
        <w:spacing w:line="480" w:lineRule="auto"/>
        <w:jc w:val="both"/>
        <w:rPr>
          <w:rFonts w:ascii="Times New Roman" w:hAnsi="Times New Roman"/>
          <w:b/>
        </w:rPr>
      </w:pPr>
    </w:p>
    <w:p w14:paraId="5BC197B4" w14:textId="2CE5BC51" w:rsidR="00AD1331" w:rsidRDefault="00AD1331" w:rsidP="00AD1331">
      <w:pPr>
        <w:spacing w:line="480" w:lineRule="auto"/>
        <w:jc w:val="both"/>
        <w:rPr>
          <w:rFonts w:ascii="Times New Roman" w:hAnsi="Times New Roman"/>
          <w:b/>
        </w:rPr>
      </w:pPr>
      <w:r>
        <w:rPr>
          <w:rFonts w:ascii="Times New Roman" w:hAnsi="Times New Roman"/>
          <w:b/>
        </w:rPr>
        <w:t>CONTENTS</w:t>
      </w:r>
    </w:p>
    <w:p w14:paraId="65F0179E" w14:textId="4886ABA4" w:rsidR="00AD1331" w:rsidRDefault="00AD1331" w:rsidP="00AD1331">
      <w:pPr>
        <w:pStyle w:val="ListParagraph"/>
        <w:numPr>
          <w:ilvl w:val="0"/>
          <w:numId w:val="1"/>
        </w:numPr>
        <w:spacing w:line="480" w:lineRule="auto"/>
        <w:jc w:val="both"/>
        <w:rPr>
          <w:rFonts w:ascii="Times New Roman" w:hAnsi="Times New Roman"/>
        </w:rPr>
      </w:pPr>
      <w:r w:rsidRPr="00AD1331">
        <w:rPr>
          <w:rFonts w:ascii="Times New Roman" w:hAnsi="Times New Roman"/>
        </w:rPr>
        <w:t>ADDITIONAL ANALYSIS AND METHODS</w:t>
      </w:r>
    </w:p>
    <w:p w14:paraId="3FD7276E" w14:textId="0308C07D" w:rsidR="00AD1331" w:rsidRPr="008B0183" w:rsidRDefault="00AD1331" w:rsidP="008B0183">
      <w:pPr>
        <w:pStyle w:val="ListParagraph"/>
        <w:numPr>
          <w:ilvl w:val="1"/>
          <w:numId w:val="4"/>
        </w:numPr>
        <w:spacing w:line="480" w:lineRule="auto"/>
        <w:jc w:val="both"/>
        <w:rPr>
          <w:rFonts w:ascii="Times New Roman" w:hAnsi="Times New Roman"/>
        </w:rPr>
      </w:pPr>
      <w:r w:rsidRPr="008B0183">
        <w:rPr>
          <w:rFonts w:ascii="Times New Roman" w:hAnsi="Times New Roman"/>
        </w:rPr>
        <w:t>Comparison of flux balance analysis data with gene expression data from Chikungunya, Dengue and Zika infection studies.</w:t>
      </w:r>
    </w:p>
    <w:p w14:paraId="7C3A05DD" w14:textId="23748CD1" w:rsidR="00AD1331" w:rsidRPr="008B0183" w:rsidRDefault="00F77F02" w:rsidP="008B0183">
      <w:pPr>
        <w:pStyle w:val="ListParagraph"/>
        <w:numPr>
          <w:ilvl w:val="1"/>
          <w:numId w:val="4"/>
        </w:numPr>
        <w:spacing w:line="480" w:lineRule="auto"/>
        <w:jc w:val="both"/>
        <w:rPr>
          <w:rFonts w:ascii="Times New Roman" w:hAnsi="Times New Roman"/>
        </w:rPr>
      </w:pPr>
      <w:r>
        <w:rPr>
          <w:rFonts w:ascii="Times New Roman" w:hAnsi="Times New Roman"/>
        </w:rPr>
        <w:t xml:space="preserve"> </w:t>
      </w:r>
      <w:r w:rsidR="00AD1331" w:rsidRPr="008B0183">
        <w:rPr>
          <w:rFonts w:ascii="Times New Roman" w:hAnsi="Times New Roman"/>
        </w:rPr>
        <w:t xml:space="preserve">The flux enforcement based predictions of antivirals are robust to changes </w:t>
      </w:r>
      <w:r w:rsidR="008B0183" w:rsidRPr="008B0183">
        <w:rPr>
          <w:rFonts w:ascii="Times New Roman" w:hAnsi="Times New Roman"/>
        </w:rPr>
        <w:t xml:space="preserve">in the key assumptions </w:t>
      </w:r>
      <w:r w:rsidR="00AD1331" w:rsidRPr="008B0183">
        <w:rPr>
          <w:rFonts w:ascii="Times New Roman" w:hAnsi="Times New Roman"/>
        </w:rPr>
        <w:t>on the model.</w:t>
      </w:r>
    </w:p>
    <w:p w14:paraId="772917C8" w14:textId="0BA4DCFB" w:rsidR="00AD1331" w:rsidRPr="008B0183" w:rsidRDefault="008B0183" w:rsidP="008B0183">
      <w:pPr>
        <w:spacing w:line="480" w:lineRule="auto"/>
        <w:ind w:left="2340"/>
        <w:jc w:val="both"/>
        <w:rPr>
          <w:rFonts w:ascii="Times New Roman" w:hAnsi="Times New Roman"/>
        </w:rPr>
      </w:pPr>
      <w:r>
        <w:rPr>
          <w:rFonts w:ascii="Times New Roman" w:eastAsiaTheme="minorEastAsia" w:hAnsi="Times New Roman"/>
        </w:rPr>
        <w:t xml:space="preserve">1.2a. </w:t>
      </w:r>
      <w:r w:rsidR="00AD1331" w:rsidRPr="008B0183">
        <w:rPr>
          <w:rFonts w:ascii="Times New Roman" w:eastAsiaTheme="minorEastAsia" w:hAnsi="Times New Roman"/>
        </w:rPr>
        <w:t>Generation of alternative virus VBOFs and statistical analyses.</w:t>
      </w:r>
    </w:p>
    <w:p w14:paraId="14D63623" w14:textId="1044906C" w:rsidR="00F77F02" w:rsidRDefault="008B0183">
      <w:pPr>
        <w:spacing w:line="480" w:lineRule="auto"/>
        <w:ind w:left="2340"/>
        <w:jc w:val="both"/>
        <w:rPr>
          <w:rFonts w:ascii="Times New Roman" w:eastAsiaTheme="minorEastAsia" w:hAnsi="Times New Roman"/>
        </w:rPr>
      </w:pPr>
      <w:r>
        <w:rPr>
          <w:rFonts w:ascii="Times New Roman" w:eastAsiaTheme="minorEastAsia" w:hAnsi="Times New Roman"/>
        </w:rPr>
        <w:t xml:space="preserve">1.2b. </w:t>
      </w:r>
      <w:r w:rsidR="00AD1331" w:rsidRPr="008B0183">
        <w:rPr>
          <w:rFonts w:ascii="Times New Roman" w:eastAsiaTheme="minorEastAsia" w:hAnsi="Times New Roman"/>
        </w:rPr>
        <w:t>Measuring impact of alternative host model assumptions.</w:t>
      </w:r>
    </w:p>
    <w:p w14:paraId="316547B1" w14:textId="45AC271B" w:rsidR="007C29BE" w:rsidRDefault="007C29BE" w:rsidP="007C29BE">
      <w:pPr>
        <w:spacing w:line="480" w:lineRule="auto"/>
        <w:jc w:val="both"/>
        <w:rPr>
          <w:rFonts w:ascii="Times New Roman" w:eastAsiaTheme="minorEastAsia" w:hAnsi="Times New Roman"/>
        </w:rPr>
      </w:pPr>
      <w:r>
        <w:rPr>
          <w:rFonts w:ascii="Times New Roman" w:eastAsiaTheme="minorEastAsia" w:hAnsi="Times New Roman"/>
        </w:rPr>
        <w:tab/>
        <w:t xml:space="preserve">       </w:t>
      </w:r>
      <w:r w:rsidRPr="00AA3397">
        <w:rPr>
          <w:rFonts w:ascii="Times New Roman" w:eastAsiaTheme="minorEastAsia" w:hAnsi="Times New Roman"/>
          <w:highlight w:val="yellow"/>
        </w:rPr>
        <w:t>1.3 Literature review of antiviral targets</w:t>
      </w:r>
    </w:p>
    <w:p w14:paraId="6F1A24AA" w14:textId="2B84C528" w:rsidR="00AD1331" w:rsidRPr="00AD1331" w:rsidRDefault="00AD1331" w:rsidP="00AD1331">
      <w:pPr>
        <w:pStyle w:val="ListParagraph"/>
        <w:numPr>
          <w:ilvl w:val="0"/>
          <w:numId w:val="1"/>
        </w:numPr>
        <w:spacing w:line="480" w:lineRule="auto"/>
        <w:jc w:val="both"/>
        <w:rPr>
          <w:rFonts w:ascii="Times New Roman" w:hAnsi="Times New Roman"/>
        </w:rPr>
      </w:pPr>
      <w:r w:rsidRPr="00AD1331">
        <w:rPr>
          <w:rFonts w:ascii="Times New Roman" w:hAnsi="Times New Roman"/>
        </w:rPr>
        <w:t>SUPPLEMENTARY TABLES</w:t>
      </w:r>
    </w:p>
    <w:p w14:paraId="0F8CE6F4" w14:textId="650A1D58" w:rsidR="00AD1331" w:rsidRPr="00AD1331" w:rsidRDefault="00AD1331" w:rsidP="00AD1331">
      <w:pPr>
        <w:pStyle w:val="ListParagraph"/>
        <w:numPr>
          <w:ilvl w:val="0"/>
          <w:numId w:val="1"/>
        </w:numPr>
        <w:spacing w:line="480" w:lineRule="auto"/>
        <w:jc w:val="both"/>
        <w:rPr>
          <w:rFonts w:ascii="Times New Roman" w:hAnsi="Times New Roman"/>
        </w:rPr>
      </w:pPr>
      <w:r w:rsidRPr="00AD1331">
        <w:rPr>
          <w:rFonts w:ascii="Times New Roman" w:hAnsi="Times New Roman"/>
        </w:rPr>
        <w:t>SUPPLEMENTARY FIGURES</w:t>
      </w:r>
    </w:p>
    <w:p w14:paraId="1F8C50F2" w14:textId="3191A353" w:rsidR="00AD1331" w:rsidRPr="00AD1331" w:rsidRDefault="00521395" w:rsidP="00AD1331">
      <w:pPr>
        <w:pStyle w:val="ListParagraph"/>
        <w:numPr>
          <w:ilvl w:val="0"/>
          <w:numId w:val="1"/>
        </w:numPr>
        <w:spacing w:line="480" w:lineRule="auto"/>
        <w:jc w:val="both"/>
        <w:rPr>
          <w:rFonts w:ascii="Times New Roman" w:hAnsi="Times New Roman"/>
        </w:rPr>
      </w:pPr>
      <w:r>
        <w:rPr>
          <w:rFonts w:ascii="Times New Roman" w:hAnsi="Times New Roman"/>
        </w:rPr>
        <w:t>LIST OF SUPPLEMENTARY FILES</w:t>
      </w:r>
    </w:p>
    <w:p w14:paraId="5014931B" w14:textId="32E94BF7" w:rsidR="00AD1331" w:rsidRPr="00AD1331" w:rsidRDefault="00AD1331" w:rsidP="00AD1331">
      <w:pPr>
        <w:pStyle w:val="ListParagraph"/>
        <w:numPr>
          <w:ilvl w:val="0"/>
          <w:numId w:val="1"/>
        </w:numPr>
        <w:spacing w:line="480" w:lineRule="auto"/>
        <w:jc w:val="both"/>
        <w:rPr>
          <w:rFonts w:ascii="Times New Roman" w:hAnsi="Times New Roman"/>
        </w:rPr>
      </w:pPr>
      <w:r w:rsidRPr="00AD1331">
        <w:rPr>
          <w:rFonts w:ascii="Times New Roman" w:hAnsi="Times New Roman"/>
        </w:rPr>
        <w:lastRenderedPageBreak/>
        <w:t>REFERENCES</w:t>
      </w:r>
    </w:p>
    <w:p w14:paraId="0D028D7C" w14:textId="35FA734A" w:rsidR="000D2826" w:rsidRDefault="000D2826" w:rsidP="000D2826">
      <w:pPr>
        <w:spacing w:line="480" w:lineRule="auto"/>
        <w:jc w:val="both"/>
        <w:rPr>
          <w:rFonts w:ascii="Times New Roman" w:hAnsi="Times New Roman"/>
          <w:b/>
        </w:rPr>
      </w:pPr>
      <w:r>
        <w:rPr>
          <w:rFonts w:ascii="Times New Roman" w:hAnsi="Times New Roman"/>
          <w:b/>
        </w:rPr>
        <w:t>1. ADDITIONAL ANALYSIS AND METHODS</w:t>
      </w:r>
    </w:p>
    <w:p w14:paraId="63A86751" w14:textId="67A20B5A" w:rsidR="000D2826" w:rsidRDefault="008B0183" w:rsidP="000D2826">
      <w:pPr>
        <w:spacing w:line="480" w:lineRule="auto"/>
        <w:jc w:val="both"/>
        <w:rPr>
          <w:rFonts w:ascii="Times New Roman" w:hAnsi="Times New Roman"/>
        </w:rPr>
      </w:pPr>
      <w:r>
        <w:rPr>
          <w:rFonts w:ascii="Times New Roman" w:hAnsi="Times New Roman"/>
          <w:b/>
        </w:rPr>
        <w:t>1</w:t>
      </w:r>
      <w:r w:rsidR="000D2826">
        <w:rPr>
          <w:rFonts w:ascii="Times New Roman" w:hAnsi="Times New Roman"/>
          <w:b/>
        </w:rPr>
        <w:t>.</w:t>
      </w:r>
      <w:r>
        <w:rPr>
          <w:rFonts w:ascii="Times New Roman" w:hAnsi="Times New Roman"/>
          <w:b/>
        </w:rPr>
        <w:t>1.</w:t>
      </w:r>
      <w:r w:rsidR="000D2826">
        <w:rPr>
          <w:rFonts w:ascii="Times New Roman" w:hAnsi="Times New Roman"/>
          <w:b/>
        </w:rPr>
        <w:t xml:space="preserve"> Comparison of flux balance analysis data with gene expression data from Chikungunya, Dengue and Zika infection studies. </w:t>
      </w:r>
      <w:r w:rsidR="000D2826">
        <w:rPr>
          <w:rFonts w:ascii="Times New Roman" w:hAnsi="Times New Roman"/>
        </w:rPr>
        <w:t xml:space="preserve">As discussed in the main text, we used gene expression data from controlled virus </w:t>
      </w:r>
      <w:r w:rsidR="000D2826" w:rsidRPr="002B3CFE">
        <w:rPr>
          <w:rFonts w:ascii="Times New Roman" w:hAnsi="Times New Roman"/>
        </w:rPr>
        <w:t>infection experiments using Chikungunya, Dengue and Zika</w:t>
      </w:r>
      <w:r w:rsidR="000D2826">
        <w:rPr>
          <w:rFonts w:ascii="Times New Roman" w:hAnsi="Times New Roman"/>
        </w:rPr>
        <w:t xml:space="preserve"> viruses</w:t>
      </w:r>
      <w:r w:rsidR="000D2826" w:rsidRPr="002B3CFE">
        <w:rPr>
          <w:rFonts w:ascii="Times New Roman" w:hAnsi="Times New Roman"/>
        </w:rPr>
        <w:t>. These experiments were conduct</w:t>
      </w:r>
      <w:r w:rsidR="000D2826">
        <w:rPr>
          <w:rFonts w:ascii="Times New Roman" w:hAnsi="Times New Roman"/>
        </w:rPr>
        <w:t xml:space="preserve">ed using human cell lines as host organisms for the virus infection: Chikungunya virus, HEK293T; Dengue virus, HuH-7; </w:t>
      </w:r>
      <w:proofErr w:type="spellStart"/>
      <w:r w:rsidR="000D2826">
        <w:rPr>
          <w:rFonts w:ascii="Times New Roman" w:hAnsi="Times New Roman"/>
        </w:rPr>
        <w:t>Zika</w:t>
      </w:r>
      <w:proofErr w:type="spellEnd"/>
      <w:r w:rsidR="000D2826">
        <w:rPr>
          <w:rFonts w:ascii="Times New Roman" w:hAnsi="Times New Roman"/>
        </w:rPr>
        <w:t xml:space="preserve"> virus, </w:t>
      </w:r>
      <w:proofErr w:type="spellStart"/>
      <w:r w:rsidR="000D2826">
        <w:rPr>
          <w:rFonts w:ascii="Times New Roman" w:hAnsi="Times New Roman"/>
        </w:rPr>
        <w:t>hNPC</w:t>
      </w:r>
      <w:proofErr w:type="spellEnd"/>
      <w:r w:rsidR="000D2826">
        <w:rPr>
          <w:rFonts w:ascii="Times New Roman" w:hAnsi="Times New Roman"/>
        </w:rPr>
        <w:t xml:space="preserve"> and SVG</w:t>
      </w:r>
      <w:r w:rsidR="000D2826" w:rsidRPr="002B3CFE">
        <w:rPr>
          <w:rFonts w:ascii="Times New Roman" w:hAnsi="Times New Roman"/>
        </w:rPr>
        <w:t>.</w:t>
      </w:r>
      <w:r w:rsidR="000D2826">
        <w:rPr>
          <w:rFonts w:ascii="Times New Roman" w:hAnsi="Times New Roman"/>
        </w:rPr>
        <w:t xml:space="preserve"> The gene expression data used in </w:t>
      </w:r>
      <w:r w:rsidR="000D2826" w:rsidRPr="00147DDE">
        <w:rPr>
          <w:rFonts w:ascii="Times New Roman" w:hAnsi="Times New Roman"/>
        </w:rPr>
        <w:t>Figure S</w:t>
      </w:r>
      <w:r w:rsidR="000D2826">
        <w:rPr>
          <w:rFonts w:ascii="Times New Roman" w:hAnsi="Times New Roman"/>
        </w:rPr>
        <w:t xml:space="preserve">8 is collated from the NCBI’s Gene Expression Omnibus </w:t>
      </w:r>
      <w:r w:rsidR="000D2826">
        <w:rPr>
          <w:rFonts w:ascii="Times New Roman" w:hAnsi="Times New Roman"/>
        </w:rPr>
        <w:fldChar w:fldCharType="begin"/>
      </w:r>
      <w:r w:rsidR="00B3538D">
        <w:rPr>
          <w:rFonts w:ascii="Times New Roman" w:hAnsi="Times New Roman"/>
        </w:rPr>
        <w:instrText xml:space="preserve"> ADDIN PAPERS2_CITATIONS &lt;citation&gt;&lt;priority&gt;0&lt;/priority&gt;&lt;uuid&gt;15E3790B-6B5B-4A73-9449-3A458EA447EA&lt;/uuid&gt;&lt;publications&gt;&lt;publication&gt;&lt;subtype&gt;400&lt;/subtype&gt;&lt;title&gt;Achievements and challenges in antiviral drug discovery.&lt;/title&gt;&lt;url&gt;http://journals.sagepub.com/doi/10.1177/095632020501600302&lt;/url&gt;&lt;volume&gt;16&lt;/volume&gt;&lt;publication_date&gt;99200500001200000000200000&lt;/publication_date&gt;&lt;uuid&gt;DFA4161D-4695-45A0-87CE-628921CEFB18&lt;/uuid&gt;&lt;type&gt;400&lt;/type&gt;&lt;number&gt;3&lt;/number&gt;&lt;citekey&gt;Littler:2005eu&lt;/citekey&gt;&lt;doi&gt;10.1177/095632020501600302&lt;/doi&gt;&lt;institution&gt;Medivir UK, Little Chesterford, Essex, UK. eddy.littler@medivir.com&lt;/institution&gt;&lt;startpage&gt;155&lt;/startpage&gt;&lt;endpage&gt;168&lt;/endpage&gt;&lt;bundle&gt;&lt;publication&gt;&lt;title&gt;Antiviral chemistry &amp;amp; chemotherapy&lt;/title&gt;&lt;uuid&gt;C77DC694-7CE1-4022-BD4C-44DA510B0E42&lt;/uuid&gt;&lt;subtype&gt;-100&lt;/subtype&gt;&lt;type&gt;-100&lt;/type&gt;&lt;/publication&gt;&lt;/bundle&gt;&lt;authors&gt;&lt;author&gt;&lt;lastName&gt;Littler&lt;/lastName&gt;&lt;firstName&gt;Eddy&lt;/firstName&gt;&lt;/author&gt;&lt;author&gt;&lt;lastName&gt;Oberg&lt;/lastName&gt;&lt;firstName&gt;Bo&lt;/firstName&gt;&lt;/author&gt;&lt;/authors&gt;&lt;/publication&gt;&lt;publication&gt;&lt;subtype&gt;400&lt;/subtype&gt;&lt;title&gt;Zika Virus Associated with Microcephaly.&lt;/title&gt;&lt;url&gt;http://www.nejm.org/doi/10.1056/NEJMoa1600651&lt;/url&gt;&lt;volume&gt;374&lt;/volume&gt;&lt;publication_date&gt;99201603101200000000222000&lt;/publication_date&gt;&lt;uuid&gt;5FFD6B56-692F-4619-86CE-1001314CAF62&lt;/uuid&gt;&lt;type&gt;400&lt;/type&gt;&lt;number&gt;10&lt;/number&gt;&lt;citekey&gt;Mlakar:2016ba&lt;/citekey&gt;&lt;doi&gt;10.1056/NEJMoa1600651&lt;/doi&gt;&lt;institution&gt;From the Institute of Pathology, Faculty of Medicine (J. Mlakar, M. Popović, J. Mraz, A.V., J.P.), and the Institute of Microbiology and Immunology, Faculty of Medicine (M. Korva, M.P.-P., M. Kolenc, K.R.R., M. Petrovec, T.A.Z.), University of Ljubljana, and the Department of Perinatology, Division of Gynecology and Obstetrics (N.T., V.F.V.), and the Institute of Radiology (T.V.V.), University Medical Center Ljubljana - all in Ljubljana, Slovenia.&lt;/institution&gt;&lt;startpage&gt;951&lt;/startpage&gt;&lt;endpage&gt;958&lt;/endpage&gt;&lt;bundle&gt;&lt;publication&gt;&lt;title&gt;The New England journal of medicine&lt;/title&gt;&lt;uuid&gt;EE73F3CB-F50D-435E-B4F3-0F02F1F53E3D&lt;/uuid&gt;&lt;subtype&gt;-100&lt;/subtype&gt;&lt;type&gt;-100&lt;/type&gt;&lt;/publication&gt;&lt;/bundle&gt;&lt;authors&gt;&lt;author&gt;&lt;lastName&gt;Mlakar&lt;/lastName&gt;&lt;firstName&gt;Jernej&lt;/firstName&gt;&lt;/author&gt;&lt;author&gt;&lt;lastName&gt;Korva&lt;/lastName&gt;&lt;firstName&gt;Misa&lt;/firstName&gt;&lt;/author&gt;&lt;author&gt;&lt;lastName&gt;Tul&lt;/lastName&gt;&lt;firstName&gt;Nataša&lt;/firstName&gt;&lt;/author&gt;&lt;author&gt;&lt;lastName&gt;Popović&lt;/lastName&gt;&lt;firstName&gt;Mara&lt;/firstName&gt;&lt;/author&gt;&lt;author&gt;&lt;lastName&gt;Poljšak-Prijatelj&lt;/lastName&gt;&lt;firstName&gt;Mateja&lt;/firstName&gt;&lt;/author&gt;&lt;author&gt;&lt;lastName&gt;Mraz&lt;/lastName&gt;&lt;firstName&gt;Jerica&lt;/firstName&gt;&lt;/author&gt;&lt;author&gt;&lt;lastName&gt;Kolenc&lt;/lastName&gt;&lt;firstName&gt;Marko&lt;/firstName&gt;&lt;/author&gt;&lt;author&gt;&lt;lastName&gt;Resman Rus&lt;/lastName&gt;&lt;firstName&gt;Katarina&lt;/firstName&gt;&lt;/author&gt;&lt;author&gt;&lt;lastName&gt;Vesnaver Vipotnik&lt;/lastName&gt;&lt;firstName&gt;Tina&lt;/firstName&gt;&lt;/author&gt;&lt;author&gt;&lt;lastName&gt;Fabjan Vodušek&lt;/lastName&gt;&lt;firstName&gt;Vesna&lt;/firstName&gt;&lt;/author&gt;&lt;author&gt;&lt;lastName&gt;Vizjak&lt;/lastName&gt;&lt;firstName&gt;Alenka&lt;/firstName&gt;&lt;/author&gt;&lt;author&gt;&lt;lastName&gt;Pižem&lt;/lastName&gt;&lt;firstName&gt;Jože&lt;/firstName&gt;&lt;/author&gt;&lt;author&gt;&lt;lastName&gt;Petrovec&lt;/lastName&gt;&lt;firstName&gt;Miroslav&lt;/firstName&gt;&lt;/author&gt;&lt;author&gt;&lt;lastName&gt;Avšič Županc&lt;/lastName&gt;&lt;firstName&gt;Tatjana&lt;/firstName&gt;&lt;/author&gt;&lt;/authors&gt;&lt;/publication&gt;&lt;/publications&gt;&lt;cites&gt;&lt;/cites&gt;&lt;/citation&gt;</w:instrText>
      </w:r>
      <w:r w:rsidR="000D2826">
        <w:rPr>
          <w:rFonts w:ascii="Times New Roman" w:hAnsi="Times New Roman"/>
        </w:rPr>
        <w:fldChar w:fldCharType="separate"/>
      </w:r>
      <w:r w:rsidR="005B0577">
        <w:rPr>
          <w:rFonts w:ascii="Times New Roman" w:eastAsiaTheme="minorHAnsi" w:hAnsi="Times New Roman"/>
        </w:rPr>
        <w:t>[1,2]</w:t>
      </w:r>
      <w:r w:rsidR="000D2826">
        <w:rPr>
          <w:rFonts w:ascii="Times New Roman" w:hAnsi="Times New Roman"/>
        </w:rPr>
        <w:fldChar w:fldCharType="end"/>
      </w:r>
      <w:r w:rsidR="000D2826">
        <w:rPr>
          <w:rFonts w:ascii="Times New Roman" w:hAnsi="Times New Roman"/>
        </w:rPr>
        <w:t xml:space="preserve"> and is accessible through the GEO Series accession numbers: Chikungunya virus, GSE49985; Dengue virus, GSE69602; Zika virus, GSE78711 and GSE89915. The macrophage metabolic model utilised in this study </w:t>
      </w:r>
      <w:r w:rsidR="000D2826">
        <w:rPr>
          <w:rFonts w:ascii="Times New Roman" w:hAnsi="Times New Roman"/>
        </w:rPr>
        <w:fldChar w:fldCharType="begin"/>
      </w:r>
      <w:r w:rsidR="00B3538D">
        <w:rPr>
          <w:rFonts w:ascii="Times New Roman" w:hAnsi="Times New Roman"/>
        </w:rPr>
        <w:instrText xml:space="preserve"> ADDIN PAPERS2_CITATIONS &lt;citation&gt;&lt;priority&gt;0&lt;/priority&gt;&lt;uuid&gt;7CD58384-4DCC-4D83-9B63-8FEAA1118A66&lt;/uuid&gt;&lt;publications&gt;&lt;publication&gt;&lt;subtype&gt;400&lt;/subtype&gt;&lt;title&gt;Infection homeostasis: implications for therapeutic and immune programming of metabolism in controlling infection.&lt;/title&gt;&lt;url&gt;http://link.springer.com/10.1007/s00430-015-0402-5&lt;/url&gt;&lt;volume&gt;204&lt;/volume&gt;&lt;publication_date&gt;99201506001200000000220000&lt;/publication_date&gt;&lt;uuid&gt;35C6A1AC-7BCD-4B9A-AD54-20BAC722B0D8&lt;/uuid&gt;&lt;type&gt;400&lt;/type&gt;&lt;accepted_date&gt;99201502281200000000222000&lt;/accepted_date&gt;&lt;number&gt;3&lt;/number&gt;&lt;citekey&gt;Kotzamanis:2015dw&lt;/citekey&gt;&lt;submission_date&gt;99201501231200000000222000&lt;/submission_date&gt;&lt;doi&gt;10.1007/s00430-015-0402-5&lt;/doi&gt;&lt;institution&gt;Division of Pathway and Infection Medicine, Edinburgh Infectious Diseases, University of Edinburgh, Medical School, Edinburgh, Scotland, UK.&lt;/institution&gt;&lt;startpage&gt;395&lt;/startpage&gt;&lt;endpage&gt;407&lt;/endpage&gt;&lt;bundle&gt;&lt;publication&gt;&lt;title&gt;Medical microbiology and immunology&lt;/title&gt;&lt;uuid&gt;544A86AA-5304-4FE2-9395-50E41B68BCCD&lt;/uuid&gt;&lt;subtype&gt;-100&lt;/subtype&gt;&lt;type&gt;-100&lt;/type&gt;&lt;/publication&gt;&lt;/bundle&gt;&lt;authors&gt;&lt;author&gt;&lt;lastName&gt;Kotzamanis&lt;/lastName&gt;&lt;firstName&gt;Konstantinos&lt;/firstName&gt;&lt;/author&gt;&lt;author&gt;&lt;lastName&gt;Angulo&lt;/lastName&gt;&lt;firstName&gt;Ana&lt;/firstName&gt;&lt;/author&gt;&lt;author&gt;&lt;lastName&gt;Ghazal&lt;/lastName&gt;&lt;firstName&gt;Peter&lt;/firstName&gt;&lt;/author&gt;&lt;/authors&gt;&lt;/publication&gt;&lt;/publications&gt;&lt;cites&gt;&lt;/cites&gt;&lt;/citation&gt;</w:instrText>
      </w:r>
      <w:r w:rsidR="000D2826">
        <w:rPr>
          <w:rFonts w:ascii="Times New Roman" w:hAnsi="Times New Roman"/>
        </w:rPr>
        <w:fldChar w:fldCharType="separate"/>
      </w:r>
      <w:r w:rsidR="005B0577">
        <w:rPr>
          <w:rFonts w:ascii="Times New Roman" w:eastAsiaTheme="minorHAnsi" w:hAnsi="Times New Roman"/>
        </w:rPr>
        <w:t>[3]</w:t>
      </w:r>
      <w:r w:rsidR="000D2826">
        <w:rPr>
          <w:rFonts w:ascii="Times New Roman" w:hAnsi="Times New Roman"/>
        </w:rPr>
        <w:fldChar w:fldCharType="end"/>
      </w:r>
      <w:r w:rsidR="000D2826">
        <w:rPr>
          <w:rFonts w:ascii="Times New Roman" w:hAnsi="Times New Roman"/>
        </w:rPr>
        <w:t xml:space="preserve"> contains mappings between reaction identities and enzyme commission (EC) numbers, although this is only for a subset of reactions. We mapped these EC numbers onto human metabolic genes via the </w:t>
      </w:r>
      <w:proofErr w:type="spellStart"/>
      <w:r w:rsidR="000D2826">
        <w:rPr>
          <w:rFonts w:ascii="Times New Roman" w:hAnsi="Times New Roman"/>
        </w:rPr>
        <w:t>HumanCyc</w:t>
      </w:r>
      <w:proofErr w:type="spellEnd"/>
      <w:r w:rsidR="000D2826">
        <w:rPr>
          <w:rFonts w:ascii="Times New Roman" w:hAnsi="Times New Roman"/>
        </w:rPr>
        <w:t xml:space="preserve"> metabolic database </w:t>
      </w:r>
      <w:r w:rsidR="000D2826">
        <w:rPr>
          <w:rFonts w:ascii="Times New Roman" w:hAnsi="Times New Roman"/>
        </w:rPr>
        <w:fldChar w:fldCharType="begin"/>
      </w:r>
      <w:r w:rsidR="00B3538D">
        <w:rPr>
          <w:rFonts w:ascii="Times New Roman" w:hAnsi="Times New Roman"/>
        </w:rPr>
        <w:instrText xml:space="preserve"> ADDIN PAPERS2_CITATIONS &lt;citation&gt;&lt;priority&gt;0&lt;/priority&gt;&lt;uuid&gt;ED7DB14C-685F-48E6-BBEA-C43E2543F51B&lt;/uuid&gt;&lt;publications&gt;&lt;publication&gt;&lt;subtype&gt;400&lt;/subtype&gt;&lt;title&gt;A forward-genetic screen and dynamic analysis of lambda phage host-dependencies reveals an extensive interaction network and a new anti-viral strategy.&lt;/title&gt;&lt;url&gt;http://dx.plos.org/10.1371/journal.pgen.1001017&lt;/url&gt;&lt;volume&gt;6&lt;/volume&gt;&lt;publication_date&gt;99201007081200000000222000&lt;/publication_date&gt;&lt;uuid&gt;9A533A08-CDAB-4F2B-AE75-0DBC54DAE347&lt;/uuid&gt;&lt;type&gt;400&lt;/type&gt;&lt;accepted_date&gt;99201006041200000000222000&lt;/accepted_date&gt;&lt;number&gt;7&lt;/number&gt;&lt;citekey&gt;Maynard:2010fl&lt;/citekey&gt;&lt;submission_date&gt;99201002151200000000222000&lt;/submission_date&gt;&lt;doi&gt;10.1371/journal.pgen.1001017&lt;/doi&gt;&lt;institution&gt;Department of Bioengineering, Stanford University, Palo Alto, California, United States of America.&lt;/institution&gt;&lt;startpage&gt;e1001017&lt;/startpage&gt;&lt;bundle&gt;&lt;publication&gt;&lt;title&gt;PLoS genetics&lt;/title&gt;&lt;uuid&gt;FE193754-B444-4862-8DB4-EFA4F7FE1B93&lt;/uuid&gt;&lt;subtype&gt;-100&lt;/subtype&gt;&lt;type&gt;-100&lt;/type&gt;&lt;/publication&gt;&lt;/bundle&gt;&lt;authors&gt;&lt;author&gt;&lt;lastName&gt;Maynard&lt;/lastName&gt;&lt;firstName&gt;Nathaniel&lt;/firstName&gt;&lt;middleNames&gt;D&lt;/middleNames&gt;&lt;/author&gt;&lt;author&gt;&lt;lastName&gt;Birch&lt;/lastName&gt;&lt;firstName&gt;Elsa&lt;/firstName&gt;&lt;middleNames&gt;W&lt;/middleNames&gt;&lt;/author&gt;&lt;author&gt;&lt;lastName&gt;Sanghvi&lt;/lastName&gt;&lt;firstName&gt;Jayodita&lt;/firstName&gt;&lt;middleNames&gt;C&lt;/middleNames&gt;&lt;/author&gt;&lt;author&gt;&lt;lastName&gt;Chen&lt;/lastName&gt;&lt;firstName&gt;Lu&lt;/firstName&gt;&lt;/author&gt;&lt;author&gt;&lt;lastName&gt;Gutschow&lt;/lastName&gt;&lt;firstName&gt;Miriam&lt;/firstName&gt;&lt;middleNames&gt;V&lt;/middleNames&gt;&lt;/author&gt;&lt;author&gt;&lt;lastName&gt;Covert&lt;/lastName&gt;&lt;firstName&gt;Markus&lt;/firstName&gt;&lt;middleNames&gt;W&lt;/middleNames&gt;&lt;/author&gt;&lt;/authors&gt;&lt;editors&gt;&lt;author&gt;&lt;lastName&gt;Matic&lt;/lastName&gt;&lt;firstName&gt;Ivan&lt;/firstName&gt;&lt;/author&gt;&lt;/editors&gt;&lt;/publication&gt;&lt;publication&gt;&lt;subtype&gt;400&lt;/subtype&gt;&lt;title&gt;Modification of the Host Cell Lipid Metabolism Induced by Hypolipidemic Drugs Targeting the Acetyl Coenzyme A Carboxylase Impairs West Nile Virus Replication.&lt;/title&gt;&lt;url&gt;http://eutils.ncbi.nlm.nih.gov/entrez/eutils/elink.fcgi?dbfrom=pubmed&amp;amp;id=26503654&amp;amp;retmode=ref&amp;amp;cmd=prlinks&lt;/url&gt;&lt;volume&gt;60&lt;/volume&gt;&lt;publication_date&gt;99201510261200000000222000&lt;/publication_date&gt;&lt;uuid&gt;B674F356-5C8B-438B-9B02-F9999A979FB5&lt;/uuid&gt;&lt;type&gt;400&lt;/type&gt;&lt;accepted_date&gt;99201510191200000000222000&lt;/accepted_date&gt;&lt;number&gt;1&lt;/number&gt;&lt;citekey&gt;MerinoRamos:2015iz&lt;/citekey&gt;&lt;submission_date&gt;99201507031200000000222000&lt;/submission_date&gt;&lt;doi&gt;10.1128/AAC.01578-15&lt;/doi&gt;&lt;institution&gt;Department of Biotechnology, Instituto Nacional de Investigación y Tecnología Agraria y Alimentaria (INIA), Madrid, Spain.&lt;/institution&gt;&lt;startpage&gt;307&lt;/startpage&gt;&lt;endpage&gt;315&lt;/endpage&gt;&lt;bundle&gt;&lt;publication&gt;&lt;title&gt;Antimicrobial agents and chemotherapy&lt;/title&gt;&lt;uuid&gt;639A7491-DDFB-4556-A0A5-0A98B8A9AA2A&lt;/uuid&gt;&lt;subtype&gt;-100&lt;/subtype&gt;&lt;type&gt;-100&lt;/type&gt;&lt;/publication&gt;&lt;/bundle&gt;&lt;authors&gt;&lt;author&gt;&lt;lastName&gt;Merino-Ramos&lt;/lastName&gt;&lt;firstName&gt;Teresa&lt;/firstName&gt;&lt;/author&gt;&lt;author&gt;&lt;lastName&gt;Vázquez-Calvo&lt;/lastName&gt;&lt;firstName&gt;Ángela&lt;/firstName&gt;&lt;/author&gt;&lt;author&gt;&lt;lastName&gt;Casas&lt;/lastName&gt;&lt;firstName&gt;Josefina&lt;/firstName&gt;&lt;/author&gt;&lt;author&gt;&lt;lastName&gt;Sobrino&lt;/lastName&gt;&lt;firstName&gt;Francisco&lt;/firstName&gt;&lt;/author&gt;&lt;author&gt;&lt;lastName&gt;Saiz&lt;/lastName&gt;&lt;firstName&gt;Juan-Carlos&lt;/firstName&gt;&lt;/author&gt;&lt;author&gt;&lt;lastName&gt;Martín-Acebes&lt;/lastName&gt;&lt;firstName&gt;Miguel&lt;/firstName&gt;&lt;middleNames&gt;A&lt;/middleNames&gt;&lt;/author&gt;&lt;/authors&gt;&lt;/publication&gt;&lt;/publications&gt;&lt;cites&gt;&lt;/cites&gt;&lt;/citation&gt;</w:instrText>
      </w:r>
      <w:r w:rsidR="000D2826">
        <w:rPr>
          <w:rFonts w:ascii="Times New Roman" w:hAnsi="Times New Roman"/>
        </w:rPr>
        <w:fldChar w:fldCharType="separate"/>
      </w:r>
      <w:r w:rsidR="005B0577">
        <w:rPr>
          <w:rFonts w:ascii="Times New Roman" w:eastAsiaTheme="minorHAnsi" w:hAnsi="Times New Roman"/>
        </w:rPr>
        <w:t>[4,5]</w:t>
      </w:r>
      <w:r w:rsidR="000D2826">
        <w:rPr>
          <w:rFonts w:ascii="Times New Roman" w:hAnsi="Times New Roman"/>
        </w:rPr>
        <w:fldChar w:fldCharType="end"/>
      </w:r>
      <w:r w:rsidR="000D2826">
        <w:rPr>
          <w:rFonts w:ascii="Times New Roman" w:hAnsi="Times New Roman"/>
        </w:rPr>
        <w:t>. Due to the nature of gene-reaction mapping, a single reaction can be represented by many genes and vice versa. The gene expression datasets contain unique identifiers which relate to a particular human gene; thus some of the genes in these datasets can be linked back to the model. To do so, the two gene lists (model-derived using EC numbers and GEO-derived) are intersected, leaving a set of genes that are present in the gene expression datasets and also in the model. For these genes, a comparison is made between the change in gene expression upon infection (using the listed GEO databases), and the change in host vs virus optimised reaction fluxes. Both of these changes are presented as log2 of the ratio of the respective values, and the log 2fold-changes are then compared in the Supplementary Figure S8.</w:t>
      </w:r>
    </w:p>
    <w:p w14:paraId="0A36927B" w14:textId="77777777" w:rsidR="000D2826" w:rsidRDefault="000D2826" w:rsidP="000D2826">
      <w:pPr>
        <w:spacing w:line="480" w:lineRule="auto"/>
        <w:jc w:val="both"/>
        <w:rPr>
          <w:rFonts w:ascii="Times New Roman" w:hAnsi="Times New Roman"/>
        </w:rPr>
      </w:pPr>
    </w:p>
    <w:p w14:paraId="0BCD3F56" w14:textId="3BBE2819" w:rsidR="000D2826" w:rsidRDefault="008B0183" w:rsidP="000D2826">
      <w:pPr>
        <w:spacing w:line="480" w:lineRule="auto"/>
        <w:jc w:val="both"/>
        <w:rPr>
          <w:rFonts w:ascii="Times New Roman" w:hAnsi="Times New Roman"/>
        </w:rPr>
      </w:pPr>
      <w:r>
        <w:rPr>
          <w:rFonts w:ascii="Times New Roman" w:hAnsi="Times New Roman"/>
          <w:b/>
        </w:rPr>
        <w:lastRenderedPageBreak/>
        <w:t>1</w:t>
      </w:r>
      <w:r w:rsidR="000D2826">
        <w:rPr>
          <w:rFonts w:ascii="Times New Roman" w:hAnsi="Times New Roman"/>
          <w:b/>
        </w:rPr>
        <w:t>.</w:t>
      </w:r>
      <w:r>
        <w:rPr>
          <w:rFonts w:ascii="Times New Roman" w:hAnsi="Times New Roman"/>
          <w:b/>
        </w:rPr>
        <w:t>2.</w:t>
      </w:r>
      <w:r w:rsidR="000D2826">
        <w:rPr>
          <w:rFonts w:ascii="Times New Roman" w:hAnsi="Times New Roman"/>
          <w:b/>
        </w:rPr>
        <w:t xml:space="preserve"> The flux enforcement based predictions of antivirals are robust to changes on the model. </w:t>
      </w:r>
      <w:r w:rsidR="000D2826">
        <w:rPr>
          <w:rFonts w:ascii="Times New Roman" w:hAnsi="Times New Roman"/>
        </w:rPr>
        <w:t xml:space="preserve">The results presented in the main text provide support for using integrated host-virus metabolic models for identifying host-based antiviral targets. However, any analysis based on stoichiometric metabolic flux optimisation, as done here, can be dependent on details of model implementation and assumptions </w:t>
      </w:r>
      <w:r w:rsidR="000D2826">
        <w:rPr>
          <w:rFonts w:ascii="Times New Roman" w:hAnsi="Times New Roman"/>
        </w:rPr>
        <w:fldChar w:fldCharType="begin"/>
      </w:r>
      <w:r w:rsidR="00B3538D">
        <w:rPr>
          <w:rFonts w:ascii="Times New Roman" w:hAnsi="Times New Roman"/>
        </w:rPr>
        <w:instrText xml:space="preserve"> ADDIN PAPERS2_CITATIONS &lt;citation&gt;&lt;priority&gt;0&lt;/priority&gt;&lt;uuid&gt;8946CE4B-7647-4761-86E3-91D60F7F4FD0&lt;/uuid&gt;&lt;publications&gt;&lt;publication&gt;&lt;subtype&gt;400&lt;/subtype&gt;&lt;title&gt;Growth of an RNA virus in single cells reveals a broad fitness distribution.&lt;/title&gt;&lt;url&gt;http://linkinghub.elsevier.com/retrieve/pii/S0042682208006892&lt;/url&gt;&lt;volume&gt;385&lt;/volume&gt;&lt;revision_date&gt;99200808081200000000222000&lt;/revision_date&gt;&lt;publication_date&gt;99200903011200000000222000&lt;/publication_date&gt;&lt;uuid&gt;D5E2F7B5-336C-4BC4-8128-0FEC8CF8577A&lt;/uuid&gt;&lt;type&gt;400&lt;/type&gt;&lt;accepted_date&gt;99200810131200000000222000&lt;/accepted_date&gt;&lt;number&gt;1&lt;/number&gt;&lt;citekey&gt;Zhu:2009ea&lt;/citekey&gt;&lt;submission_date&gt;99200806241200000000222000&lt;/submission_date&gt;&lt;doi&gt;10.1016/j.virol.2008.10.031&lt;/doi&gt;&lt;institution&gt;Department of Chemical and Biological Engineering, University of Wisconsin-Madison, 53706-1607, USA.&lt;/institution&gt;&lt;startpage&gt;39&lt;/startpage&gt;&lt;endpage&gt;46&lt;/endpage&gt;&lt;bundle&gt;&lt;publication&gt;&lt;title&gt;Virology&lt;/title&gt;&lt;uuid&gt;7F9F04F8-C0D8-46BB-B64A-5678FA254DCE&lt;/uuid&gt;&lt;subtype&gt;-100&lt;/subtype&gt;&lt;publisher&gt;Elsevier Inc.&lt;/publisher&gt;&lt;type&gt;-100&lt;/type&gt;&lt;/publication&gt;&lt;/bundle&gt;&lt;authors&gt;&lt;author&gt;&lt;lastName&gt;Zhu&lt;/lastName&gt;&lt;firstName&gt;Ying&lt;/firstName&gt;&lt;/author&gt;&lt;author&gt;&lt;lastName&gt;Yongky&lt;/lastName&gt;&lt;firstName&gt;Andrew&lt;/firstName&gt;&lt;/author&gt;&lt;author&gt;&lt;lastName&gt;Yin&lt;/lastName&gt;&lt;firstName&gt;John&lt;/firstName&gt;&lt;/author&gt;&lt;/authors&gt;&lt;/publication&gt;&lt;/publications&gt;&lt;cites&gt;&lt;/cites&gt;&lt;/citation&gt;</w:instrText>
      </w:r>
      <w:r w:rsidR="000D2826">
        <w:rPr>
          <w:rFonts w:ascii="Times New Roman" w:hAnsi="Times New Roman"/>
        </w:rPr>
        <w:fldChar w:fldCharType="separate"/>
      </w:r>
      <w:r w:rsidR="005B0577">
        <w:rPr>
          <w:rFonts w:ascii="Times New Roman" w:eastAsiaTheme="minorHAnsi" w:hAnsi="Times New Roman"/>
        </w:rPr>
        <w:t>[6]</w:t>
      </w:r>
      <w:r w:rsidR="000D2826">
        <w:rPr>
          <w:rFonts w:ascii="Times New Roman" w:hAnsi="Times New Roman"/>
        </w:rPr>
        <w:fldChar w:fldCharType="end"/>
      </w:r>
      <w:r w:rsidR="000D2826">
        <w:rPr>
          <w:rFonts w:ascii="Times New Roman" w:hAnsi="Times New Roman"/>
        </w:rPr>
        <w:t xml:space="preserve">. For example, while the host metabolic model and the biomass function that it incorporates are verified against experimental data </w:t>
      </w:r>
      <w:r w:rsidR="000D2826">
        <w:rPr>
          <w:rFonts w:ascii="Times New Roman" w:hAnsi="Times New Roman"/>
        </w:rPr>
        <w:fldChar w:fldCharType="begin"/>
      </w:r>
      <w:r w:rsidR="00B3538D">
        <w:rPr>
          <w:rFonts w:ascii="Times New Roman" w:hAnsi="Times New Roman"/>
        </w:rPr>
        <w:instrText xml:space="preserve"> ADDIN PAPERS2_CITATIONS &lt;citation&gt;&lt;priority&gt;0&lt;/priority&gt;&lt;uuid&gt;E0EA99E9-44A4-4399-BA7D-255A123E5ED4&lt;/uuid&gt;&lt;publications&gt;&lt;publication&gt;&lt;subtype&gt;400&lt;/subtype&gt;&lt;title&gt;Viral effects on metabolism: changes in glucose and glutamine utilization during human cytomegalovirus infection&lt;/title&gt;&lt;url&gt;http://linkinghub.elsevier.com/retrieve/pii/S0966842X11000722&lt;/url&gt;&lt;volume&gt;19&lt;/volume&gt;&lt;publication_date&gt;99201107001200000000220000&lt;/publication_date&gt;&lt;uuid&gt;840C6DED-668B-4DAB-8D9F-060FA1739958&lt;/uuid&gt;&lt;type&gt;400&lt;/type&gt;&lt;number&gt;7&lt;/number&gt;&lt;citekey&gt;Yu:2011kt&lt;/citekey&gt;&lt;doi&gt;10.1016/j.tim.2011.04.002&lt;/doi&gt;&lt;startpage&gt;360&lt;/startpage&gt;&lt;endpage&gt;367&lt;/endpage&gt;&lt;bundle&gt;&lt;publication&gt;&lt;title&gt;Trends in Microbiology&lt;/title&gt;&lt;uuid&gt;E225A299-DFCE-4A32-B076-BED46904BDC9&lt;/uuid&gt;&lt;subtype&gt;-100&lt;/subtype&gt;&lt;publisher&gt;Elsevier Ltd&lt;/publisher&gt;&lt;type&gt;-100&lt;/type&gt;&lt;/publication&gt;&lt;/bundle&gt;&lt;authors&gt;&lt;author&gt;&lt;lastName&gt;Yu&lt;/lastName&gt;&lt;firstName&gt;Yongjun&lt;/firstName&gt;&lt;/author&gt;&lt;author&gt;&lt;lastName&gt;Clippinger&lt;/lastName&gt;&lt;firstName&gt;Amy&lt;/firstName&gt;&lt;middleNames&gt;J&lt;/middleNames&gt;&lt;/author&gt;&lt;author&gt;&lt;lastName&gt;Alwine&lt;/lastName&gt;&lt;firstName&gt;James&lt;/firstName&gt;&lt;middleNames&gt;C&lt;/middleNames&gt;&lt;/author&gt;&lt;/authors&gt;&lt;/publication&gt;&lt;/publications&gt;&lt;cites&gt;&lt;/cites&gt;&lt;/citation&gt;</w:instrText>
      </w:r>
      <w:r w:rsidR="000D2826">
        <w:rPr>
          <w:rFonts w:ascii="Times New Roman" w:hAnsi="Times New Roman"/>
        </w:rPr>
        <w:fldChar w:fldCharType="separate"/>
      </w:r>
      <w:r w:rsidR="005B0577">
        <w:rPr>
          <w:rFonts w:ascii="Times New Roman" w:eastAsiaTheme="minorHAnsi" w:hAnsi="Times New Roman"/>
        </w:rPr>
        <w:t>[7]</w:t>
      </w:r>
      <w:r w:rsidR="000D2826">
        <w:rPr>
          <w:rFonts w:ascii="Times New Roman" w:hAnsi="Times New Roman"/>
        </w:rPr>
        <w:fldChar w:fldCharType="end"/>
      </w:r>
      <w:r w:rsidR="000D2826" w:rsidRPr="00A74195">
        <w:rPr>
          <w:rFonts w:ascii="Times New Roman" w:hAnsi="Times New Roman"/>
        </w:rPr>
        <w:t>,</w:t>
      </w:r>
      <w:r w:rsidR="000D2826">
        <w:rPr>
          <w:rFonts w:ascii="Times New Roman" w:hAnsi="Times New Roman"/>
        </w:rPr>
        <w:t xml:space="preserve"> the model still assumes a specific media composition and uptake fluxes. To test if our predictions are robust against key assumptions in the model, we analysed the effects of variations in the media composition for the host model and the genomic sequence of the virus on the antiviral target prediction. In particular, we repeated the above analysis for 1000 alternative media uptake fluxes, and 1000 point mutations for each of the three virus genomes, affecting the final virus biomass (see </w:t>
      </w:r>
      <w:r w:rsidR="000D2826">
        <w:rPr>
          <w:rFonts w:ascii="Times New Roman" w:hAnsi="Times New Roman"/>
          <w:i/>
        </w:rPr>
        <w:t>Methods</w:t>
      </w:r>
      <w:r w:rsidR="000D2826">
        <w:rPr>
          <w:rFonts w:ascii="Times New Roman" w:hAnsi="Times New Roman"/>
        </w:rPr>
        <w:t xml:space="preserve">). We found that the list of reactions with the highest impact on virus biomass, while maintaining the host biomass, are qualitatively not altered with these changes in the model structure, and we still recover known broad antiviral </w:t>
      </w:r>
      <w:r w:rsidR="000D2826" w:rsidRPr="00AE55B3">
        <w:rPr>
          <w:rFonts w:ascii="Times New Roman" w:hAnsi="Times New Roman"/>
        </w:rPr>
        <w:t>t</w:t>
      </w:r>
      <w:r w:rsidR="000D2826" w:rsidRPr="003A71EC">
        <w:rPr>
          <w:rFonts w:ascii="Times New Roman" w:hAnsi="Times New Roman"/>
        </w:rPr>
        <w:t>argets</w:t>
      </w:r>
      <w:r w:rsidR="000D2826" w:rsidRPr="00072232">
        <w:rPr>
          <w:rFonts w:ascii="Times New Roman" w:hAnsi="Times New Roman"/>
        </w:rPr>
        <w:t xml:space="preserve"> (</w:t>
      </w:r>
      <w:r w:rsidR="000D2826" w:rsidRPr="00A74195">
        <w:rPr>
          <w:rFonts w:ascii="Times New Roman" w:hAnsi="Times New Roman"/>
          <w:i/>
        </w:rPr>
        <w:t>Supplementary File</w:t>
      </w:r>
      <w:r w:rsidR="00044450">
        <w:rPr>
          <w:rFonts w:ascii="Times New Roman" w:hAnsi="Times New Roman"/>
          <w:i/>
        </w:rPr>
        <w:t>s</w:t>
      </w:r>
      <w:r w:rsidR="000D2826" w:rsidRPr="00A74195">
        <w:rPr>
          <w:rFonts w:ascii="Times New Roman" w:hAnsi="Times New Roman"/>
          <w:i/>
        </w:rPr>
        <w:t xml:space="preserve"> S</w:t>
      </w:r>
      <w:r w:rsidR="00044450">
        <w:rPr>
          <w:rFonts w:ascii="Times New Roman" w:hAnsi="Times New Roman"/>
          <w:i/>
        </w:rPr>
        <w:t>5-S7</w:t>
      </w:r>
      <w:r w:rsidR="000D2826">
        <w:rPr>
          <w:rFonts w:ascii="Times New Roman" w:hAnsi="Times New Roman"/>
          <w:i/>
        </w:rPr>
        <w:t xml:space="preserve"> </w:t>
      </w:r>
      <w:r w:rsidR="000D2826">
        <w:rPr>
          <w:rFonts w:ascii="Times New Roman" w:hAnsi="Times New Roman"/>
        </w:rPr>
        <w:t>and Figures S2-4)</w:t>
      </w:r>
      <w:r w:rsidR="000D2826" w:rsidRPr="003A71EC">
        <w:rPr>
          <w:rFonts w:ascii="Times New Roman" w:hAnsi="Times New Roman"/>
        </w:rPr>
        <w:t>.</w:t>
      </w:r>
      <w:r w:rsidR="000D2826">
        <w:rPr>
          <w:rFonts w:ascii="Times New Roman" w:hAnsi="Times New Roman"/>
        </w:rPr>
        <w:t xml:space="preserve"> </w:t>
      </w:r>
    </w:p>
    <w:p w14:paraId="5C036B41" w14:textId="6101D387" w:rsidR="000D2826" w:rsidRDefault="000D2826" w:rsidP="000D2826">
      <w:pPr>
        <w:spacing w:line="480" w:lineRule="auto"/>
        <w:ind w:firstLine="720"/>
        <w:jc w:val="both"/>
        <w:rPr>
          <w:rFonts w:ascii="Times New Roman" w:hAnsi="Times New Roman"/>
        </w:rPr>
      </w:pPr>
      <w:r>
        <w:rPr>
          <w:rFonts w:ascii="Times New Roman" w:hAnsi="Times New Roman"/>
        </w:rPr>
        <w:t xml:space="preserve">To further probe the significance of these reactions as effectors of virus production, we generated 6000 randomised virus biomass compositions using the three original virus biomass functions as a starting point (see section below). Repeating the enforcement analysis for this randomised set thus allowed us to generate a distribution of effects of reactions on virus-like particle production in the host system, thus acting as a null hypothesis. Results from the enforcement of the original unaltered virus sequences, as well as the point mutated virus sequences (mentioned above), were compared against the population of ‘randomised’ viruses to assess the significance of the antiviral effect (see </w:t>
      </w:r>
      <w:r>
        <w:rPr>
          <w:rFonts w:ascii="Times New Roman" w:hAnsi="Times New Roman"/>
          <w:i/>
        </w:rPr>
        <w:t>Supplementary Figures S5-S7</w:t>
      </w:r>
      <w:r>
        <w:rPr>
          <w:rFonts w:ascii="Times New Roman" w:hAnsi="Times New Roman"/>
        </w:rPr>
        <w:t xml:space="preserve">). This allows derivation of a significance value for the effects resulting from each reaction when the flux enforcement analysis is applied to it. When we rank reactions according to the significance of </w:t>
      </w:r>
      <w:r>
        <w:rPr>
          <w:rFonts w:ascii="Times New Roman" w:hAnsi="Times New Roman"/>
        </w:rPr>
        <w:lastRenderedPageBreak/>
        <w:t xml:space="preserve">their effects, we find that the list of reactions shown in </w:t>
      </w:r>
      <w:r w:rsidRPr="00A74195">
        <w:rPr>
          <w:rFonts w:ascii="Times New Roman" w:hAnsi="Times New Roman"/>
          <w:i/>
        </w:rPr>
        <w:t xml:space="preserve">Supplementary </w:t>
      </w:r>
      <w:r>
        <w:rPr>
          <w:rFonts w:ascii="Times New Roman" w:hAnsi="Times New Roman"/>
          <w:i/>
        </w:rPr>
        <w:t>File S4</w:t>
      </w:r>
      <w:r>
        <w:rPr>
          <w:rFonts w:ascii="Times New Roman" w:hAnsi="Times New Roman"/>
        </w:rPr>
        <w:t xml:space="preserve"> are ranked among the top (</w:t>
      </w:r>
      <w:r>
        <w:rPr>
          <w:rFonts w:ascii="Times New Roman" w:hAnsi="Times New Roman"/>
          <w:i/>
        </w:rPr>
        <w:t>Supplementary Files S5</w:t>
      </w:r>
      <w:r w:rsidR="00044450" w:rsidRPr="00044450">
        <w:rPr>
          <w:rFonts w:ascii="Times New Roman" w:hAnsi="Times New Roman"/>
          <w:i/>
        </w:rPr>
        <w:t>-S7</w:t>
      </w:r>
      <w:r>
        <w:rPr>
          <w:rFonts w:ascii="Times New Roman" w:hAnsi="Times New Roman"/>
        </w:rPr>
        <w:t>). These reactions cause biomass reduction for each virus that is statistically significant when compared to their effects on randomised virus-like biomass functions. There are a couple of exceptions only in the case of ZIKV, where the reactions mediated by cystathionine g-lyase (</w:t>
      </w:r>
      <w:r w:rsidRPr="00A74195">
        <w:rPr>
          <w:rFonts w:ascii="Times New Roman" w:hAnsi="Times New Roman"/>
          <w:i/>
        </w:rPr>
        <w:t>CYSTGL</w:t>
      </w:r>
      <w:r>
        <w:rPr>
          <w:rFonts w:ascii="Times New Roman" w:hAnsi="Times New Roman"/>
        </w:rPr>
        <w:t>) and cystathionine beta-synthase (</w:t>
      </w:r>
      <w:r w:rsidRPr="00A74195">
        <w:rPr>
          <w:rFonts w:ascii="Times New Roman" w:hAnsi="Times New Roman"/>
          <w:i/>
        </w:rPr>
        <w:t>CYSTS</w:t>
      </w:r>
      <w:r>
        <w:rPr>
          <w:rFonts w:ascii="Times New Roman" w:hAnsi="Times New Roman"/>
        </w:rPr>
        <w:t xml:space="preserve">) did not show any significance in their effect under flux enforcement. Additional statistical analysis showed that most of the reactions listed in </w:t>
      </w:r>
      <w:r w:rsidRPr="00A74195">
        <w:rPr>
          <w:rFonts w:ascii="Times New Roman" w:hAnsi="Times New Roman"/>
          <w:i/>
        </w:rPr>
        <w:t xml:space="preserve">Supplementary </w:t>
      </w:r>
      <w:r>
        <w:rPr>
          <w:rFonts w:ascii="Times New Roman" w:hAnsi="Times New Roman"/>
          <w:i/>
        </w:rPr>
        <w:t>File</w:t>
      </w:r>
      <w:r w:rsidRPr="00A74195">
        <w:rPr>
          <w:rFonts w:ascii="Times New Roman" w:hAnsi="Times New Roman"/>
          <w:i/>
        </w:rPr>
        <w:t xml:space="preserve"> </w:t>
      </w:r>
      <w:r>
        <w:rPr>
          <w:rFonts w:ascii="Times New Roman" w:hAnsi="Times New Roman"/>
          <w:i/>
        </w:rPr>
        <w:t>S4</w:t>
      </w:r>
      <w:r>
        <w:rPr>
          <w:rFonts w:ascii="Times New Roman" w:hAnsi="Times New Roman"/>
        </w:rPr>
        <w:t xml:space="preserve"> (27 out of 29) also showed significant differences in the magnitude of their effects among the three different viruses. In other words, while the reactions we highlight are not necessarily unique when comparing amongst CHIKV, DENV and ZIKV, their quantitative effects on virus production is significantly different for each species. Combined with the fact that our randomisation process maintained the key features of stoichiometric differences among the host and virus-like biomass functions, we highlight that the flux-perturbing effects of the identified reactions emerge from the core metabolic stoichiometric differences between host and the viruses. Mainly, the fact that viruses use much higher levels of nucleic acids per biomass unit (see Figure 2 in the main text). </w:t>
      </w:r>
    </w:p>
    <w:p w14:paraId="03B9D92D" w14:textId="77777777" w:rsidR="000D2826" w:rsidRDefault="000D2826" w:rsidP="000D2826">
      <w:pPr>
        <w:spacing w:line="480" w:lineRule="auto"/>
        <w:jc w:val="both"/>
        <w:rPr>
          <w:rFonts w:ascii="Times New Roman" w:eastAsiaTheme="minorEastAsia" w:hAnsi="Times New Roman"/>
          <w:b/>
        </w:rPr>
      </w:pPr>
    </w:p>
    <w:p w14:paraId="13D08A35" w14:textId="382712EA" w:rsidR="000D2826" w:rsidRPr="00D952FB" w:rsidRDefault="008B0183" w:rsidP="000D2826">
      <w:pPr>
        <w:spacing w:line="480" w:lineRule="auto"/>
        <w:jc w:val="both"/>
        <w:rPr>
          <w:rFonts w:ascii="Times New Roman" w:eastAsiaTheme="minorEastAsia" w:hAnsi="Times New Roman"/>
        </w:rPr>
      </w:pPr>
      <w:r>
        <w:rPr>
          <w:rFonts w:ascii="Times New Roman" w:eastAsiaTheme="minorEastAsia" w:hAnsi="Times New Roman"/>
          <w:b/>
        </w:rPr>
        <w:t>1.2a.</w:t>
      </w:r>
      <w:r w:rsidR="000D2826">
        <w:rPr>
          <w:rFonts w:ascii="Times New Roman" w:eastAsiaTheme="minorEastAsia" w:hAnsi="Times New Roman"/>
          <w:b/>
        </w:rPr>
        <w:t xml:space="preserve"> Generation of alternative virus VBOFs and statistical analyses. </w:t>
      </w:r>
      <w:r w:rsidR="000D2826">
        <w:rPr>
          <w:rFonts w:ascii="Times New Roman" w:eastAsiaTheme="minorEastAsia" w:hAnsi="Times New Roman"/>
        </w:rPr>
        <w:t xml:space="preserve">The presented approach evaluates the optimisation of host metabolic fluxes for virus production and how specific constraints in the host model can alter such an optimal state. To evaluate the impact of having different VBOFs on the outcome of such an analysis, we have generated a range of VBOFs that were either derived from the original VBOFs or were completely randomly generated. To evaluate impact of small deviations from the original VBOFs, we generated </w:t>
      </w:r>
      <w:r w:rsidR="000D2826">
        <w:rPr>
          <w:rFonts w:ascii="Times New Roman" w:hAnsi="Times New Roman"/>
          <w:color w:val="000000" w:themeColor="text1"/>
        </w:rPr>
        <w:t>variants of the original virus genomes</w:t>
      </w:r>
      <w:r w:rsidR="000D2826" w:rsidRPr="00820964">
        <w:rPr>
          <w:rFonts w:ascii="Times New Roman" w:hAnsi="Times New Roman"/>
          <w:color w:val="000000" w:themeColor="text1"/>
        </w:rPr>
        <w:t xml:space="preserve"> </w:t>
      </w:r>
      <w:r w:rsidR="000D2826">
        <w:rPr>
          <w:rFonts w:ascii="Times New Roman" w:hAnsi="Times New Roman"/>
          <w:color w:val="000000" w:themeColor="text1"/>
        </w:rPr>
        <w:t>through nucleotide</w:t>
      </w:r>
      <w:r w:rsidR="000D2826" w:rsidRPr="00EC4FB8">
        <w:rPr>
          <w:rFonts w:ascii="Times New Roman" w:hAnsi="Times New Roman"/>
          <w:color w:val="000000" w:themeColor="text1"/>
        </w:rPr>
        <w:t xml:space="preserve"> substituti</w:t>
      </w:r>
      <w:r w:rsidR="000D2826">
        <w:rPr>
          <w:rFonts w:ascii="Times New Roman" w:hAnsi="Times New Roman"/>
          <w:color w:val="000000" w:themeColor="text1"/>
        </w:rPr>
        <w:t>o</w:t>
      </w:r>
      <w:r w:rsidR="000D2826" w:rsidRPr="00EC4FB8">
        <w:rPr>
          <w:rFonts w:ascii="Times New Roman" w:hAnsi="Times New Roman"/>
          <w:color w:val="000000" w:themeColor="text1"/>
        </w:rPr>
        <w:t>n</w:t>
      </w:r>
      <w:r w:rsidR="000D2826">
        <w:rPr>
          <w:rFonts w:ascii="Times New Roman" w:hAnsi="Times New Roman"/>
          <w:color w:val="000000" w:themeColor="text1"/>
        </w:rPr>
        <w:t xml:space="preserve">; for each virus, we generated 1000 genome variants, where each variant contained </w:t>
      </w:r>
      <w:r w:rsidR="000D2826" w:rsidRPr="00EC4FB8">
        <w:rPr>
          <w:rFonts w:ascii="Times New Roman" w:hAnsi="Times New Roman"/>
          <w:color w:val="000000" w:themeColor="text1"/>
        </w:rPr>
        <w:t xml:space="preserve">1, 2, 3, 4, 5 </w:t>
      </w:r>
      <w:r w:rsidR="000D2826">
        <w:rPr>
          <w:rFonts w:ascii="Times New Roman" w:hAnsi="Times New Roman"/>
          <w:color w:val="000000" w:themeColor="text1"/>
        </w:rPr>
        <w:t>or</w:t>
      </w:r>
      <w:r w:rsidR="000D2826" w:rsidRPr="00EC4FB8">
        <w:rPr>
          <w:rFonts w:ascii="Times New Roman" w:hAnsi="Times New Roman"/>
          <w:color w:val="000000" w:themeColor="text1"/>
        </w:rPr>
        <w:t xml:space="preserve"> 10 </w:t>
      </w:r>
      <w:r w:rsidR="000D2826" w:rsidRPr="00F31F2C">
        <w:rPr>
          <w:rFonts w:ascii="Times New Roman" w:hAnsi="Times New Roman"/>
          <w:color w:val="000000" w:themeColor="text1"/>
        </w:rPr>
        <w:t>nucleotide</w:t>
      </w:r>
      <w:r w:rsidR="000D2826">
        <w:rPr>
          <w:rFonts w:ascii="Times New Roman" w:hAnsi="Times New Roman"/>
          <w:color w:val="000000" w:themeColor="text1"/>
        </w:rPr>
        <w:t xml:space="preserve"> </w:t>
      </w:r>
      <w:r w:rsidR="000D2826">
        <w:rPr>
          <w:rFonts w:ascii="Times New Roman" w:hAnsi="Times New Roman"/>
          <w:color w:val="000000" w:themeColor="text1"/>
        </w:rPr>
        <w:lastRenderedPageBreak/>
        <w:t xml:space="preserve">substitutions. For the subsequent VBOF generation from these variant genomes, the genome and protein copy numbers were kept as in the original.  To evaluate more variant VBOFs, we generated another 1000 genomes for each virus that were created from the original genome with a random number </w:t>
      </w:r>
      <w:r w:rsidR="000D2826" w:rsidRPr="00EC4FB8">
        <w:rPr>
          <w:rFonts w:ascii="Times New Roman" w:hAnsi="Times New Roman"/>
          <w:color w:val="000000" w:themeColor="text1"/>
        </w:rPr>
        <w:t>(between 0 and the total length of the genome)</w:t>
      </w:r>
      <w:r w:rsidR="000D2826">
        <w:rPr>
          <w:rFonts w:ascii="Times New Roman" w:hAnsi="Times New Roman"/>
          <w:color w:val="000000" w:themeColor="text1"/>
        </w:rPr>
        <w:t xml:space="preserve"> of </w:t>
      </w:r>
      <w:r w:rsidR="000D2826" w:rsidRPr="00EC4FB8">
        <w:rPr>
          <w:rFonts w:ascii="Times New Roman" w:hAnsi="Times New Roman"/>
          <w:color w:val="000000" w:themeColor="text1"/>
        </w:rPr>
        <w:t>nucleotide</w:t>
      </w:r>
      <w:r w:rsidR="000D2826">
        <w:rPr>
          <w:rFonts w:ascii="Times New Roman" w:hAnsi="Times New Roman"/>
          <w:color w:val="000000" w:themeColor="text1"/>
        </w:rPr>
        <w:t xml:space="preserve"> substitutions</w:t>
      </w:r>
      <w:r w:rsidR="000D2826" w:rsidRPr="00EC4FB8">
        <w:rPr>
          <w:rFonts w:ascii="Times New Roman" w:hAnsi="Times New Roman"/>
          <w:color w:val="000000" w:themeColor="text1"/>
        </w:rPr>
        <w:t xml:space="preserve"> and</w:t>
      </w:r>
      <w:r w:rsidR="000D2826">
        <w:rPr>
          <w:rFonts w:ascii="Times New Roman" w:hAnsi="Times New Roman"/>
          <w:color w:val="000000" w:themeColor="text1"/>
        </w:rPr>
        <w:t xml:space="preserve"> using </w:t>
      </w:r>
      <w:r w:rsidR="000D2826" w:rsidRPr="00EC4FB8">
        <w:rPr>
          <w:rFonts w:ascii="Times New Roman" w:hAnsi="Times New Roman"/>
          <w:color w:val="000000" w:themeColor="text1"/>
        </w:rPr>
        <w:t>random</w:t>
      </w:r>
      <w:r w:rsidR="000D2826">
        <w:rPr>
          <w:rFonts w:ascii="Times New Roman" w:hAnsi="Times New Roman"/>
          <w:color w:val="000000" w:themeColor="text1"/>
        </w:rPr>
        <w:t>ly drawn</w:t>
      </w:r>
      <w:r w:rsidR="000D2826" w:rsidRPr="00EC4FB8">
        <w:rPr>
          <w:rFonts w:ascii="Times New Roman" w:hAnsi="Times New Roman"/>
          <w:color w:val="000000" w:themeColor="text1"/>
        </w:rPr>
        <w:t xml:space="preserve"> structural and non-structural polyprotein copy numbers per virus particle</w:t>
      </w:r>
      <w:r w:rsidR="000D2826">
        <w:rPr>
          <w:rFonts w:ascii="Times New Roman" w:hAnsi="Times New Roman"/>
          <w:color w:val="000000" w:themeColor="text1"/>
        </w:rPr>
        <w:t>. Finally, and in an attempt to generate a set of VBOFs that are far removed from the original ones, both in terms of genome sequence and the structural and non-structural protein numbers, we directly generated random VBOFs. We have implemented this by drawing 1000 sets of individual stoichiometries of biomass components from a uniform distribution on [</w:t>
      </w:r>
      <w:r w:rsidR="000D2826" w:rsidRPr="00FB67B9">
        <w:rPr>
          <w:rFonts w:ascii="Times New Roman" w:hAnsi="Times New Roman"/>
          <w:i/>
          <w:color w:val="000000" w:themeColor="text1"/>
        </w:rPr>
        <w:t>a</w:t>
      </w:r>
      <w:r w:rsidR="000D2826">
        <w:rPr>
          <w:rFonts w:ascii="Times New Roman" w:hAnsi="Times New Roman"/>
          <w:color w:val="000000" w:themeColor="text1"/>
        </w:rPr>
        <w:t xml:space="preserve">, </w:t>
      </w:r>
      <w:r w:rsidR="000D2826" w:rsidRPr="00FB67B9">
        <w:rPr>
          <w:rFonts w:ascii="Times New Roman" w:hAnsi="Times New Roman"/>
          <w:i/>
          <w:color w:val="000000" w:themeColor="text1"/>
        </w:rPr>
        <w:t>b</w:t>
      </w:r>
      <w:r w:rsidR="000D2826">
        <w:rPr>
          <w:rFonts w:ascii="Times New Roman" w:hAnsi="Times New Roman"/>
          <w:color w:val="000000" w:themeColor="text1"/>
        </w:rPr>
        <w:t xml:space="preserve">], where </w:t>
      </w:r>
      <w:r w:rsidR="000D2826" w:rsidRPr="00FB67B9">
        <w:rPr>
          <w:rFonts w:ascii="Times New Roman" w:hAnsi="Times New Roman"/>
          <w:i/>
          <w:color w:val="000000" w:themeColor="text1"/>
        </w:rPr>
        <w:t>a</w:t>
      </w:r>
      <w:r w:rsidR="000D2826">
        <w:rPr>
          <w:rFonts w:ascii="Times New Roman" w:hAnsi="Times New Roman"/>
          <w:color w:val="000000" w:themeColor="text1"/>
        </w:rPr>
        <w:t xml:space="preserve"> and </w:t>
      </w:r>
      <w:proofErr w:type="spellStart"/>
      <w:r w:rsidR="000D2826" w:rsidRPr="00FB67B9">
        <w:rPr>
          <w:rFonts w:ascii="Times New Roman" w:hAnsi="Times New Roman"/>
          <w:i/>
          <w:color w:val="000000" w:themeColor="text1"/>
        </w:rPr>
        <w:t>b</w:t>
      </w:r>
      <w:r w:rsidR="000D2826">
        <w:rPr>
          <w:rFonts w:ascii="Times New Roman" w:hAnsi="Times New Roman"/>
          <w:color w:val="000000" w:themeColor="text1"/>
        </w:rPr>
        <w:t xml:space="preserve"> are</w:t>
      </w:r>
      <w:proofErr w:type="spellEnd"/>
      <w:r w:rsidR="000D2826">
        <w:rPr>
          <w:rFonts w:ascii="Times New Roman" w:hAnsi="Times New Roman"/>
          <w:color w:val="000000" w:themeColor="text1"/>
        </w:rPr>
        <w:t xml:space="preserve"> (1) ±99% of the original stoichiometric coefficients of a given virus, or (2) are ±99% of the average of all original stoichiometric coefficients of a given virus. These approaches to generating variant virus genomes give us set of sequences (and associated VBOFs) that are increasingly removed from the original virus VBOFs. </w:t>
      </w:r>
      <w:r w:rsidR="000D2826">
        <w:rPr>
          <w:rFonts w:ascii="Times New Roman" w:eastAsiaTheme="minorEastAsia" w:hAnsi="Times New Roman"/>
        </w:rPr>
        <w:t xml:space="preserve">For each randomised VBOF created, the host-derived flux enforcement analysis was repeated (with a recalculation of the bounds used for the individual enforcement), and the reactions that perturb virus optima the most when constrained were identified. This whole analysis resulted in 8000 randomised VBOFs and FBA simulations, the results of which are summarised as percentage impact of individual host reactions on virus optima for different sets of VBOFs (see </w:t>
      </w:r>
      <w:r w:rsidR="000D2826" w:rsidRPr="00815B48">
        <w:rPr>
          <w:rFonts w:ascii="Times New Roman" w:eastAsiaTheme="minorEastAsia" w:hAnsi="Times New Roman"/>
          <w:i/>
        </w:rPr>
        <w:t>Supplementary File</w:t>
      </w:r>
      <w:r w:rsidR="00FF116F">
        <w:rPr>
          <w:rFonts w:ascii="Times New Roman" w:eastAsiaTheme="minorEastAsia" w:hAnsi="Times New Roman"/>
          <w:i/>
        </w:rPr>
        <w:t>s</w:t>
      </w:r>
      <w:r w:rsidR="000D2826" w:rsidRPr="00815B48">
        <w:rPr>
          <w:rFonts w:ascii="Times New Roman" w:eastAsiaTheme="minorEastAsia" w:hAnsi="Times New Roman"/>
          <w:i/>
        </w:rPr>
        <w:t xml:space="preserve"> S5</w:t>
      </w:r>
      <w:r w:rsidR="00FF116F">
        <w:rPr>
          <w:rFonts w:ascii="Times New Roman" w:eastAsiaTheme="minorEastAsia" w:hAnsi="Times New Roman"/>
          <w:i/>
        </w:rPr>
        <w:t xml:space="preserve"> </w:t>
      </w:r>
      <w:r w:rsidR="00FF116F">
        <w:rPr>
          <w:rFonts w:ascii="Times New Roman" w:eastAsiaTheme="minorEastAsia" w:hAnsi="Times New Roman"/>
        </w:rPr>
        <w:t xml:space="preserve">and </w:t>
      </w:r>
      <w:r w:rsidR="00FF116F">
        <w:rPr>
          <w:rFonts w:ascii="Times New Roman" w:eastAsiaTheme="minorEastAsia" w:hAnsi="Times New Roman"/>
          <w:i/>
        </w:rPr>
        <w:t>S7</w:t>
      </w:r>
      <w:r w:rsidR="000D2826">
        <w:rPr>
          <w:rFonts w:ascii="Times New Roman" w:eastAsiaTheme="minorEastAsia" w:hAnsi="Times New Roman"/>
        </w:rPr>
        <w:t xml:space="preserve">). To compare results of flux enforcement analysis to that obtained from using randomised biomass functions, we used </w:t>
      </w:r>
      <w:r w:rsidR="000D2826">
        <w:rPr>
          <w:rFonts w:ascii="Times New Roman" w:hAnsi="Times New Roman"/>
        </w:rPr>
        <w:t>a one-way ANOVA and Tukey’s honest significance tests for each individual virus against the randomised virus group, and between each individual virus species (</w:t>
      </w:r>
      <w:r w:rsidR="000D2826" w:rsidRPr="00815B48">
        <w:rPr>
          <w:rFonts w:ascii="Times New Roman" w:hAnsi="Times New Roman"/>
          <w:i/>
        </w:rPr>
        <w:t>Supplementary File S</w:t>
      </w:r>
      <w:r w:rsidR="0077050E">
        <w:rPr>
          <w:rFonts w:ascii="Times New Roman" w:hAnsi="Times New Roman"/>
          <w:i/>
        </w:rPr>
        <w:t>8</w:t>
      </w:r>
      <w:r w:rsidR="000D2826" w:rsidRPr="00A74195">
        <w:rPr>
          <w:rFonts w:ascii="Times New Roman" w:hAnsi="Times New Roman"/>
        </w:rPr>
        <w:t>)</w:t>
      </w:r>
      <w:r w:rsidR="000D2826" w:rsidRPr="00D92652">
        <w:rPr>
          <w:rFonts w:ascii="Times New Roman" w:hAnsi="Times New Roman"/>
        </w:rPr>
        <w:t>.</w:t>
      </w:r>
    </w:p>
    <w:p w14:paraId="4252E214" w14:textId="77777777" w:rsidR="000D2826" w:rsidRDefault="000D2826" w:rsidP="000D2826">
      <w:pPr>
        <w:widowControl w:val="0"/>
        <w:tabs>
          <w:tab w:val="left" w:pos="640"/>
        </w:tabs>
        <w:autoSpaceDE w:val="0"/>
        <w:autoSpaceDN w:val="0"/>
        <w:adjustRightInd w:val="0"/>
        <w:rPr>
          <w:rFonts w:ascii="Times New Roman" w:eastAsiaTheme="minorEastAsia" w:hAnsi="Times New Roman"/>
        </w:rPr>
      </w:pPr>
    </w:p>
    <w:p w14:paraId="00B7F668" w14:textId="16349EED" w:rsidR="000D2826" w:rsidRDefault="008B0183" w:rsidP="00AA3397">
      <w:pPr>
        <w:spacing w:line="480" w:lineRule="auto"/>
        <w:jc w:val="both"/>
        <w:rPr>
          <w:rFonts w:ascii="Times New Roman" w:eastAsiaTheme="minorEastAsia" w:hAnsi="Times New Roman"/>
        </w:rPr>
      </w:pPr>
      <w:r>
        <w:rPr>
          <w:rFonts w:ascii="Times New Roman" w:eastAsiaTheme="minorEastAsia" w:hAnsi="Times New Roman"/>
          <w:b/>
        </w:rPr>
        <w:t>1.2b</w:t>
      </w:r>
      <w:r w:rsidR="000D2826">
        <w:rPr>
          <w:rFonts w:ascii="Times New Roman" w:eastAsiaTheme="minorEastAsia" w:hAnsi="Times New Roman"/>
          <w:b/>
        </w:rPr>
        <w:t xml:space="preserve">. Measuring impact of alternative host model assumptions. </w:t>
      </w:r>
      <w:r w:rsidR="000D2826">
        <w:rPr>
          <w:rFonts w:ascii="Times New Roman" w:eastAsiaTheme="minorEastAsia" w:hAnsi="Times New Roman"/>
        </w:rPr>
        <w:t xml:space="preserve">As explained above, the presented analysis involves integrating a VBOF into a host model. While we used here a validated, published human macrophage metabolic model as the host model, it is desirable to </w:t>
      </w:r>
      <w:r w:rsidR="000D2826">
        <w:rPr>
          <w:rFonts w:ascii="Times New Roman" w:eastAsiaTheme="minorEastAsia" w:hAnsi="Times New Roman"/>
        </w:rPr>
        <w:lastRenderedPageBreak/>
        <w:t xml:space="preserve">evaluate the impact of specific assumptions of such a model on the results of this analysis. In particular, the macrophage model uses specific metabolite uptake fluxes, which are mostly based on experimental observations </w:t>
      </w:r>
      <w:r w:rsidR="000D2826">
        <w:rPr>
          <w:rFonts w:ascii="Times New Roman" w:eastAsiaTheme="minorEastAsia" w:hAnsi="Times New Roman"/>
        </w:rPr>
        <w:fldChar w:fldCharType="begin"/>
      </w:r>
      <w:r w:rsidR="00B3538D">
        <w:rPr>
          <w:rFonts w:ascii="Times New Roman" w:eastAsiaTheme="minorEastAsia" w:hAnsi="Times New Roman"/>
        </w:rPr>
        <w:instrText xml:space="preserve"> ADDIN PAPERS2_CITATIONS &lt;citation&gt;&lt;priority&gt;0&lt;/priority&gt;&lt;uuid&gt;7C7D7C54-A8AC-4E64-9D60-D340075F39E1&lt;/uuid&gt;&lt;publications&gt;&lt;publication&gt;&lt;subtype&gt;400&lt;/subtype&gt;&lt;title&gt;Mayaro virus infection alters glucose metabolism in cultured cells through activation of the enzyme 6-phosphofructo 1-kinase.&lt;/title&gt;&lt;url&gt;http://eutils.ncbi.nlm.nih.gov/entrez/eutils/elink.fcgi?dbfrom=pubmed&amp;amp;id=15646042&amp;amp;retmode=ref&amp;amp;cmd=prlinks&lt;/url&gt;&lt;volume&gt;266&lt;/volume&gt;&lt;publication_date&gt;99200411001200000000220000&lt;/publication_date&gt;&lt;uuid&gt;91DC2994-B246-458C-951E-CDAC9A76F1E2&lt;/uuid&gt;&lt;type&gt;400&lt;/type&gt;&lt;number&gt;1-2&lt;/number&gt;&lt;citekey&gt;ElBacha:2004tz&lt;/citekey&gt;&lt;institution&gt;Departamento de Bioquímica Medica, Instituto de Ciências Biomédicas, Universidade Federal do Rio de Janeiro, Rio de Janeiro, Brazil.&lt;/institution&gt;&lt;startpage&gt;191&lt;/startpage&gt;&lt;endpage&gt;198&lt;/endpage&gt;&lt;bundle&gt;&lt;publication&gt;&lt;title&gt;Molecular and cellular biochemistry&lt;/title&gt;&lt;uuid&gt;A5E7EACA-742E-4F88-894C-10BCF90E45A0&lt;/uuid&gt;&lt;subtype&gt;-100&lt;/subtype&gt;&lt;type&gt;-100&lt;/type&gt;&lt;/publication&gt;&lt;/bundle&gt;&lt;authors&gt;&lt;author&gt;&lt;lastName&gt;El-Bacha&lt;/lastName&gt;&lt;firstName&gt;Tatiana&lt;/firstName&gt;&lt;/author&gt;&lt;author&gt;&lt;lastName&gt;Menezes&lt;/lastName&gt;&lt;firstName&gt;Maíra&lt;/firstName&gt;&lt;middleNames&gt;M T&lt;/middleNames&gt;&lt;/author&gt;&lt;author&gt;&lt;lastName&gt;Azevedo e Silva&lt;/lastName&gt;&lt;firstName&gt;Melissa&lt;/firstName&gt;&lt;middleNames&gt;C&lt;/middleNames&gt;&lt;/author&gt;&lt;author&gt;&lt;lastName&gt;Sola-Penna&lt;/lastName&gt;&lt;firstName&gt;Mauro&lt;/firstName&gt;&lt;/author&gt;&lt;author&gt;&lt;lastName&gt;Poian&lt;/lastName&gt;&lt;nonDroppingParticle&gt;Da&lt;/nonDroppingParticle&gt;&lt;firstName&gt;Andrea&lt;/firstName&gt;&lt;middleNames&gt;T&lt;/middleNames&gt;&lt;/author&gt;&lt;/authors&gt;&lt;/publication&gt;&lt;publication&gt;&lt;subtype&gt;400&lt;/subtype&gt;&lt;title&gt;Metabolic investigation of host/pathogen interaction using MS2-infected Escherichia coli.&lt;/title&gt;&lt;url&gt;http://eutils.ncbi.nlm.nih.gov/entrez/eutils/elink.fcgi?dbfrom=pubmed&amp;amp;id=20042079&amp;amp;retmode=ref&amp;amp;cmd=prlinks&lt;/url&gt;&lt;volume&gt;3&lt;/volume&gt;&lt;publication_date&gt;99200912301200000000222000&lt;/publication_date&gt;&lt;uuid&gt;0CFB980B-8916-44F1-9EA4-8548072E7706&lt;/uuid&gt;&lt;type&gt;400&lt;/type&gt;&lt;accepted_date&gt;99200912301200000000222000&lt;/accepted_date&gt;&lt;citekey&gt;Jain:2009cm&lt;/citekey&gt;&lt;submission_date&gt;99200903271200000000222000&lt;/submission_date&gt;&lt;doi&gt;10.1186/1752-0509-3-121&lt;/doi&gt;&lt;institution&gt;Department of Chemical, Materials and Biomolecular Engineering, University of Connecticut, Storrs, CT 06269, USA. jainr@ornl.gov&lt;/institution&gt;&lt;startpage&gt;121&lt;/startpage&gt;&lt;bundle&gt;&lt;publication&gt;&lt;title&gt;BMC systems biology&lt;/title&gt;&lt;uuid&gt;F34B79F7-53CB-4929-BF70-8D221654A546&lt;/uuid&gt;&lt;subtype&gt;-100&lt;/subtype&gt;&lt;publisher&gt;BioMed Central&lt;/publisher&gt;&lt;type&gt;-100&lt;/type&gt;&lt;/publication&gt;&lt;/bundle&gt;&lt;authors&gt;&lt;author&gt;&lt;lastName&gt;Jain&lt;/lastName&gt;&lt;firstName&gt;Rishi&lt;/firstName&gt;&lt;/author&gt;&lt;author&gt;&lt;lastName&gt;Srivastava&lt;/lastName&gt;&lt;firstName&gt;Ranjan&lt;/firstName&gt;&lt;/author&gt;&lt;/authors&gt;&lt;/publication&gt;&lt;publication&gt;&lt;subtype&gt;400&lt;/subtype&gt;&lt;title&gt;Viral effects on metabolism: changes in glucose and glutamine utilization during human cytomegalovirus infection&lt;/title&gt;&lt;url&gt;http://linkinghub.elsevier.com/retrieve/pii/S0966842X11000722&lt;/url&gt;&lt;volume&gt;19&lt;/volume&gt;&lt;publication_date&gt;99201107001200000000220000&lt;/publication_date&gt;&lt;uuid&gt;840C6DED-668B-4DAB-8D9F-060FA1739958&lt;/uuid&gt;&lt;type&gt;400&lt;/type&gt;&lt;number&gt;7&lt;/number&gt;&lt;citekey&gt;Yu:2011kt&lt;/citekey&gt;&lt;doi&gt;10.1016/j.tim.2011.04.002&lt;/doi&gt;&lt;startpage&gt;360&lt;/startpage&gt;&lt;endpage&gt;367&lt;/endpage&gt;&lt;bundle&gt;&lt;publication&gt;&lt;title&gt;Trends in Microbiology&lt;/title&gt;&lt;uuid&gt;E225A299-DFCE-4A32-B076-BED46904BDC9&lt;/uuid&gt;&lt;subtype&gt;-100&lt;/subtype&gt;&lt;publisher&gt;Elsevier Ltd&lt;/publisher&gt;&lt;type&gt;-100&lt;/type&gt;&lt;/publication&gt;&lt;/bundle&gt;&lt;authors&gt;&lt;author&gt;&lt;lastName&gt;Yu&lt;/lastName&gt;&lt;firstName&gt;Yongjun&lt;/firstName&gt;&lt;/author&gt;&lt;author&gt;&lt;lastName&gt;Clippinger&lt;/lastName&gt;&lt;firstName&gt;Amy&lt;/firstName&gt;&lt;middleNames&gt;J&lt;/middleNames&gt;&lt;/author&gt;&lt;author&gt;&lt;lastName&gt;Alwine&lt;/lastName&gt;&lt;firstName&gt;James&lt;/firstName&gt;&lt;middleNames&gt;C&lt;/middleNames&gt;&lt;/author&gt;&lt;/authors&gt;&lt;/publication&gt;&lt;/publications&gt;&lt;cites&gt;&lt;/cites&gt;&lt;/citation&gt;</w:instrText>
      </w:r>
      <w:r w:rsidR="000D2826">
        <w:rPr>
          <w:rFonts w:ascii="Times New Roman" w:eastAsiaTheme="minorEastAsia" w:hAnsi="Times New Roman"/>
        </w:rPr>
        <w:fldChar w:fldCharType="separate"/>
      </w:r>
      <w:r w:rsidR="005B0577">
        <w:rPr>
          <w:rFonts w:ascii="Times New Roman" w:eastAsiaTheme="minorHAnsi" w:hAnsi="Times New Roman"/>
        </w:rPr>
        <w:t>[7-9]</w:t>
      </w:r>
      <w:r w:rsidR="000D2826">
        <w:rPr>
          <w:rFonts w:ascii="Times New Roman" w:eastAsiaTheme="minorEastAsia" w:hAnsi="Times New Roman"/>
        </w:rPr>
        <w:fldChar w:fldCharType="end"/>
      </w:r>
      <w:r w:rsidR="000D2826">
        <w:rPr>
          <w:rFonts w:ascii="Times New Roman" w:eastAsiaTheme="minorEastAsia" w:hAnsi="Times New Roman"/>
        </w:rPr>
        <w:t xml:space="preserve">, but which can directly influence FBA-based results. </w:t>
      </w:r>
      <w:r w:rsidR="0044612F" w:rsidRPr="0044612F">
        <w:rPr>
          <w:rFonts w:ascii="Times New Roman" w:eastAsiaTheme="minorEastAsia" w:hAnsi="Times New Roman"/>
          <w:highlight w:val="yellow"/>
          <w:lang w:val="en"/>
        </w:rPr>
        <w:t xml:space="preserve">To evaluate the potential impact of model uptake bounds on our </w:t>
      </w:r>
      <w:r w:rsidR="0044612F" w:rsidRPr="0044612F">
        <w:rPr>
          <w:rFonts w:ascii="Times New Roman" w:eastAsiaTheme="minorEastAsia" w:hAnsi="Times New Roman"/>
          <w:i/>
          <w:highlight w:val="yellow"/>
          <w:lang w:val="en"/>
        </w:rPr>
        <w:t>in silico</w:t>
      </w:r>
      <w:r w:rsidR="0044612F" w:rsidRPr="0044612F">
        <w:rPr>
          <w:rFonts w:ascii="Times New Roman" w:eastAsiaTheme="minorEastAsia" w:hAnsi="Times New Roman"/>
          <w:highlight w:val="yellow"/>
          <w:lang w:val="en"/>
        </w:rPr>
        <w:t xml:space="preserve"> predictions, we </w:t>
      </w:r>
      <w:proofErr w:type="spellStart"/>
      <w:r w:rsidR="0044612F" w:rsidRPr="0044612F">
        <w:rPr>
          <w:rFonts w:ascii="Times New Roman" w:eastAsiaTheme="minorEastAsia" w:hAnsi="Times New Roman"/>
          <w:highlight w:val="yellow"/>
          <w:lang w:val="en"/>
        </w:rPr>
        <w:t>systematcially</w:t>
      </w:r>
      <w:proofErr w:type="spellEnd"/>
      <w:r w:rsidR="0044612F" w:rsidRPr="0044612F">
        <w:rPr>
          <w:rFonts w:ascii="Times New Roman" w:eastAsiaTheme="minorEastAsia" w:hAnsi="Times New Roman"/>
          <w:highlight w:val="yellow"/>
          <w:lang w:val="en"/>
        </w:rPr>
        <w:t xml:space="preserve"> re-</w:t>
      </w:r>
      <w:proofErr w:type="spellStart"/>
      <w:r w:rsidR="0044612F" w:rsidRPr="0044612F">
        <w:rPr>
          <w:rFonts w:ascii="Times New Roman" w:eastAsiaTheme="minorEastAsia" w:hAnsi="Times New Roman"/>
          <w:highlight w:val="yellow"/>
          <w:lang w:val="en"/>
        </w:rPr>
        <w:t>analysed</w:t>
      </w:r>
      <w:proofErr w:type="spellEnd"/>
      <w:r w:rsidR="0044612F" w:rsidRPr="0044612F">
        <w:rPr>
          <w:rFonts w:ascii="Times New Roman" w:eastAsiaTheme="minorEastAsia" w:hAnsi="Times New Roman"/>
          <w:highlight w:val="yellow"/>
          <w:lang w:val="en"/>
        </w:rPr>
        <w:t xml:space="preserve"> virus optimization and its constraining by the host model, using alternative metabolite uptake fluxes (i.e. different media compositions) in the host model</w:t>
      </w:r>
      <w:r w:rsidR="000D2826" w:rsidRPr="0044612F">
        <w:rPr>
          <w:rFonts w:ascii="Times New Roman" w:eastAsiaTheme="minorEastAsia" w:hAnsi="Times New Roman"/>
          <w:highlight w:val="yellow"/>
        </w:rPr>
        <w:t>.</w:t>
      </w:r>
      <w:r w:rsidR="000D2826">
        <w:rPr>
          <w:rFonts w:ascii="Times New Roman" w:eastAsiaTheme="minorEastAsia" w:hAnsi="Times New Roman"/>
        </w:rPr>
        <w:t xml:space="preserve"> We first identified metabolites that are supplied (via exchange reactions) to the metabolic model with non-arbitrary lower bounds (</w:t>
      </w:r>
      <w:r w:rsidR="000D2826" w:rsidRPr="00AD555F">
        <w:rPr>
          <w:rFonts w:ascii="Times New Roman" w:eastAsiaTheme="minorEastAsia" w:hAnsi="Times New Roman"/>
          <w:i/>
        </w:rPr>
        <w:t>lb</w:t>
      </w:r>
      <w:r w:rsidR="000D2826">
        <w:rPr>
          <w:rFonts w:ascii="Times New Roman" w:eastAsiaTheme="minorEastAsia" w:hAnsi="Times New Roman"/>
        </w:rPr>
        <w:t xml:space="preserve">), where </w:t>
      </w:r>
      <w:r w:rsidR="000D2826" w:rsidRPr="0079328E">
        <w:rPr>
          <w:rFonts w:ascii="Times New Roman" w:eastAsiaTheme="minorEastAsia" w:hAnsi="Times New Roman"/>
          <w:i/>
        </w:rPr>
        <w:t>0</w:t>
      </w:r>
      <w:r w:rsidR="000D2826">
        <w:rPr>
          <w:rFonts w:ascii="Times New Roman" w:eastAsiaTheme="minorEastAsia" w:hAnsi="Times New Roman"/>
        </w:rPr>
        <w:t xml:space="preserve"> &gt; </w:t>
      </w:r>
      <w:r w:rsidR="000D2826">
        <w:rPr>
          <w:rFonts w:ascii="Times New Roman" w:eastAsiaTheme="minorEastAsia" w:hAnsi="Times New Roman"/>
          <w:i/>
        </w:rPr>
        <w:t>lb &gt; -</w:t>
      </w:r>
      <w:r w:rsidR="000D2826">
        <w:rPr>
          <w:rFonts w:ascii="math" w:eastAsiaTheme="minorEastAsia" w:hAnsi="math"/>
          <w:i/>
        </w:rPr>
        <w:t>∞</w:t>
      </w:r>
      <w:r w:rsidR="000D2826">
        <w:rPr>
          <w:rFonts w:ascii="Times New Roman" w:eastAsiaTheme="minorEastAsia" w:hAnsi="Times New Roman"/>
        </w:rPr>
        <w:t xml:space="preserve">. Each of the identified reactions are then systematically constrained, such that the </w:t>
      </w:r>
      <w:r w:rsidR="000D2826">
        <w:rPr>
          <w:rFonts w:ascii="Times New Roman" w:eastAsiaTheme="minorEastAsia" w:hAnsi="Times New Roman"/>
          <w:i/>
        </w:rPr>
        <w:t>lb</w:t>
      </w:r>
      <w:r w:rsidR="000D2826">
        <w:rPr>
          <w:rFonts w:ascii="Times New Roman" w:eastAsiaTheme="minorEastAsia" w:hAnsi="Times New Roman"/>
        </w:rPr>
        <w:t xml:space="preserve"> is reduced from the original model values </w:t>
      </w:r>
      <w:r w:rsidR="000D2826">
        <w:rPr>
          <w:rFonts w:ascii="Times New Roman" w:eastAsiaTheme="minorEastAsia" w:hAnsi="Times New Roman"/>
        </w:rPr>
        <w:fldChar w:fldCharType="begin"/>
      </w:r>
      <w:r w:rsidR="00B3538D">
        <w:rPr>
          <w:rFonts w:ascii="Times New Roman" w:eastAsiaTheme="minorEastAsia" w:hAnsi="Times New Roman"/>
        </w:rPr>
        <w:instrText xml:space="preserve"> ADDIN PAPERS2_CITATIONS &lt;citation&gt;&lt;priority&gt;0&lt;/priority&gt;&lt;uuid&gt;274DDE15-2FF3-4BFE-B2AE-D0965003E707&lt;/uuid&gt;&lt;publications&gt;&lt;publication&gt;&lt;subtype&gt;400&lt;/subtype&gt;&lt;title&gt;Growth of an RNA virus in single cells reveals a broad fitness distribution.&lt;/title&gt;&lt;url&gt;http://linkinghub.elsevier.com/retrieve/pii/S0042682208006892&lt;/url&gt;&lt;volume&gt;385&lt;/volume&gt;&lt;revision_date&gt;99200808081200000000222000&lt;/revision_date&gt;&lt;publication_date&gt;99200903011200000000222000&lt;/publication_date&gt;&lt;uuid&gt;D5E2F7B5-336C-4BC4-8128-0FEC8CF8577A&lt;/uuid&gt;&lt;type&gt;400&lt;/type&gt;&lt;accepted_date&gt;99200810131200000000222000&lt;/accepted_date&gt;&lt;number&gt;1&lt;/number&gt;&lt;citekey&gt;Zhu:2009ea&lt;/citekey&gt;&lt;submission_date&gt;99200806241200000000222000&lt;/submission_date&gt;&lt;doi&gt;10.1016/j.virol.2008.10.031&lt;/doi&gt;&lt;institution&gt;Department of Chemical and Biological Engineering, University of Wisconsin-Madison, 53706-1607, USA.&lt;/institution&gt;&lt;startpage&gt;39&lt;/startpage&gt;&lt;endpage&gt;46&lt;/endpage&gt;&lt;bundle&gt;&lt;publication&gt;&lt;title&gt;Virology&lt;/title&gt;&lt;uuid&gt;7F9F04F8-C0D8-46BB-B64A-5678FA254DCE&lt;/uuid&gt;&lt;subtype&gt;-100&lt;/subtype&gt;&lt;publisher&gt;Elsevier Inc.&lt;/publisher&gt;&lt;type&gt;-100&lt;/type&gt;&lt;/publication&gt;&lt;/bundle&gt;&lt;authors&gt;&lt;author&gt;&lt;lastName&gt;Zhu&lt;/lastName&gt;&lt;firstName&gt;Ying&lt;/firstName&gt;&lt;/author&gt;&lt;author&gt;&lt;lastName&gt;Yongky&lt;/lastName&gt;&lt;firstName&gt;Andrew&lt;/firstName&gt;&lt;/author&gt;&lt;author&gt;&lt;lastName&gt;Yin&lt;/lastName&gt;&lt;firstName&gt;John&lt;/firstName&gt;&lt;/author&gt;&lt;/authors&gt;&lt;/publication&gt;&lt;/publications&gt;&lt;cites&gt;&lt;/cites&gt;&lt;/citation&gt;</w:instrText>
      </w:r>
      <w:r w:rsidR="000D2826">
        <w:rPr>
          <w:rFonts w:ascii="Times New Roman" w:eastAsiaTheme="minorEastAsia" w:hAnsi="Times New Roman"/>
        </w:rPr>
        <w:fldChar w:fldCharType="separate"/>
      </w:r>
      <w:r w:rsidR="005B0577">
        <w:rPr>
          <w:rFonts w:ascii="Times New Roman" w:eastAsiaTheme="minorHAnsi" w:hAnsi="Times New Roman"/>
        </w:rPr>
        <w:t>[6]</w:t>
      </w:r>
      <w:r w:rsidR="000D2826">
        <w:rPr>
          <w:rFonts w:ascii="Times New Roman" w:eastAsiaTheme="minorEastAsia" w:hAnsi="Times New Roman"/>
        </w:rPr>
        <w:fldChar w:fldCharType="end"/>
      </w:r>
      <w:r w:rsidR="000D2826">
        <w:rPr>
          <w:rFonts w:ascii="Times New Roman" w:eastAsiaTheme="minorEastAsia" w:hAnsi="Times New Roman"/>
        </w:rPr>
        <w:t xml:space="preserve"> (in steps of 10%) until the </w:t>
      </w:r>
      <w:r w:rsidR="000D2826">
        <w:rPr>
          <w:rFonts w:ascii="Times New Roman" w:eastAsiaTheme="minorEastAsia" w:hAnsi="Times New Roman"/>
          <w:i/>
        </w:rPr>
        <w:t xml:space="preserve">lb </w:t>
      </w:r>
      <w:r w:rsidR="000D2826">
        <w:rPr>
          <w:rFonts w:ascii="Times New Roman" w:eastAsiaTheme="minorEastAsia" w:hAnsi="Times New Roman"/>
        </w:rPr>
        <w:t xml:space="preserve">= 0, effectively knocking-out the respective exchange reaction. For each altered (additionally constrained) model, the host-derived enforcement analysis is repeated, with re-calculation of the viable host reaction bounds and optimisation of VBOF. This is done for each of the three viruses (CHIKV, DENV, ZIKV) and the results are summarised in </w:t>
      </w:r>
      <w:r w:rsidR="000D2826" w:rsidRPr="00815B48">
        <w:rPr>
          <w:rFonts w:ascii="Times New Roman" w:eastAsiaTheme="minorEastAsia" w:hAnsi="Times New Roman"/>
          <w:i/>
        </w:rPr>
        <w:t>Supplementary File S</w:t>
      </w:r>
      <w:r w:rsidR="00970D41">
        <w:rPr>
          <w:rFonts w:ascii="Times New Roman" w:eastAsiaTheme="minorEastAsia" w:hAnsi="Times New Roman"/>
          <w:i/>
        </w:rPr>
        <w:t>6</w:t>
      </w:r>
      <w:r w:rsidR="000D2826">
        <w:rPr>
          <w:rFonts w:ascii="Times New Roman" w:eastAsiaTheme="minorEastAsia" w:hAnsi="Times New Roman"/>
        </w:rPr>
        <w:t>.</w:t>
      </w:r>
    </w:p>
    <w:p w14:paraId="7B49E83E" w14:textId="169AD7EF" w:rsidR="00D24267" w:rsidRDefault="00D24267" w:rsidP="00D24267">
      <w:pPr>
        <w:spacing w:line="480" w:lineRule="auto"/>
        <w:jc w:val="both"/>
        <w:rPr>
          <w:rFonts w:ascii="Times New Roman" w:eastAsiaTheme="minorEastAsia" w:hAnsi="Times New Roman"/>
        </w:rPr>
      </w:pPr>
    </w:p>
    <w:p w14:paraId="7F4AEB44" w14:textId="501BA0CD" w:rsidR="00117C6B" w:rsidRPr="00117C6B" w:rsidRDefault="00117C6B" w:rsidP="00117C6B">
      <w:pPr>
        <w:spacing w:line="480" w:lineRule="auto"/>
        <w:jc w:val="both"/>
        <w:rPr>
          <w:rFonts w:ascii="Times New Roman" w:eastAsiaTheme="minorEastAsia" w:hAnsi="Times New Roman"/>
          <w:b/>
          <w:highlight w:val="yellow"/>
          <w:lang w:val="en-US"/>
        </w:rPr>
      </w:pPr>
      <w:r w:rsidRPr="00117C6B">
        <w:rPr>
          <w:rFonts w:ascii="Times New Roman" w:eastAsiaTheme="minorEastAsia" w:hAnsi="Times New Roman"/>
          <w:b/>
          <w:bCs/>
          <w:highlight w:val="yellow"/>
          <w:lang w:val="en-US"/>
        </w:rPr>
        <w:t>1.3.      Literature review of antiviral targets. </w:t>
      </w:r>
      <w:r w:rsidRPr="00117C6B">
        <w:rPr>
          <w:rFonts w:ascii="Times New Roman" w:eastAsiaTheme="minorEastAsia" w:hAnsi="Times New Roman"/>
          <w:highlight w:val="yellow"/>
          <w:lang w:val="en-US"/>
        </w:rPr>
        <w:t>In order to assess the pre-existing collection of antivirals that targeted reactions, and specifically in the case of RNA viruses, a literature search was conducted. NCBI and Google Scholar were searched for combinations of keywords: “antiviral”, “reaction target”, “molecular”, “metabolism”, “RNA viruses”, “RNA”. Subsequently, papers that described the use of antiviral drug compounds to specifically target metabolic components (reactions), and presented affects against RNA viruses, were selected [1,5,13- 18].</w:t>
      </w:r>
      <w:r w:rsidR="00B71C93">
        <w:rPr>
          <w:rFonts w:ascii="Times New Roman" w:eastAsiaTheme="minorEastAsia" w:hAnsi="Times New Roman"/>
          <w:highlight w:val="yellow"/>
          <w:lang w:val="en-US"/>
        </w:rPr>
        <w:t xml:space="preserve"> For antivirals with metabolic reaction</w:t>
      </w:r>
      <w:r w:rsidRPr="00117C6B">
        <w:rPr>
          <w:rFonts w:ascii="Times New Roman" w:eastAsiaTheme="minorEastAsia" w:hAnsi="Times New Roman"/>
          <w:highlight w:val="yellow"/>
          <w:lang w:val="en-US"/>
        </w:rPr>
        <w:t xml:space="preserve"> targets identified, the presented experimental evidence was checked to see if the three viruses in this study (</w:t>
      </w:r>
      <w:r w:rsidRPr="00B71C93">
        <w:rPr>
          <w:rFonts w:ascii="Times New Roman" w:eastAsiaTheme="minorEastAsia" w:hAnsi="Times New Roman"/>
          <w:i/>
          <w:highlight w:val="yellow"/>
          <w:lang w:val="en-US"/>
        </w:rPr>
        <w:t>Chikungunya</w:t>
      </w:r>
      <w:r w:rsidRPr="00117C6B">
        <w:rPr>
          <w:rFonts w:ascii="Times New Roman" w:eastAsiaTheme="minorEastAsia" w:hAnsi="Times New Roman"/>
          <w:highlight w:val="yellow"/>
          <w:lang w:val="en-US"/>
        </w:rPr>
        <w:t xml:space="preserve">, </w:t>
      </w:r>
      <w:r w:rsidRPr="00B71C93">
        <w:rPr>
          <w:rFonts w:ascii="Times New Roman" w:eastAsiaTheme="minorEastAsia" w:hAnsi="Times New Roman"/>
          <w:i/>
          <w:highlight w:val="yellow"/>
          <w:lang w:val="en-US"/>
        </w:rPr>
        <w:t xml:space="preserve">Dengue </w:t>
      </w:r>
      <w:r w:rsidRPr="00117C6B">
        <w:rPr>
          <w:rFonts w:ascii="Times New Roman" w:eastAsiaTheme="minorEastAsia" w:hAnsi="Times New Roman"/>
          <w:highlight w:val="yellow"/>
          <w:lang w:val="en-US"/>
        </w:rPr>
        <w:t xml:space="preserve">and </w:t>
      </w:r>
      <w:r w:rsidRPr="00B71C93">
        <w:rPr>
          <w:rFonts w:ascii="Times New Roman" w:eastAsiaTheme="minorEastAsia" w:hAnsi="Times New Roman"/>
          <w:i/>
          <w:highlight w:val="yellow"/>
          <w:lang w:val="en-US"/>
        </w:rPr>
        <w:t>Zika</w:t>
      </w:r>
      <w:r w:rsidRPr="00117C6B">
        <w:rPr>
          <w:rFonts w:ascii="Times New Roman" w:eastAsiaTheme="minorEastAsia" w:hAnsi="Times New Roman"/>
          <w:highlight w:val="yellow"/>
          <w:lang w:val="en-US"/>
        </w:rPr>
        <w:t xml:space="preserve">) had been experimentally tested against. A summary of the literature review </w:t>
      </w:r>
      <w:r w:rsidRPr="00117C6B">
        <w:rPr>
          <w:rFonts w:ascii="Times New Roman" w:eastAsiaTheme="minorEastAsia" w:hAnsi="Times New Roman"/>
          <w:highlight w:val="yellow"/>
          <w:lang w:val="en-US"/>
        </w:rPr>
        <w:lastRenderedPageBreak/>
        <w:t xml:space="preserve">is included in Table S1, </w:t>
      </w:r>
      <w:r w:rsidR="00B71C93">
        <w:rPr>
          <w:rFonts w:ascii="Times New Roman" w:eastAsiaTheme="minorEastAsia" w:hAnsi="Times New Roman"/>
          <w:highlight w:val="yellow"/>
          <w:lang w:val="en-US"/>
        </w:rPr>
        <w:t xml:space="preserve">while </w:t>
      </w:r>
      <w:r w:rsidRPr="00117C6B">
        <w:rPr>
          <w:rFonts w:ascii="Times New Roman" w:eastAsiaTheme="minorEastAsia" w:hAnsi="Times New Roman"/>
          <w:highlight w:val="yellow"/>
          <w:lang w:val="en-US"/>
        </w:rPr>
        <w:t xml:space="preserve">a full breakdown (including pathway effects) is provided in </w:t>
      </w:r>
      <w:r w:rsidRPr="00B71C93">
        <w:rPr>
          <w:rFonts w:ascii="Times New Roman" w:eastAsiaTheme="minorEastAsia" w:hAnsi="Times New Roman"/>
          <w:i/>
          <w:highlight w:val="yellow"/>
          <w:lang w:val="en-US"/>
        </w:rPr>
        <w:t>Supplementary File</w:t>
      </w:r>
      <w:r w:rsidRPr="00117C6B">
        <w:rPr>
          <w:rFonts w:ascii="Times New Roman" w:eastAsiaTheme="minorEastAsia" w:hAnsi="Times New Roman"/>
          <w:highlight w:val="yellow"/>
          <w:lang w:val="en-US"/>
        </w:rPr>
        <w:t xml:space="preserve"> S10.</w:t>
      </w:r>
    </w:p>
    <w:p w14:paraId="5DF0826B" w14:textId="772ACA56" w:rsidR="00B63BE6" w:rsidRDefault="00117C6B" w:rsidP="00117C6B">
      <w:pPr>
        <w:spacing w:line="480" w:lineRule="auto"/>
        <w:jc w:val="both"/>
        <w:rPr>
          <w:rFonts w:ascii="Times New Roman" w:eastAsiaTheme="minorEastAsia" w:hAnsi="Times New Roman"/>
          <w:b/>
        </w:rPr>
      </w:pPr>
      <w:r w:rsidRPr="00117C6B">
        <w:rPr>
          <w:rFonts w:ascii="Times New Roman" w:eastAsiaTheme="minorEastAsia" w:hAnsi="Times New Roman"/>
          <w:b/>
          <w:highlight w:val="yellow"/>
        </w:rPr>
        <w:t xml:space="preserve"> </w:t>
      </w:r>
      <w:r w:rsidR="00B63BE6">
        <w:rPr>
          <w:rFonts w:ascii="Times New Roman" w:eastAsiaTheme="minorEastAsia" w:hAnsi="Times New Roman"/>
          <w:b/>
        </w:rPr>
        <w:br w:type="page"/>
      </w:r>
    </w:p>
    <w:p w14:paraId="4BA228B6" w14:textId="27009F6B" w:rsidR="00B63BE6" w:rsidRDefault="000D2826" w:rsidP="000D2826">
      <w:pPr>
        <w:spacing w:line="480" w:lineRule="auto"/>
        <w:jc w:val="both"/>
        <w:rPr>
          <w:rFonts w:ascii="Times New Roman" w:eastAsiaTheme="minorEastAsia" w:hAnsi="Times New Roman"/>
          <w:b/>
        </w:rPr>
      </w:pPr>
      <w:r>
        <w:rPr>
          <w:rFonts w:ascii="Times New Roman" w:eastAsiaTheme="minorEastAsia" w:hAnsi="Times New Roman"/>
          <w:b/>
        </w:rPr>
        <w:lastRenderedPageBreak/>
        <w:t>2. SUPPLEMENTARY TABLES</w:t>
      </w:r>
    </w:p>
    <w:p w14:paraId="2FF65366" w14:textId="460F8CDC" w:rsidR="00962314" w:rsidRDefault="00502868" w:rsidP="000D2826">
      <w:pPr>
        <w:spacing w:line="480" w:lineRule="auto"/>
        <w:jc w:val="both"/>
        <w:rPr>
          <w:rFonts w:ascii="Times New Roman" w:eastAsiaTheme="minorEastAsia" w:hAnsi="Times New Roman"/>
          <w:b/>
        </w:rPr>
      </w:pPr>
      <w:r>
        <w:rPr>
          <w:rFonts w:ascii="Times New Roman" w:eastAsiaTheme="minorEastAsia" w:hAnsi="Times New Roman"/>
          <w:b/>
          <w:noProof/>
          <w:lang w:val="en-IN" w:eastAsia="en-IN"/>
        </w:rPr>
        <w:drawing>
          <wp:inline distT="0" distB="0" distL="0" distR="0" wp14:anchorId="5D9B9E79" wp14:editId="608C3FC3">
            <wp:extent cx="8458997" cy="59775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visedS1.pdf"/>
                    <pic:cNvPicPr/>
                  </pic:nvPicPr>
                  <pic:blipFill>
                    <a:blip r:embed="rId7"/>
                    <a:stretch>
                      <a:fillRect/>
                    </a:stretch>
                  </pic:blipFill>
                  <pic:spPr>
                    <a:xfrm rot="16200000">
                      <a:off x="0" y="0"/>
                      <a:ext cx="8463853" cy="5980997"/>
                    </a:xfrm>
                    <a:prstGeom prst="rect">
                      <a:avLst/>
                    </a:prstGeom>
                  </pic:spPr>
                </pic:pic>
              </a:graphicData>
            </a:graphic>
          </wp:inline>
        </w:drawing>
      </w:r>
    </w:p>
    <w:p w14:paraId="33BDF0FC" w14:textId="364F8372" w:rsidR="000D2826" w:rsidRDefault="000D2826" w:rsidP="000D2826">
      <w:pPr>
        <w:spacing w:line="480" w:lineRule="auto"/>
        <w:jc w:val="both"/>
        <w:rPr>
          <w:rFonts w:ascii="Times New Roman" w:eastAsiaTheme="minorEastAsia" w:hAnsi="Times New Roman"/>
          <w:b/>
        </w:rPr>
      </w:pPr>
    </w:p>
    <w:p w14:paraId="22E66AA4" w14:textId="79C46DB1" w:rsidR="000D2826" w:rsidRPr="00BB5A4E" w:rsidRDefault="000D2826" w:rsidP="000D2826">
      <w:pPr>
        <w:spacing w:line="480" w:lineRule="auto"/>
        <w:rPr>
          <w:rFonts w:ascii="Times New Roman" w:hAnsi="Times New Roman"/>
        </w:rPr>
      </w:pPr>
      <w:r>
        <w:rPr>
          <w:rFonts w:ascii="Times New Roman" w:hAnsi="Times New Roman"/>
          <w:b/>
        </w:rPr>
        <w:t>Supplementary</w:t>
      </w:r>
      <w:r w:rsidRPr="00692C13">
        <w:rPr>
          <w:rFonts w:ascii="Times New Roman" w:hAnsi="Times New Roman"/>
          <w:b/>
        </w:rPr>
        <w:t xml:space="preserve"> </w:t>
      </w:r>
      <w:r>
        <w:rPr>
          <w:rFonts w:ascii="Times New Roman" w:hAnsi="Times New Roman"/>
          <w:b/>
        </w:rPr>
        <w:t>Table S1</w:t>
      </w:r>
      <w:r w:rsidRPr="00692C13">
        <w:rPr>
          <w:rFonts w:ascii="Times New Roman" w:hAnsi="Times New Roman"/>
          <w:b/>
        </w:rPr>
        <w:t xml:space="preserve"> | </w:t>
      </w:r>
      <w:r w:rsidRPr="000D2826">
        <w:rPr>
          <w:rFonts w:ascii="Times New Roman" w:hAnsi="Times New Roman"/>
        </w:rPr>
        <w:t xml:space="preserve">List of antiviral compounds identified, which interact with host metabolic reactions that affect RNA virus production </w:t>
      </w:r>
      <w:r w:rsidRPr="000D2826">
        <w:rPr>
          <w:rFonts w:ascii="Times New Roman" w:hAnsi="Times New Roman"/>
        </w:rPr>
        <w:fldChar w:fldCharType="begin"/>
      </w:r>
      <w:r w:rsidR="00B3538D">
        <w:rPr>
          <w:rFonts w:ascii="Times New Roman" w:hAnsi="Times New Roman"/>
        </w:rPr>
        <w:instrText xml:space="preserve"> ADDIN PAPERS2_CITATIONS &lt;citation&gt;&lt;priority&gt;0&lt;/priority&gt;&lt;uuid&gt;E1F63A43-4CA6-4841-973D-1BE16157D260&lt;/uuid&gt;&lt;publications&gt;&lt;publication&gt;&lt;subtype&gt;400&lt;/subtype&gt;&lt;title&gt;Shifts in growth strategies reflect tradeoffs in cellular economics.&lt;/title&gt;&lt;url&gt;http://msb.embopress.org/cgi/doi/10.1038/msb.2009.82&lt;/url&gt;&lt;volume&gt;5&lt;/volume&gt;&lt;publication_date&gt;99200900001200000000200000&lt;/publication_date&gt;&lt;uuid&gt;C4203BFD-EF9A-4BF8-BBD4-8366E0F138A4&lt;/uuid&gt;&lt;type&gt;400&lt;/type&gt;&lt;accepted_date&gt;99200910051200000000222000&lt;/accepted_date&gt;&lt;citekey&gt;Molenaar:2009cy&lt;/citekey&gt;&lt;submission_date&gt;99200904231200000000222000&lt;/submission_date&gt;&lt;doi&gt;10.1038/msb.2009.82&lt;/doi&gt;&lt;institution&gt;Centre for Integrative Bioinformatics (IBIVU), Vrije Universiteit Amsterdam, Amsterdam, The Netherlands. douwe.molenaar@falw.vu.nl&lt;/institution&gt;&lt;startpage&gt;323&lt;/startpage&gt;&lt;bundle&gt;&lt;publication&gt;&lt;title&gt;Molecular Systems Biology&lt;/title&gt;&lt;uuid&gt;923AD587-C870-42C2-89D6-DE6FBD56A6A3&lt;/uuid&gt;&lt;subtype&gt;-100&lt;/subtype&gt;&lt;publisher&gt;Nature Publishing Group&lt;/publisher&gt;&lt;type&gt;-100&lt;/type&gt;&lt;/publication&gt;&lt;/bundle&gt;&lt;authors&gt;&lt;author&gt;&lt;lastName&gt;Molenaar&lt;/lastName&gt;&lt;firstName&gt;Douwe&lt;/firstName&gt;&lt;/author&gt;&lt;author&gt;&lt;lastName&gt;Berlo&lt;/lastName&gt;&lt;nonDroppingParticle&gt;van&lt;/nonDroppingParticle&gt;&lt;firstName&gt;Rogier&lt;/firstName&gt;&lt;/author&gt;&lt;author&gt;&lt;lastName&gt;Ridder&lt;/lastName&gt;&lt;nonDroppingParticle&gt;de&lt;/nonDroppingParticle&gt;&lt;firstName&gt;Dick&lt;/firstName&gt;&lt;/author&gt;&lt;author&gt;&lt;lastName&gt;Teusink&lt;/lastName&gt;&lt;firstName&gt;Bas&lt;/firstName&gt;&lt;/author&gt;&lt;/authors&gt;&lt;/publication&gt;&lt;publication&gt;&lt;subtype&gt;400&lt;/subtype&gt;&lt;title&gt;Mechanistic links between cellular trade-offs, gene expression, and growth.&lt;/title&gt;&lt;url&gt;http://eutils.ncbi.nlm.nih.gov/entrez/eutils/elink.fcgi?dbfrom=pubmed&amp;amp;id=25695966&amp;amp;retmode=ref&amp;amp;cmd=prlinks&lt;/url&gt;&lt;volume&gt;112&lt;/volume&gt;&lt;publication_date&gt;99201503031200000000222000&lt;/publication_date&gt;&lt;uuid&gt;1A1F6D33-FDE8-4933-BF8D-0C64BBF5BDA6&lt;/uuid&gt;&lt;type&gt;400&lt;/type&gt;&lt;number&gt;9&lt;/number&gt;&lt;citekey&gt;Weisse:2015kq&lt;/citekey&gt;&lt;doi&gt;10.1073/pnas.1416533112&lt;/doi&gt;&lt;institution&gt;SynthSys-Synthetic &amp;amp; Systems Biology, University of Edinburgh, Edinburgh EH9 3BF, United Kingdom; School of Informatics, University of Edinburgh, Edinburgh EH8 9AB, United Kingdom;&lt;/institution&gt;&lt;startpage&gt;E1038&lt;/startpage&gt;&lt;endpage&gt;47&lt;/endpage&gt;&lt;bundle&gt;&lt;publication&gt;&lt;title&gt;Proceedings of the National Academy of Sciences of the United States of America&lt;/title&gt;&lt;uuid&gt;51F95C6B-2B07-44D4-81F5-EEBA44B12836&lt;/uuid&gt;&lt;subtype&gt;-100&lt;/subtype&gt;&lt;type&gt;-100&lt;/type&gt;&lt;/publication&gt;&lt;/bundle&gt;&lt;authors&gt;&lt;author&gt;&lt;lastName&gt;Weiße&lt;/lastName&gt;&lt;firstName&gt;Andrea&lt;/firstName&gt;&lt;middleNames&gt;Y&lt;/middleNames&gt;&lt;/author&gt;&lt;author&gt;&lt;lastName&gt;Oyarzún&lt;/lastName&gt;&lt;firstName&gt;Diego&lt;/firstName&gt;&lt;middleNames&gt;A&lt;/middleNames&gt;&lt;/author&gt;&lt;author&gt;&lt;lastName&gt;Danos&lt;/lastName&gt;&lt;firstName&gt;Vincent&lt;/firstName&gt;&lt;/author&gt;&lt;author&gt;&lt;lastName&gt;Swain&lt;/lastName&gt;&lt;firstName&gt;Peter&lt;/firstName&gt;&lt;middleNames&gt;S&lt;/middleNames&gt;&lt;/author&gt;&lt;/authors&gt;&lt;/publication&gt;&lt;/publications&gt;&lt;cites&gt;&lt;/cites&gt;&lt;/citation&gt;</w:instrText>
      </w:r>
      <w:r w:rsidRPr="000D2826">
        <w:rPr>
          <w:rFonts w:ascii="Times New Roman" w:hAnsi="Times New Roman"/>
        </w:rPr>
        <w:fldChar w:fldCharType="separate"/>
      </w:r>
      <w:r w:rsidR="005B0577">
        <w:rPr>
          <w:rFonts w:ascii="Times New Roman" w:eastAsiaTheme="minorHAnsi" w:hAnsi="Times New Roman"/>
        </w:rPr>
        <w:t>[10,11]</w:t>
      </w:r>
      <w:r w:rsidRPr="000D2826">
        <w:rPr>
          <w:rFonts w:ascii="Times New Roman" w:hAnsi="Times New Roman"/>
        </w:rPr>
        <w:fldChar w:fldCharType="end"/>
      </w:r>
      <w:r w:rsidR="00AD1331">
        <w:rPr>
          <w:rFonts w:ascii="Times New Roman" w:hAnsi="Times New Roman"/>
        </w:rPr>
        <w:t xml:space="preserve">. </w:t>
      </w:r>
      <w:r w:rsidRPr="00692C13">
        <w:rPr>
          <w:rFonts w:ascii="Times New Roman" w:hAnsi="Times New Roman"/>
        </w:rPr>
        <w:t>*</w:t>
      </w:r>
      <w:r w:rsidRPr="00692C13">
        <w:rPr>
          <w:rFonts w:ascii="Times New Roman" w:hAnsi="Times New Roman"/>
          <w:b/>
        </w:rPr>
        <w:t xml:space="preserve"> </w:t>
      </w:r>
      <w:r w:rsidRPr="00692C13">
        <w:rPr>
          <w:rFonts w:ascii="Times New Roman" w:hAnsi="Times New Roman"/>
        </w:rPr>
        <w:t xml:space="preserve">CTP </w:t>
      </w:r>
      <w:r>
        <w:rPr>
          <w:rFonts w:ascii="Times New Roman" w:hAnsi="Times New Roman"/>
        </w:rPr>
        <w:t>Synthase</w:t>
      </w:r>
      <w:r w:rsidRPr="00692C13">
        <w:rPr>
          <w:rFonts w:ascii="Times New Roman" w:hAnsi="Times New Roman"/>
        </w:rPr>
        <w:t xml:space="preserve"> is encoded for by two genes, CTPS1 and CTPS2, and both are affected by the associated antiviral com</w:t>
      </w:r>
      <w:r w:rsidR="00E91793">
        <w:rPr>
          <w:rFonts w:ascii="Times New Roman" w:hAnsi="Times New Roman"/>
        </w:rPr>
        <w:t xml:space="preserve">pounds. Only one gene is shown. </w:t>
      </w:r>
      <w:r w:rsidR="00AE6359">
        <w:rPr>
          <w:rFonts w:ascii="Times New Roman" w:hAnsi="Times New Roman"/>
        </w:rPr>
        <w:t xml:space="preserve">Viruses from this study are identified if they were experimentally validated against (Chikungunya virus, CHIKV; Dengue virus, DENV; Zika virus, ZIKV). </w:t>
      </w:r>
      <w:r>
        <w:rPr>
          <w:rFonts w:ascii="Times New Roman" w:hAnsi="Times New Roman"/>
        </w:rPr>
        <w:t>All antiviral compounds, and their associated target reactions, were identified from literature search (see Citations).</w:t>
      </w:r>
    </w:p>
    <w:p w14:paraId="7C95D783" w14:textId="11F02EAE" w:rsidR="000D2826" w:rsidRDefault="00B63BE6" w:rsidP="000D2826">
      <w:pPr>
        <w:spacing w:line="480" w:lineRule="auto"/>
        <w:rPr>
          <w:rFonts w:ascii="Times New Roman" w:hAnsi="Times New Roman"/>
          <w:b/>
        </w:rPr>
      </w:pPr>
      <w:r>
        <w:rPr>
          <w:rFonts w:ascii="Times New Roman" w:hAnsi="Times New Roman"/>
          <w:b/>
          <w:noProof/>
          <w:lang w:val="en-IN" w:eastAsia="en-IN"/>
        </w:rPr>
        <w:lastRenderedPageBreak/>
        <w:drawing>
          <wp:inline distT="0" distB="0" distL="0" distR="0" wp14:anchorId="463B774B" wp14:editId="29C05961">
            <wp:extent cx="5633156" cy="7364338"/>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ry Table S2.png"/>
                    <pic:cNvPicPr/>
                  </pic:nvPicPr>
                  <pic:blipFill rotWithShape="1">
                    <a:blip r:embed="rId8"/>
                    <a:srcRect l="10447" t="8213" r="10855" b="19122"/>
                    <a:stretch/>
                  </pic:blipFill>
                  <pic:spPr bwMode="auto">
                    <a:xfrm>
                      <a:off x="0" y="0"/>
                      <a:ext cx="5635631" cy="7367573"/>
                    </a:xfrm>
                    <a:prstGeom prst="rect">
                      <a:avLst/>
                    </a:prstGeom>
                    <a:ln>
                      <a:noFill/>
                    </a:ln>
                    <a:extLst>
                      <a:ext uri="{53640926-AAD7-44D8-BBD7-CCE9431645EC}">
                        <a14:shadowObscured xmlns:a14="http://schemas.microsoft.com/office/drawing/2010/main"/>
                      </a:ext>
                    </a:extLst>
                  </pic:spPr>
                </pic:pic>
              </a:graphicData>
            </a:graphic>
          </wp:inline>
        </w:drawing>
      </w:r>
    </w:p>
    <w:p w14:paraId="1B79B6CD" w14:textId="75BEC8A0" w:rsidR="000D2826" w:rsidRDefault="000D2826" w:rsidP="000D2826">
      <w:pPr>
        <w:spacing w:line="480" w:lineRule="auto"/>
        <w:rPr>
          <w:rFonts w:ascii="Times New Roman" w:hAnsi="Times New Roman"/>
          <w:b/>
        </w:rPr>
      </w:pPr>
      <w:r>
        <w:rPr>
          <w:rFonts w:ascii="Times New Roman" w:hAnsi="Times New Roman"/>
          <w:b/>
        </w:rPr>
        <w:t xml:space="preserve">Supplementary Table S2 | </w:t>
      </w:r>
      <w:r w:rsidRPr="000D2826">
        <w:rPr>
          <w:rFonts w:ascii="Times New Roman" w:hAnsi="Times New Roman"/>
        </w:rPr>
        <w:t xml:space="preserve">Metabolite abbreviations and full names used in Figure 4, as derived from the iAB-AMØ-1410 Human Alveolar Macrophage metabolic reconstruction </w:t>
      </w:r>
      <w:r w:rsidRPr="000D2826">
        <w:rPr>
          <w:rFonts w:ascii="Times New Roman" w:hAnsi="Times New Roman"/>
        </w:rPr>
        <w:fldChar w:fldCharType="begin"/>
      </w:r>
      <w:r w:rsidR="00B3538D">
        <w:rPr>
          <w:rFonts w:ascii="Times New Roman" w:hAnsi="Times New Roman"/>
        </w:rPr>
        <w:instrText xml:space="preserve"> ADDIN PAPERS2_CITATIONS &lt;citation&gt;&lt;priority&gt;0&lt;/priority&gt;&lt;uuid&gt;67B42828-852C-4467-A5F9-3352B3683FC2&lt;/uuid&gt;&lt;publications&gt;&lt;publication&gt;&lt;subtype&gt;400&lt;/subtype&gt;&lt;title&gt;Insight into human alveolar macrophage and M. tuberculosis interactions via metabolic reconstructions.&lt;/title&gt;&lt;url&gt;http://msb.embopress.org/cgi/doi/10.1038/msb.2010.68&lt;/url&gt;&lt;volume&gt;6&lt;/volume&gt;&lt;publication_date&gt;99201010191200000000222000&lt;/publication_date&gt;&lt;uuid&gt;48C3A8AE-AECB-4C53-8A45-764DB37B48E5&lt;/uuid&gt;&lt;type&gt;400&lt;/type&gt;&lt;accepted_date&gt;99201007301200000000222000&lt;/accepted_date&gt;&lt;citekey&gt;Bordbar:2010fe&lt;/citekey&gt;&lt;submission_date&gt;99201002221200000000222000&lt;/submission_date&gt;&lt;doi&gt;10.1038/msb.2010.68&lt;/doi&gt;&lt;institution&gt;Department of Bioengineering, University of California, San Diego, Powell-Focht Bioengineering Hall, La Jolla, CA, USA.&lt;/institution&gt;&lt;startpage&gt;422&lt;/startpage&gt;&lt;bundle&gt;&lt;publication&gt;&lt;title&gt;Molecular Systems Biology&lt;/title&gt;&lt;uuid&gt;923AD587-C870-42C2-89D6-DE6FBD56A6A3&lt;/uuid&gt;&lt;subtype&gt;-100&lt;/subtype&gt;&lt;publisher&gt;Nature Publishing Group&lt;/publisher&gt;&lt;type&gt;-100&lt;/type&gt;&lt;/publication&gt;&lt;/bundle&gt;&lt;authors&gt;&lt;author&gt;&lt;lastName&gt;Bordbar&lt;/lastName&gt;&lt;firstName&gt;Aarash&lt;/firstName&gt;&lt;/author&gt;&lt;author&gt;&lt;lastName&gt;Lewis&lt;/lastName&gt;&lt;firstName&gt;Nathan&lt;/firstName&gt;&lt;middleNames&gt;E&lt;/middleNames&gt;&lt;/author&gt;&lt;author&gt;&lt;lastName&gt;Schellenberger&lt;/lastName&gt;&lt;firstName&gt;Jan&lt;/firstName&gt;&lt;/author&gt;&lt;author&gt;&lt;lastName&gt;Palsson&lt;/lastName&gt;&lt;firstName&gt;Bernhard&lt;/firstName&gt;&lt;middleNames&gt;Ø&lt;/middleNames&gt;&lt;/author&gt;&lt;author&gt;&lt;lastName&gt;Jamshidi&lt;/lastName&gt;&lt;firstName&gt;Neema&lt;/firstName&gt;&lt;/author&gt;&lt;/authors&gt;&lt;/publication&gt;&lt;/publications&gt;&lt;cites&gt;&lt;/cites&gt;&lt;/citation&gt;</w:instrText>
      </w:r>
      <w:r w:rsidRPr="000D2826">
        <w:rPr>
          <w:rFonts w:ascii="Times New Roman" w:hAnsi="Times New Roman"/>
        </w:rPr>
        <w:fldChar w:fldCharType="separate"/>
      </w:r>
      <w:r w:rsidR="005B0577">
        <w:rPr>
          <w:rFonts w:ascii="Times New Roman" w:eastAsiaTheme="minorHAnsi" w:hAnsi="Times New Roman"/>
        </w:rPr>
        <w:t>[12]</w:t>
      </w:r>
      <w:r w:rsidRPr="000D2826">
        <w:rPr>
          <w:rFonts w:ascii="Times New Roman" w:hAnsi="Times New Roman"/>
        </w:rPr>
        <w:fldChar w:fldCharType="end"/>
      </w:r>
      <w:r w:rsidRPr="000D2826">
        <w:rPr>
          <w:rFonts w:ascii="Times New Roman" w:hAnsi="Times New Roman"/>
        </w:rPr>
        <w:t>.</w:t>
      </w:r>
    </w:p>
    <w:p w14:paraId="276693D7" w14:textId="77777777" w:rsidR="000D2826" w:rsidRDefault="000D2826" w:rsidP="000D2826">
      <w:pPr>
        <w:spacing w:line="480" w:lineRule="auto"/>
        <w:rPr>
          <w:rFonts w:ascii="Times New Roman" w:hAnsi="Times New Roman"/>
          <w:b/>
        </w:rPr>
      </w:pPr>
    </w:p>
    <w:p w14:paraId="5F1C7886" w14:textId="7F5FB276" w:rsidR="00354A79" w:rsidRDefault="00354A79" w:rsidP="000D2826">
      <w:pPr>
        <w:spacing w:line="480" w:lineRule="auto"/>
        <w:rPr>
          <w:rFonts w:ascii="Times New Roman" w:eastAsiaTheme="minorHAnsi" w:hAnsi="Times New Roman"/>
          <w:b/>
        </w:rPr>
      </w:pPr>
      <w:r>
        <w:rPr>
          <w:rFonts w:ascii="Times New Roman" w:eastAsiaTheme="minorHAnsi" w:hAnsi="Times New Roman"/>
          <w:b/>
          <w:noProof/>
          <w:lang w:val="en-IN" w:eastAsia="en-IN"/>
        </w:rPr>
        <w:lastRenderedPageBreak/>
        <w:drawing>
          <wp:inline distT="0" distB="0" distL="0" distR="0" wp14:anchorId="154E60B7" wp14:editId="0DC3643D">
            <wp:extent cx="5727700" cy="8109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ementary Table S3.png"/>
                    <pic:cNvPicPr/>
                  </pic:nvPicPr>
                  <pic:blipFill>
                    <a:blip r:embed="rId9"/>
                    <a:stretch>
                      <a:fillRect/>
                    </a:stretch>
                  </pic:blipFill>
                  <pic:spPr>
                    <a:xfrm>
                      <a:off x="0" y="0"/>
                      <a:ext cx="5727700" cy="8109585"/>
                    </a:xfrm>
                    <a:prstGeom prst="rect">
                      <a:avLst/>
                    </a:prstGeom>
                  </pic:spPr>
                </pic:pic>
              </a:graphicData>
            </a:graphic>
          </wp:inline>
        </w:drawing>
      </w:r>
    </w:p>
    <w:p w14:paraId="59E2ED68" w14:textId="77777777" w:rsidR="00354A79" w:rsidRDefault="00354A79" w:rsidP="000D2826">
      <w:pPr>
        <w:spacing w:line="480" w:lineRule="auto"/>
        <w:rPr>
          <w:rFonts w:ascii="Times New Roman" w:eastAsiaTheme="minorHAnsi" w:hAnsi="Times New Roman"/>
          <w:b/>
        </w:rPr>
      </w:pPr>
    </w:p>
    <w:p w14:paraId="1B65D574" w14:textId="77777777" w:rsidR="00354A79" w:rsidRDefault="00354A79" w:rsidP="000D2826">
      <w:pPr>
        <w:spacing w:line="480" w:lineRule="auto"/>
        <w:rPr>
          <w:rFonts w:ascii="Times New Roman" w:eastAsiaTheme="minorHAnsi" w:hAnsi="Times New Roman"/>
          <w:b/>
        </w:rPr>
      </w:pPr>
    </w:p>
    <w:p w14:paraId="25426FE1" w14:textId="270EE81F" w:rsidR="000D2826" w:rsidRPr="00082F84" w:rsidRDefault="00354A79" w:rsidP="000D2826">
      <w:pPr>
        <w:spacing w:line="480" w:lineRule="auto"/>
        <w:rPr>
          <w:rFonts w:ascii="Times New Roman" w:eastAsiaTheme="minorHAnsi" w:hAnsi="Times New Roman"/>
          <w:b/>
        </w:rPr>
      </w:pPr>
      <w:r>
        <w:rPr>
          <w:rFonts w:ascii="Times New Roman" w:eastAsiaTheme="minorHAnsi" w:hAnsi="Times New Roman"/>
          <w:b/>
          <w:noProof/>
          <w:lang w:val="en-IN" w:eastAsia="en-IN"/>
        </w:rPr>
        <w:lastRenderedPageBreak/>
        <w:drawing>
          <wp:inline distT="0" distB="0" distL="0" distR="0" wp14:anchorId="35A00633" wp14:editId="49ACF3DD">
            <wp:extent cx="5727338" cy="7326489"/>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 Table S3 2.png"/>
                    <pic:cNvPicPr/>
                  </pic:nvPicPr>
                  <pic:blipFill rotWithShape="1">
                    <a:blip r:embed="rId10"/>
                    <a:srcRect t="3620" b="6031"/>
                    <a:stretch/>
                  </pic:blipFill>
                  <pic:spPr bwMode="auto">
                    <a:xfrm>
                      <a:off x="0" y="0"/>
                      <a:ext cx="5727700" cy="7326952"/>
                    </a:xfrm>
                    <a:prstGeom prst="rect">
                      <a:avLst/>
                    </a:prstGeom>
                    <a:ln>
                      <a:noFill/>
                    </a:ln>
                    <a:extLst>
                      <a:ext uri="{53640926-AAD7-44D8-BBD7-CCE9431645EC}">
                        <a14:shadowObscured xmlns:a14="http://schemas.microsoft.com/office/drawing/2010/main"/>
                      </a:ext>
                    </a:extLst>
                  </pic:spPr>
                </pic:pic>
              </a:graphicData>
            </a:graphic>
          </wp:inline>
        </w:drawing>
      </w:r>
      <w:r w:rsidR="000D2826">
        <w:rPr>
          <w:rFonts w:ascii="Times New Roman" w:eastAsiaTheme="minorHAnsi" w:hAnsi="Times New Roman"/>
          <w:b/>
        </w:rPr>
        <w:t xml:space="preserve">Supplementary Table S3 | </w:t>
      </w:r>
      <w:r w:rsidR="000D2826" w:rsidRPr="000D2826">
        <w:rPr>
          <w:rFonts w:ascii="Times New Roman" w:eastAsiaTheme="minorHAnsi" w:hAnsi="Times New Roman"/>
        </w:rPr>
        <w:t xml:space="preserve">Reaction abbreviations and full names used in Figure 4, as derived from the iAB-AMØ-1410 Human Alveolar Macrophage metabolic reconstruction </w:t>
      </w:r>
      <w:r w:rsidR="000D2826" w:rsidRPr="000D2826">
        <w:rPr>
          <w:rFonts w:ascii="Times New Roman" w:eastAsiaTheme="minorHAnsi" w:hAnsi="Times New Roman"/>
        </w:rPr>
        <w:fldChar w:fldCharType="begin"/>
      </w:r>
      <w:r w:rsidR="00B3538D">
        <w:rPr>
          <w:rFonts w:ascii="Times New Roman" w:eastAsiaTheme="minorHAnsi" w:hAnsi="Times New Roman"/>
        </w:rPr>
        <w:instrText xml:space="preserve"> ADDIN PAPERS2_CITATIONS &lt;citation&gt;&lt;priority&gt;0&lt;/priority&gt;&lt;uuid&gt;C36FA976-AC64-4B29-9551-EE9191FFB6F7&lt;/uuid&gt;&lt;publications&gt;&lt;publication&gt;&lt;subtype&gt;400&lt;/subtype&gt;&lt;title&gt;Insight into human alveolar macrophage and M. tuberculosis interactions via metabolic reconstructions.&lt;/title&gt;&lt;url&gt;http://msb.embopress.org/cgi/doi/10.1038/msb.2010.68&lt;/url&gt;&lt;volume&gt;6&lt;/volume&gt;&lt;publication_date&gt;99201010191200000000222000&lt;/publication_date&gt;&lt;uuid&gt;48C3A8AE-AECB-4C53-8A45-764DB37B48E5&lt;/uuid&gt;&lt;type&gt;400&lt;/type&gt;&lt;accepted_date&gt;99201007301200000000222000&lt;/accepted_date&gt;&lt;citekey&gt;Bordbar:2010fe&lt;/citekey&gt;&lt;submission_date&gt;99201002221200000000222000&lt;/submission_date&gt;&lt;doi&gt;10.1038/msb.2010.68&lt;/doi&gt;&lt;institution&gt;Department of Bioengineering, University of California, San Diego, Powell-Focht Bioengineering Hall, La Jolla, CA, USA.&lt;/institution&gt;&lt;startpage&gt;422&lt;/startpage&gt;&lt;bundle&gt;&lt;publication&gt;&lt;title&gt;Molecular Systems Biology&lt;/title&gt;&lt;uuid&gt;923AD587-C870-42C2-89D6-DE6FBD56A6A3&lt;/uuid&gt;&lt;subtype&gt;-100&lt;/subtype&gt;&lt;publisher&gt;Nature Publishing Group&lt;/publisher&gt;&lt;type&gt;-100&lt;/type&gt;&lt;/publication&gt;&lt;/bundle&gt;&lt;authors&gt;&lt;author&gt;&lt;lastName&gt;Bordbar&lt;/lastName&gt;&lt;firstName&gt;Aarash&lt;/firstName&gt;&lt;/author&gt;&lt;author&gt;&lt;lastName&gt;Lewis&lt;/lastName&gt;&lt;firstName&gt;Nathan&lt;/firstName&gt;&lt;middleNames&gt;E&lt;/middleNames&gt;&lt;/author&gt;&lt;author&gt;&lt;lastName&gt;Schellenberger&lt;/lastName&gt;&lt;firstName&gt;Jan&lt;/firstName&gt;&lt;/author&gt;&lt;author&gt;&lt;lastName&gt;Palsson&lt;/lastName&gt;&lt;firstName&gt;Bernhard&lt;/firstName&gt;&lt;middleNames&gt;Ø&lt;/middleNames&gt;&lt;/author&gt;&lt;author&gt;&lt;lastName&gt;Jamshidi&lt;/lastName&gt;&lt;firstName&gt;Neema&lt;/firstName&gt;&lt;/author&gt;&lt;/authors&gt;&lt;/publication&gt;&lt;/publications&gt;&lt;cites&gt;&lt;/cites&gt;&lt;/citation&gt;</w:instrText>
      </w:r>
      <w:r w:rsidR="000D2826" w:rsidRPr="000D2826">
        <w:rPr>
          <w:rFonts w:ascii="Times New Roman" w:eastAsiaTheme="minorHAnsi" w:hAnsi="Times New Roman"/>
        </w:rPr>
        <w:fldChar w:fldCharType="separate"/>
      </w:r>
      <w:r w:rsidR="005B0577">
        <w:rPr>
          <w:rFonts w:ascii="Times New Roman" w:eastAsiaTheme="minorHAnsi" w:hAnsi="Times New Roman"/>
        </w:rPr>
        <w:t>[12]</w:t>
      </w:r>
      <w:r w:rsidR="000D2826" w:rsidRPr="000D2826">
        <w:rPr>
          <w:rFonts w:ascii="Times New Roman" w:eastAsiaTheme="minorHAnsi" w:hAnsi="Times New Roman"/>
        </w:rPr>
        <w:fldChar w:fldCharType="end"/>
      </w:r>
      <w:r w:rsidR="000D2826" w:rsidRPr="000D2826">
        <w:rPr>
          <w:rFonts w:ascii="Times New Roman" w:eastAsiaTheme="minorHAnsi" w:hAnsi="Times New Roman"/>
        </w:rPr>
        <w:t>.</w:t>
      </w:r>
    </w:p>
    <w:p w14:paraId="00CADD3D" w14:textId="77777777" w:rsidR="000D2826" w:rsidRDefault="000D2826" w:rsidP="000D2826">
      <w:pPr>
        <w:rPr>
          <w:rFonts w:ascii="Times New Roman" w:hAnsi="Times New Roman"/>
          <w:b/>
        </w:rPr>
      </w:pPr>
    </w:p>
    <w:p w14:paraId="775ABFCA" w14:textId="77777777" w:rsidR="000D2826" w:rsidRDefault="000D2826" w:rsidP="000D2826">
      <w:pPr>
        <w:rPr>
          <w:rFonts w:ascii="Times New Roman" w:hAnsi="Times New Roman"/>
          <w:b/>
        </w:rPr>
      </w:pPr>
    </w:p>
    <w:p w14:paraId="2803E1E5" w14:textId="6F7CAA1E" w:rsidR="000D2826" w:rsidRPr="000D2826" w:rsidRDefault="000D2826" w:rsidP="000D2826">
      <w:pPr>
        <w:spacing w:line="480" w:lineRule="auto"/>
        <w:jc w:val="both"/>
        <w:rPr>
          <w:rFonts w:ascii="Times New Roman" w:eastAsiaTheme="minorEastAsia" w:hAnsi="Times New Roman"/>
          <w:b/>
        </w:rPr>
      </w:pPr>
      <w:r>
        <w:rPr>
          <w:rFonts w:ascii="Times New Roman" w:eastAsiaTheme="minorEastAsia" w:hAnsi="Times New Roman"/>
          <w:b/>
        </w:rPr>
        <w:t>3. SUPPLEMENTARY FIGURES AND LEGENDS</w:t>
      </w:r>
    </w:p>
    <w:p w14:paraId="20B5D319" w14:textId="36AE750E" w:rsidR="00A44FB9" w:rsidRDefault="00A44FB9" w:rsidP="00AD1331">
      <w:pPr>
        <w:spacing w:line="480" w:lineRule="auto"/>
        <w:rPr>
          <w:rFonts w:ascii="Times New Roman" w:eastAsiaTheme="minorHAnsi" w:hAnsi="Times New Roman"/>
          <w:b/>
        </w:rPr>
      </w:pPr>
      <w:r>
        <w:rPr>
          <w:rFonts w:ascii="Times New Roman" w:eastAsiaTheme="minorHAnsi" w:hAnsi="Times New Roman"/>
          <w:b/>
          <w:noProof/>
          <w:lang w:val="en-IN" w:eastAsia="en-IN"/>
        </w:rPr>
        <w:drawing>
          <wp:inline distT="0" distB="0" distL="0" distR="0" wp14:anchorId="5DCD5CB2" wp14:editId="57AF885F">
            <wp:extent cx="5727700" cy="7813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ry Figure S1.png"/>
                    <pic:cNvPicPr/>
                  </pic:nvPicPr>
                  <pic:blipFill>
                    <a:blip r:embed="rId11"/>
                    <a:stretch>
                      <a:fillRect/>
                    </a:stretch>
                  </pic:blipFill>
                  <pic:spPr>
                    <a:xfrm>
                      <a:off x="0" y="0"/>
                      <a:ext cx="5727700" cy="7813675"/>
                    </a:xfrm>
                    <a:prstGeom prst="rect">
                      <a:avLst/>
                    </a:prstGeom>
                  </pic:spPr>
                </pic:pic>
              </a:graphicData>
            </a:graphic>
          </wp:inline>
        </w:drawing>
      </w:r>
    </w:p>
    <w:p w14:paraId="1F46DAFA" w14:textId="351278EC" w:rsidR="00AD1331" w:rsidRPr="008674F5" w:rsidRDefault="00AD1331" w:rsidP="00AD1331">
      <w:pPr>
        <w:spacing w:line="480" w:lineRule="auto"/>
        <w:rPr>
          <w:rFonts w:ascii="Times New Roman" w:eastAsiaTheme="minorHAnsi" w:hAnsi="Times New Roman"/>
        </w:rPr>
      </w:pPr>
      <w:r w:rsidRPr="00082F84">
        <w:rPr>
          <w:rFonts w:ascii="Times New Roman" w:eastAsiaTheme="minorHAnsi" w:hAnsi="Times New Roman"/>
          <w:b/>
        </w:rPr>
        <w:lastRenderedPageBreak/>
        <w:t xml:space="preserve">Figure S1 | Schematic of virus biomass objective function (VBOF) generation. </w:t>
      </w:r>
      <w:r w:rsidRPr="008674F5">
        <w:rPr>
          <w:rFonts w:ascii="Times New Roman" w:eastAsiaTheme="minorHAnsi" w:hAnsi="Times New Roman"/>
        </w:rPr>
        <w:t>Diagram outlines the process of forming the necessary components for the pseudo-reaction that represents the production of virus particles (biomass).</w:t>
      </w:r>
    </w:p>
    <w:p w14:paraId="7C4B7864" w14:textId="040F81CD" w:rsidR="00AD1331" w:rsidRDefault="00AD1331" w:rsidP="00AD1331">
      <w:pPr>
        <w:spacing w:line="480" w:lineRule="auto"/>
        <w:rPr>
          <w:rFonts w:ascii="Times New Roman" w:eastAsiaTheme="minorHAnsi" w:hAnsi="Times New Roman"/>
          <w:b/>
        </w:rPr>
      </w:pPr>
    </w:p>
    <w:p w14:paraId="61F34E6B" w14:textId="3E0A0C19" w:rsidR="00A44FB9" w:rsidRPr="00082F84" w:rsidRDefault="00A44FB9" w:rsidP="00AD1331">
      <w:pPr>
        <w:spacing w:line="480" w:lineRule="auto"/>
        <w:rPr>
          <w:rFonts w:ascii="Times New Roman" w:eastAsiaTheme="minorHAnsi" w:hAnsi="Times New Roman"/>
          <w:b/>
        </w:rPr>
      </w:pPr>
      <w:r>
        <w:rPr>
          <w:rFonts w:ascii="Times New Roman" w:eastAsiaTheme="minorHAnsi" w:hAnsi="Times New Roman"/>
          <w:b/>
          <w:noProof/>
          <w:lang w:val="en-IN" w:eastAsia="en-IN"/>
        </w:rPr>
        <w:drawing>
          <wp:inline distT="0" distB="0" distL="0" distR="0" wp14:anchorId="227EE603" wp14:editId="10320C03">
            <wp:extent cx="5727700" cy="6063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ry Figure S2.png"/>
                    <pic:cNvPicPr/>
                  </pic:nvPicPr>
                  <pic:blipFill>
                    <a:blip r:embed="rId12"/>
                    <a:stretch>
                      <a:fillRect/>
                    </a:stretch>
                  </pic:blipFill>
                  <pic:spPr>
                    <a:xfrm>
                      <a:off x="0" y="0"/>
                      <a:ext cx="5727700" cy="6063615"/>
                    </a:xfrm>
                    <a:prstGeom prst="rect">
                      <a:avLst/>
                    </a:prstGeom>
                  </pic:spPr>
                </pic:pic>
              </a:graphicData>
            </a:graphic>
          </wp:inline>
        </w:drawing>
      </w:r>
    </w:p>
    <w:p w14:paraId="765690C8" w14:textId="77777777" w:rsidR="00AD1331" w:rsidRDefault="00AD1331" w:rsidP="00AD1331">
      <w:pPr>
        <w:spacing w:line="480" w:lineRule="auto"/>
        <w:rPr>
          <w:rFonts w:ascii="Times New Roman" w:eastAsiaTheme="minorHAnsi" w:hAnsi="Times New Roman"/>
        </w:rPr>
      </w:pPr>
      <w:r w:rsidRPr="00082F84">
        <w:rPr>
          <w:rFonts w:ascii="Times New Roman" w:eastAsiaTheme="minorHAnsi" w:hAnsi="Times New Roman"/>
          <w:b/>
        </w:rPr>
        <w:t>Figure S2 | Host-derived enforcement reactions analysed over varying model media compositions</w:t>
      </w:r>
      <w:r>
        <w:rPr>
          <w:rFonts w:ascii="Times New Roman" w:eastAsiaTheme="minorHAnsi" w:hAnsi="Times New Roman"/>
          <w:b/>
        </w:rPr>
        <w:t>,</w:t>
      </w:r>
      <w:r w:rsidRPr="00082F84">
        <w:rPr>
          <w:rFonts w:ascii="Times New Roman" w:eastAsiaTheme="minorHAnsi" w:hAnsi="Times New Roman"/>
          <w:b/>
        </w:rPr>
        <w:t xml:space="preserve"> for given in silico media metabolites</w:t>
      </w:r>
      <w:r>
        <w:rPr>
          <w:rFonts w:ascii="Times New Roman" w:eastAsiaTheme="minorHAnsi" w:hAnsi="Times New Roman"/>
          <w:b/>
        </w:rPr>
        <w:t>, for CHIKV</w:t>
      </w:r>
      <w:r w:rsidRPr="00082F84">
        <w:rPr>
          <w:rFonts w:ascii="Times New Roman" w:eastAsiaTheme="minorHAnsi" w:hAnsi="Times New Roman"/>
          <w:b/>
        </w:rPr>
        <w:t xml:space="preserve">. </w:t>
      </w:r>
      <w:r>
        <w:rPr>
          <w:rFonts w:ascii="Times New Roman" w:eastAsiaTheme="minorHAnsi" w:hAnsi="Times New Roman"/>
        </w:rPr>
        <w:t xml:space="preserve">A) average normalised </w:t>
      </w:r>
      <w:r>
        <w:rPr>
          <w:rFonts w:ascii="Times New Roman" w:eastAsiaTheme="minorHAnsi" w:hAnsi="Times New Roman"/>
        </w:rPr>
        <w:lastRenderedPageBreak/>
        <w:t>virus optima for each media alteration condition. B) standard deviation of virus optima for each media alteration condition.</w:t>
      </w:r>
    </w:p>
    <w:p w14:paraId="71FD3D9E" w14:textId="6B038CAE" w:rsidR="00AD1331" w:rsidRDefault="00AD1331" w:rsidP="00AD1331">
      <w:pPr>
        <w:spacing w:line="480" w:lineRule="auto"/>
        <w:rPr>
          <w:rFonts w:ascii="Times New Roman" w:eastAsiaTheme="minorHAnsi" w:hAnsi="Times New Roman"/>
        </w:rPr>
      </w:pPr>
    </w:p>
    <w:p w14:paraId="0238D4E5" w14:textId="3429A582" w:rsidR="00A44FB9" w:rsidRDefault="005D1728" w:rsidP="00AD1331">
      <w:pPr>
        <w:spacing w:line="480" w:lineRule="auto"/>
        <w:rPr>
          <w:rFonts w:ascii="Times New Roman" w:eastAsiaTheme="minorHAnsi" w:hAnsi="Times New Roman"/>
        </w:rPr>
      </w:pPr>
      <w:r>
        <w:rPr>
          <w:rFonts w:ascii="Times New Roman" w:eastAsiaTheme="minorHAnsi" w:hAnsi="Times New Roman"/>
          <w:noProof/>
          <w:lang w:val="en-IN" w:eastAsia="en-IN"/>
        </w:rPr>
        <w:drawing>
          <wp:inline distT="0" distB="0" distL="0" distR="0" wp14:anchorId="3CBF46BE" wp14:editId="1E58B3C2">
            <wp:extent cx="5727700" cy="6063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 Figure S3.png"/>
                    <pic:cNvPicPr/>
                  </pic:nvPicPr>
                  <pic:blipFill>
                    <a:blip r:embed="rId13"/>
                    <a:stretch>
                      <a:fillRect/>
                    </a:stretch>
                  </pic:blipFill>
                  <pic:spPr>
                    <a:xfrm>
                      <a:off x="0" y="0"/>
                      <a:ext cx="5727700" cy="6063615"/>
                    </a:xfrm>
                    <a:prstGeom prst="rect">
                      <a:avLst/>
                    </a:prstGeom>
                  </pic:spPr>
                </pic:pic>
              </a:graphicData>
            </a:graphic>
          </wp:inline>
        </w:drawing>
      </w:r>
    </w:p>
    <w:p w14:paraId="1B31C512" w14:textId="77777777" w:rsidR="00AD1331" w:rsidRDefault="00AD1331" w:rsidP="00AD1331">
      <w:pPr>
        <w:spacing w:line="480" w:lineRule="auto"/>
        <w:rPr>
          <w:rFonts w:ascii="Times New Roman" w:eastAsiaTheme="minorHAnsi" w:hAnsi="Times New Roman"/>
        </w:rPr>
      </w:pPr>
      <w:r>
        <w:rPr>
          <w:rFonts w:ascii="Times New Roman" w:eastAsiaTheme="minorHAnsi" w:hAnsi="Times New Roman"/>
          <w:b/>
        </w:rPr>
        <w:t>Figure S3</w:t>
      </w:r>
      <w:r w:rsidRPr="00082F84">
        <w:rPr>
          <w:rFonts w:ascii="Times New Roman" w:eastAsiaTheme="minorHAnsi" w:hAnsi="Times New Roman"/>
          <w:b/>
        </w:rPr>
        <w:t xml:space="preserve"> | Host-derived enforcement reactions analysed over varying model media compositions</w:t>
      </w:r>
      <w:r>
        <w:rPr>
          <w:rFonts w:ascii="Times New Roman" w:eastAsiaTheme="minorHAnsi" w:hAnsi="Times New Roman"/>
          <w:b/>
        </w:rPr>
        <w:t>,</w:t>
      </w:r>
      <w:r w:rsidRPr="00082F84">
        <w:rPr>
          <w:rFonts w:ascii="Times New Roman" w:eastAsiaTheme="minorHAnsi" w:hAnsi="Times New Roman"/>
          <w:b/>
        </w:rPr>
        <w:t xml:space="preserve"> for given in silico media metabolites</w:t>
      </w:r>
      <w:r>
        <w:rPr>
          <w:rFonts w:ascii="Times New Roman" w:eastAsiaTheme="minorHAnsi" w:hAnsi="Times New Roman"/>
          <w:b/>
        </w:rPr>
        <w:t>, for DENV</w:t>
      </w:r>
      <w:r w:rsidRPr="00082F84">
        <w:rPr>
          <w:rFonts w:ascii="Times New Roman" w:eastAsiaTheme="minorHAnsi" w:hAnsi="Times New Roman"/>
          <w:b/>
        </w:rPr>
        <w:t xml:space="preserve">. </w:t>
      </w:r>
      <w:r>
        <w:rPr>
          <w:rFonts w:ascii="Times New Roman" w:eastAsiaTheme="minorHAnsi" w:hAnsi="Times New Roman"/>
        </w:rPr>
        <w:t>A) average normalised virus optima for each media alteration condition. B) standard deviation of virus optima for each media alteration condition.</w:t>
      </w:r>
    </w:p>
    <w:p w14:paraId="5F6201F4" w14:textId="414D401C" w:rsidR="00AD1331" w:rsidRPr="009F7D63" w:rsidRDefault="005D1728" w:rsidP="00AD1331">
      <w:pPr>
        <w:spacing w:line="480" w:lineRule="auto"/>
        <w:rPr>
          <w:rFonts w:ascii="Times New Roman" w:eastAsiaTheme="minorHAnsi" w:hAnsi="Times New Roman"/>
        </w:rPr>
      </w:pPr>
      <w:r>
        <w:rPr>
          <w:rFonts w:ascii="Times New Roman" w:eastAsiaTheme="minorHAnsi" w:hAnsi="Times New Roman"/>
          <w:noProof/>
          <w:lang w:val="en-IN" w:eastAsia="en-IN"/>
        </w:rPr>
        <w:lastRenderedPageBreak/>
        <w:drawing>
          <wp:inline distT="0" distB="0" distL="0" distR="0" wp14:anchorId="4BA1414C" wp14:editId="468E42AA">
            <wp:extent cx="5727700" cy="6063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ry Figure S4.png"/>
                    <pic:cNvPicPr/>
                  </pic:nvPicPr>
                  <pic:blipFill>
                    <a:blip r:embed="rId14"/>
                    <a:stretch>
                      <a:fillRect/>
                    </a:stretch>
                  </pic:blipFill>
                  <pic:spPr>
                    <a:xfrm>
                      <a:off x="0" y="0"/>
                      <a:ext cx="5727700" cy="6063615"/>
                    </a:xfrm>
                    <a:prstGeom prst="rect">
                      <a:avLst/>
                    </a:prstGeom>
                  </pic:spPr>
                </pic:pic>
              </a:graphicData>
            </a:graphic>
          </wp:inline>
        </w:drawing>
      </w:r>
    </w:p>
    <w:p w14:paraId="4DF1D33E" w14:textId="77777777" w:rsidR="00AD1331" w:rsidRDefault="00AD1331" w:rsidP="00AD1331">
      <w:pPr>
        <w:spacing w:line="480" w:lineRule="auto"/>
        <w:rPr>
          <w:rFonts w:ascii="Times New Roman" w:eastAsiaTheme="minorHAnsi" w:hAnsi="Times New Roman"/>
        </w:rPr>
      </w:pPr>
      <w:r>
        <w:rPr>
          <w:rFonts w:ascii="Times New Roman" w:eastAsiaTheme="minorHAnsi" w:hAnsi="Times New Roman"/>
          <w:b/>
        </w:rPr>
        <w:t>Figure S4</w:t>
      </w:r>
      <w:r w:rsidRPr="00082F84">
        <w:rPr>
          <w:rFonts w:ascii="Times New Roman" w:eastAsiaTheme="minorHAnsi" w:hAnsi="Times New Roman"/>
          <w:b/>
        </w:rPr>
        <w:t xml:space="preserve"> | Host-derived enforcement reactions analysed over varying model media compositions</w:t>
      </w:r>
      <w:r>
        <w:rPr>
          <w:rFonts w:ascii="Times New Roman" w:eastAsiaTheme="minorHAnsi" w:hAnsi="Times New Roman"/>
          <w:b/>
        </w:rPr>
        <w:t>,</w:t>
      </w:r>
      <w:r w:rsidRPr="00082F84">
        <w:rPr>
          <w:rFonts w:ascii="Times New Roman" w:eastAsiaTheme="minorHAnsi" w:hAnsi="Times New Roman"/>
          <w:b/>
        </w:rPr>
        <w:t xml:space="preserve"> for given in silico media metabolites</w:t>
      </w:r>
      <w:r>
        <w:rPr>
          <w:rFonts w:ascii="Times New Roman" w:eastAsiaTheme="minorHAnsi" w:hAnsi="Times New Roman"/>
          <w:b/>
        </w:rPr>
        <w:t>, for ZIKV</w:t>
      </w:r>
      <w:r w:rsidRPr="00082F84">
        <w:rPr>
          <w:rFonts w:ascii="Times New Roman" w:eastAsiaTheme="minorHAnsi" w:hAnsi="Times New Roman"/>
          <w:b/>
        </w:rPr>
        <w:t xml:space="preserve">. </w:t>
      </w:r>
      <w:r>
        <w:rPr>
          <w:rFonts w:ascii="Times New Roman" w:eastAsiaTheme="minorHAnsi" w:hAnsi="Times New Roman"/>
        </w:rPr>
        <w:t>A) average normalised virus optima for each media alteration condition. B) standard deviation of virus optima for each media alteration condition.</w:t>
      </w:r>
    </w:p>
    <w:p w14:paraId="5141D70D" w14:textId="66AB0ED9" w:rsidR="00AD1331" w:rsidRDefault="005D1728" w:rsidP="00AD1331">
      <w:pPr>
        <w:spacing w:line="480" w:lineRule="auto"/>
        <w:rPr>
          <w:rFonts w:ascii="Times New Roman" w:eastAsiaTheme="minorHAnsi" w:hAnsi="Times New Roman"/>
        </w:rPr>
      </w:pPr>
      <w:r>
        <w:rPr>
          <w:rFonts w:ascii="Times New Roman" w:eastAsiaTheme="minorHAnsi" w:hAnsi="Times New Roman"/>
          <w:noProof/>
          <w:lang w:val="en-IN" w:eastAsia="en-IN"/>
        </w:rPr>
        <w:lastRenderedPageBreak/>
        <w:drawing>
          <wp:inline distT="0" distB="0" distL="0" distR="0" wp14:anchorId="4B659497" wp14:editId="13402651">
            <wp:extent cx="5727700" cy="33902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 Figure S5.png"/>
                    <pic:cNvPicPr/>
                  </pic:nvPicPr>
                  <pic:blipFill>
                    <a:blip r:embed="rId15"/>
                    <a:stretch>
                      <a:fillRect/>
                    </a:stretch>
                  </pic:blipFill>
                  <pic:spPr>
                    <a:xfrm>
                      <a:off x="0" y="0"/>
                      <a:ext cx="5727700" cy="3390265"/>
                    </a:xfrm>
                    <a:prstGeom prst="rect">
                      <a:avLst/>
                    </a:prstGeom>
                  </pic:spPr>
                </pic:pic>
              </a:graphicData>
            </a:graphic>
          </wp:inline>
        </w:drawing>
      </w:r>
    </w:p>
    <w:p w14:paraId="65E3EC48" w14:textId="77777777" w:rsidR="00AD1331" w:rsidRDefault="00AD1331" w:rsidP="00AD1331">
      <w:pPr>
        <w:spacing w:line="480" w:lineRule="auto"/>
        <w:rPr>
          <w:rFonts w:ascii="Times New Roman" w:eastAsiaTheme="minorHAnsi" w:hAnsi="Times New Roman"/>
        </w:rPr>
      </w:pPr>
      <w:r>
        <w:rPr>
          <w:rFonts w:ascii="Times New Roman" w:eastAsiaTheme="minorHAnsi" w:hAnsi="Times New Roman"/>
          <w:b/>
        </w:rPr>
        <w:t>Figure S5</w:t>
      </w:r>
      <w:r w:rsidRPr="00082F84">
        <w:rPr>
          <w:rFonts w:ascii="Times New Roman" w:eastAsiaTheme="minorHAnsi" w:hAnsi="Times New Roman"/>
          <w:b/>
        </w:rPr>
        <w:t xml:space="preserve"> | </w:t>
      </w:r>
      <w:r>
        <w:rPr>
          <w:rFonts w:ascii="Times New Roman" w:eastAsiaTheme="minorHAnsi" w:hAnsi="Times New Roman"/>
          <w:b/>
        </w:rPr>
        <w:t xml:space="preserve">Comparison of stoichiometric coefficients for multiple mutation conditions for CHIKV. </w:t>
      </w:r>
      <w:r>
        <w:rPr>
          <w:rFonts w:ascii="Times New Roman" w:eastAsiaTheme="minorHAnsi" w:hAnsi="Times New Roman"/>
        </w:rPr>
        <w:t>Normalised stoichiometric coefficients for amino acids and nucleotides. Original stoichiometric coefficients (blue circle) are compared to the mutant stoichiometric coefficients (box and whiskers). Chikungunya virus, CHIKV.</w:t>
      </w:r>
    </w:p>
    <w:p w14:paraId="73EC68D5" w14:textId="61ACAA9F" w:rsidR="00AD1331" w:rsidRDefault="005D1728" w:rsidP="00AD1331">
      <w:pPr>
        <w:spacing w:line="480" w:lineRule="auto"/>
        <w:rPr>
          <w:rFonts w:ascii="Times New Roman" w:eastAsiaTheme="minorHAnsi" w:hAnsi="Times New Roman"/>
          <w:b/>
        </w:rPr>
      </w:pPr>
      <w:r>
        <w:rPr>
          <w:rFonts w:ascii="Times New Roman" w:eastAsiaTheme="minorHAnsi" w:hAnsi="Times New Roman"/>
          <w:b/>
          <w:noProof/>
          <w:lang w:val="en-IN" w:eastAsia="en-IN"/>
        </w:rPr>
        <w:drawing>
          <wp:inline distT="0" distB="0" distL="0" distR="0" wp14:anchorId="381A6EED" wp14:editId="0568CF1B">
            <wp:extent cx="5727700" cy="33902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ry Figure S6.png"/>
                    <pic:cNvPicPr/>
                  </pic:nvPicPr>
                  <pic:blipFill>
                    <a:blip r:embed="rId16"/>
                    <a:stretch>
                      <a:fillRect/>
                    </a:stretch>
                  </pic:blipFill>
                  <pic:spPr>
                    <a:xfrm>
                      <a:off x="0" y="0"/>
                      <a:ext cx="5727700" cy="3390265"/>
                    </a:xfrm>
                    <a:prstGeom prst="rect">
                      <a:avLst/>
                    </a:prstGeom>
                  </pic:spPr>
                </pic:pic>
              </a:graphicData>
            </a:graphic>
          </wp:inline>
        </w:drawing>
      </w:r>
    </w:p>
    <w:p w14:paraId="4F7EBC0C" w14:textId="77777777" w:rsidR="00AD1331" w:rsidRDefault="00AD1331" w:rsidP="00AD1331">
      <w:pPr>
        <w:spacing w:line="480" w:lineRule="auto"/>
        <w:rPr>
          <w:rFonts w:ascii="Times New Roman" w:eastAsiaTheme="minorHAnsi" w:hAnsi="Times New Roman"/>
        </w:rPr>
      </w:pPr>
      <w:r>
        <w:rPr>
          <w:rFonts w:ascii="Times New Roman" w:eastAsiaTheme="minorHAnsi" w:hAnsi="Times New Roman"/>
          <w:b/>
        </w:rPr>
        <w:lastRenderedPageBreak/>
        <w:t>Figure S6</w:t>
      </w:r>
      <w:r w:rsidRPr="00082F84">
        <w:rPr>
          <w:rFonts w:ascii="Times New Roman" w:eastAsiaTheme="minorHAnsi" w:hAnsi="Times New Roman"/>
          <w:b/>
        </w:rPr>
        <w:t xml:space="preserve"> | </w:t>
      </w:r>
      <w:r>
        <w:rPr>
          <w:rFonts w:ascii="Times New Roman" w:eastAsiaTheme="minorHAnsi" w:hAnsi="Times New Roman"/>
          <w:b/>
        </w:rPr>
        <w:t xml:space="preserve">Comparison of stoichiometric coefficients for multiple mutation conditions for DENV. </w:t>
      </w:r>
      <w:r>
        <w:rPr>
          <w:rFonts w:ascii="Times New Roman" w:eastAsiaTheme="minorHAnsi" w:hAnsi="Times New Roman"/>
        </w:rPr>
        <w:t>Normalised stoichiometric coefficients for amino acids and nucleotides. Original stoichiometric coefficients (blue circle) are compared to the mutant stoichiometric coefficients (box and whiskers). Dengue virus, DENV.</w:t>
      </w:r>
    </w:p>
    <w:p w14:paraId="4C00FE30" w14:textId="1C1AD019" w:rsidR="00AD1331" w:rsidRDefault="005D1728" w:rsidP="00AD1331">
      <w:pPr>
        <w:spacing w:line="480" w:lineRule="auto"/>
        <w:rPr>
          <w:rFonts w:ascii="Times New Roman" w:eastAsiaTheme="minorHAnsi" w:hAnsi="Times New Roman"/>
          <w:b/>
        </w:rPr>
      </w:pPr>
      <w:r>
        <w:rPr>
          <w:rFonts w:ascii="Times New Roman" w:eastAsiaTheme="minorHAnsi" w:hAnsi="Times New Roman"/>
          <w:b/>
          <w:noProof/>
          <w:lang w:val="en-IN" w:eastAsia="en-IN"/>
        </w:rPr>
        <w:drawing>
          <wp:inline distT="0" distB="0" distL="0" distR="0" wp14:anchorId="4BAE20FA" wp14:editId="70E45E20">
            <wp:extent cx="5727700" cy="3390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igure S7.png"/>
                    <pic:cNvPicPr/>
                  </pic:nvPicPr>
                  <pic:blipFill>
                    <a:blip r:embed="rId17"/>
                    <a:stretch>
                      <a:fillRect/>
                    </a:stretch>
                  </pic:blipFill>
                  <pic:spPr>
                    <a:xfrm>
                      <a:off x="0" y="0"/>
                      <a:ext cx="5727700" cy="3390265"/>
                    </a:xfrm>
                    <a:prstGeom prst="rect">
                      <a:avLst/>
                    </a:prstGeom>
                  </pic:spPr>
                </pic:pic>
              </a:graphicData>
            </a:graphic>
          </wp:inline>
        </w:drawing>
      </w:r>
    </w:p>
    <w:p w14:paraId="5D244B81" w14:textId="77777777" w:rsidR="00AD1331" w:rsidRDefault="00AD1331" w:rsidP="00AD1331">
      <w:pPr>
        <w:spacing w:line="480" w:lineRule="auto"/>
        <w:rPr>
          <w:rFonts w:ascii="Times New Roman" w:eastAsiaTheme="minorHAnsi" w:hAnsi="Times New Roman"/>
        </w:rPr>
      </w:pPr>
      <w:r>
        <w:rPr>
          <w:rFonts w:ascii="Times New Roman" w:eastAsiaTheme="minorHAnsi" w:hAnsi="Times New Roman"/>
          <w:b/>
        </w:rPr>
        <w:t>Figure S7</w:t>
      </w:r>
      <w:r w:rsidRPr="00082F84">
        <w:rPr>
          <w:rFonts w:ascii="Times New Roman" w:eastAsiaTheme="minorHAnsi" w:hAnsi="Times New Roman"/>
          <w:b/>
        </w:rPr>
        <w:t xml:space="preserve"> | </w:t>
      </w:r>
      <w:r>
        <w:rPr>
          <w:rFonts w:ascii="Times New Roman" w:eastAsiaTheme="minorHAnsi" w:hAnsi="Times New Roman"/>
          <w:b/>
        </w:rPr>
        <w:t xml:space="preserve">Comparison of stoichiometric coefficients for multiple mutation conditions for ZIKV. </w:t>
      </w:r>
      <w:r>
        <w:rPr>
          <w:rFonts w:ascii="Times New Roman" w:eastAsiaTheme="minorHAnsi" w:hAnsi="Times New Roman"/>
        </w:rPr>
        <w:t>Normalised stoichiometric coefficients for amino acids and nucleotides. Original stoichiometric coefficients (blue circle) are compared to the mutant stoichiometric coefficients (box and whiskers). Zika virus, ZIKV.</w:t>
      </w:r>
    </w:p>
    <w:p w14:paraId="54718C6C" w14:textId="5BAE67F5" w:rsidR="00AD1331" w:rsidRDefault="0060797F" w:rsidP="00AD1331">
      <w:pPr>
        <w:spacing w:line="480" w:lineRule="auto"/>
        <w:rPr>
          <w:rFonts w:ascii="Times New Roman" w:eastAsiaTheme="minorHAnsi" w:hAnsi="Times New Roman"/>
        </w:rPr>
      </w:pPr>
      <w:r>
        <w:rPr>
          <w:rFonts w:ascii="Times New Roman" w:eastAsiaTheme="minorHAnsi" w:hAnsi="Times New Roman"/>
          <w:noProof/>
          <w:lang w:val="en-IN" w:eastAsia="en-IN"/>
        </w:rPr>
        <w:lastRenderedPageBreak/>
        <w:drawing>
          <wp:inline distT="0" distB="0" distL="0" distR="0" wp14:anchorId="21E687CA" wp14:editId="6AA1C924">
            <wp:extent cx="4222750" cy="8864600"/>
            <wp:effectExtent l="0" t="0" r="6350" b="0"/>
            <wp:docPr id="1" name="Picture 1" descr="M:\RS\Figshare\Approved\rsif20180125\Supplementary 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S\Figshare\Approved\rsif20180125\Supplementary Figure S8.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2750" cy="8864600"/>
                    </a:xfrm>
                    <a:prstGeom prst="rect">
                      <a:avLst/>
                    </a:prstGeom>
                    <a:noFill/>
                    <a:ln>
                      <a:noFill/>
                    </a:ln>
                  </pic:spPr>
                </pic:pic>
              </a:graphicData>
            </a:graphic>
          </wp:inline>
        </w:drawing>
      </w:r>
      <w:bookmarkStart w:id="0" w:name="_GoBack"/>
      <w:bookmarkEnd w:id="0"/>
    </w:p>
    <w:p w14:paraId="2324EF0A" w14:textId="77777777" w:rsidR="00AD1331" w:rsidRPr="00512872" w:rsidRDefault="00AD1331" w:rsidP="00AD1331">
      <w:pPr>
        <w:spacing w:line="480" w:lineRule="auto"/>
        <w:rPr>
          <w:rFonts w:ascii="Times New Roman" w:eastAsiaTheme="minorHAnsi" w:hAnsi="Times New Roman"/>
        </w:rPr>
      </w:pPr>
      <w:r w:rsidRPr="00020F6F">
        <w:rPr>
          <w:rFonts w:ascii="Times New Roman" w:eastAsiaTheme="minorHAnsi" w:hAnsi="Times New Roman"/>
          <w:b/>
        </w:rPr>
        <w:lastRenderedPageBreak/>
        <w:t>Figure S</w:t>
      </w:r>
      <w:r>
        <w:rPr>
          <w:rFonts w:ascii="Times New Roman" w:eastAsiaTheme="minorHAnsi" w:hAnsi="Times New Roman"/>
          <w:b/>
        </w:rPr>
        <w:t>8</w:t>
      </w:r>
      <w:r w:rsidRPr="00020F6F">
        <w:rPr>
          <w:rFonts w:ascii="Times New Roman" w:eastAsiaTheme="minorHAnsi" w:hAnsi="Times New Roman"/>
          <w:b/>
        </w:rPr>
        <w:t xml:space="preserve"> | Comparison of gene expression data and metabolic model flux predictions</w:t>
      </w:r>
      <w:r>
        <w:rPr>
          <w:rFonts w:ascii="Times New Roman" w:eastAsiaTheme="minorHAnsi" w:hAnsi="Times New Roman"/>
          <w:b/>
        </w:rPr>
        <w:t xml:space="preserve">. </w:t>
      </w:r>
      <w:r>
        <w:rPr>
          <w:rFonts w:ascii="Times New Roman" w:eastAsiaTheme="minorHAnsi" w:hAnsi="Times New Roman"/>
        </w:rPr>
        <w:t xml:space="preserve">Comparisons were made between gene expression data sets (denoted in legends) and the fluxes predicted for the respective virus-optimised metabolic network, for each virus: </w:t>
      </w:r>
      <w:r>
        <w:rPr>
          <w:rFonts w:ascii="Times New Roman" w:eastAsiaTheme="minorHAnsi" w:hAnsi="Times New Roman"/>
          <w:b/>
        </w:rPr>
        <w:t>a,</w:t>
      </w:r>
      <w:r>
        <w:rPr>
          <w:rFonts w:ascii="Times New Roman" w:eastAsiaTheme="minorHAnsi" w:hAnsi="Times New Roman"/>
        </w:rPr>
        <w:t xml:space="preserve"> CHIKV; </w:t>
      </w:r>
      <w:r>
        <w:rPr>
          <w:rFonts w:ascii="Times New Roman" w:eastAsiaTheme="minorHAnsi" w:hAnsi="Times New Roman"/>
          <w:b/>
        </w:rPr>
        <w:t>b,</w:t>
      </w:r>
      <w:r>
        <w:rPr>
          <w:rFonts w:ascii="Times New Roman" w:eastAsiaTheme="minorHAnsi" w:hAnsi="Times New Roman"/>
        </w:rPr>
        <w:t xml:space="preserve"> DENV; </w:t>
      </w:r>
      <w:r>
        <w:rPr>
          <w:rFonts w:ascii="Times New Roman" w:eastAsiaTheme="minorHAnsi" w:hAnsi="Times New Roman"/>
          <w:b/>
        </w:rPr>
        <w:t>c,</w:t>
      </w:r>
      <w:r>
        <w:rPr>
          <w:rFonts w:ascii="Times New Roman" w:eastAsiaTheme="minorHAnsi" w:hAnsi="Times New Roman"/>
        </w:rPr>
        <w:t xml:space="preserve"> ZIKV. Comparisons shown are the log-2 fold-change of virus vs host fluxes and infected vs uninfected [virus vs host] gene expression data at different time points in hours (h). CHIKV, chikungunya virus; DENV, dengue virus; ZIKV, zika virus.</w:t>
      </w:r>
    </w:p>
    <w:p w14:paraId="21C8BE27" w14:textId="77777777" w:rsidR="00AD1331" w:rsidRDefault="00AD1331" w:rsidP="00AD1331">
      <w:pPr>
        <w:spacing w:line="480" w:lineRule="auto"/>
        <w:jc w:val="both"/>
        <w:rPr>
          <w:rFonts w:ascii="Times New Roman" w:eastAsiaTheme="minorEastAsia" w:hAnsi="Times New Roman"/>
          <w:b/>
        </w:rPr>
      </w:pPr>
    </w:p>
    <w:p w14:paraId="73307210" w14:textId="77777777" w:rsidR="000206E1" w:rsidRDefault="000206E1">
      <w:pPr>
        <w:rPr>
          <w:rFonts w:ascii="Times New Roman" w:eastAsiaTheme="minorEastAsia" w:hAnsi="Times New Roman"/>
          <w:b/>
        </w:rPr>
      </w:pPr>
      <w:r>
        <w:rPr>
          <w:rFonts w:ascii="Times New Roman" w:eastAsiaTheme="minorEastAsia" w:hAnsi="Times New Roman"/>
          <w:b/>
        </w:rPr>
        <w:br w:type="page"/>
      </w:r>
    </w:p>
    <w:p w14:paraId="014E1505" w14:textId="4BA04285" w:rsidR="006679F9" w:rsidRDefault="00AD1331" w:rsidP="00A30DF1">
      <w:pPr>
        <w:spacing w:line="480" w:lineRule="auto"/>
        <w:jc w:val="both"/>
        <w:rPr>
          <w:rFonts w:ascii="Times New Roman" w:hAnsi="Times New Roman"/>
          <w:b/>
        </w:rPr>
      </w:pPr>
      <w:r>
        <w:rPr>
          <w:rFonts w:ascii="Times New Roman" w:eastAsiaTheme="minorEastAsia" w:hAnsi="Times New Roman"/>
          <w:b/>
        </w:rPr>
        <w:lastRenderedPageBreak/>
        <w:t xml:space="preserve">4. </w:t>
      </w:r>
      <w:r w:rsidR="00521395">
        <w:rPr>
          <w:rFonts w:ascii="Times New Roman" w:eastAsiaTheme="minorEastAsia" w:hAnsi="Times New Roman"/>
          <w:b/>
        </w:rPr>
        <w:t xml:space="preserve">LIST OF </w:t>
      </w:r>
      <w:r>
        <w:rPr>
          <w:rFonts w:ascii="Times New Roman" w:eastAsiaTheme="minorEastAsia" w:hAnsi="Times New Roman"/>
          <w:b/>
        </w:rPr>
        <w:t>SUPPLEMENTARY FILES</w:t>
      </w:r>
    </w:p>
    <w:p w14:paraId="73CA5F28" w14:textId="01318ABC" w:rsidR="00B70FDF" w:rsidRDefault="00B70FDF" w:rsidP="00A30DF1">
      <w:pPr>
        <w:spacing w:line="480" w:lineRule="auto"/>
        <w:jc w:val="both"/>
        <w:rPr>
          <w:rFonts w:ascii="Times New Roman" w:hAnsi="Times New Roman"/>
        </w:rPr>
      </w:pPr>
      <w:r>
        <w:rPr>
          <w:rFonts w:ascii="Times New Roman" w:hAnsi="Times New Roman"/>
          <w:b/>
        </w:rPr>
        <w:t>Supplementary File S1.</w:t>
      </w:r>
      <w:r w:rsidR="00A30DF1">
        <w:rPr>
          <w:rFonts w:ascii="Times New Roman" w:hAnsi="Times New Roman"/>
          <w:b/>
        </w:rPr>
        <w:t xml:space="preserve"> </w:t>
      </w:r>
      <w:r w:rsidR="00A30DF1">
        <w:rPr>
          <w:rFonts w:ascii="Times New Roman" w:hAnsi="Times New Roman"/>
        </w:rPr>
        <w:t>Biomass objective function stoichiometric coefficients and associated metabolites for the [host] macrophage (iAB-AMØ-1410) biomass maintenance objective function and the Chikungunya (CHIKV), Dengue (DENV) and Zika (ZIKV) virus biomass objective functions.</w:t>
      </w:r>
    </w:p>
    <w:p w14:paraId="24F4962A" w14:textId="77777777" w:rsidR="00630D2D" w:rsidRPr="00A30DF1" w:rsidRDefault="00630D2D" w:rsidP="00A30DF1">
      <w:pPr>
        <w:spacing w:line="480" w:lineRule="auto"/>
        <w:jc w:val="both"/>
        <w:rPr>
          <w:rFonts w:ascii="Times New Roman" w:hAnsi="Times New Roman"/>
        </w:rPr>
      </w:pPr>
    </w:p>
    <w:p w14:paraId="736C5641" w14:textId="2C65DF2A" w:rsidR="00B70FDF" w:rsidRPr="00796647" w:rsidRDefault="00B70FDF" w:rsidP="00A30DF1">
      <w:pPr>
        <w:spacing w:line="480" w:lineRule="auto"/>
        <w:jc w:val="both"/>
        <w:rPr>
          <w:rFonts w:ascii="Times New Roman" w:hAnsi="Times New Roman"/>
        </w:rPr>
      </w:pPr>
      <w:r>
        <w:rPr>
          <w:rFonts w:ascii="Times New Roman" w:hAnsi="Times New Roman"/>
          <w:b/>
        </w:rPr>
        <w:t>Supplementary File S2.</w:t>
      </w:r>
      <w:r w:rsidR="00796647">
        <w:rPr>
          <w:rFonts w:ascii="Times New Roman" w:hAnsi="Times New Roman"/>
          <w:b/>
        </w:rPr>
        <w:t xml:space="preserve"> </w:t>
      </w:r>
      <w:r w:rsidR="00796647">
        <w:rPr>
          <w:rFonts w:ascii="Times New Roman" w:hAnsi="Times New Roman"/>
        </w:rPr>
        <w:t>Flux variability analysis results for the host-virus integrated models for CHIKV, DENV and ZIKV</w:t>
      </w:r>
      <w:r w:rsidR="001D7B47">
        <w:rPr>
          <w:rFonts w:ascii="Times New Roman" w:hAnsi="Times New Roman"/>
        </w:rPr>
        <w:t>. Both the host- and virus-optimal state results are shown</w:t>
      </w:r>
      <w:r w:rsidR="00796647">
        <w:rPr>
          <w:rFonts w:ascii="Times New Roman" w:hAnsi="Times New Roman"/>
        </w:rPr>
        <w:t xml:space="preserve">. </w:t>
      </w:r>
      <w:r w:rsidR="004916B2">
        <w:rPr>
          <w:rFonts w:ascii="Times New Roman" w:hAnsi="Times New Roman"/>
        </w:rPr>
        <w:t>Model reactions, model subsystems and the associated aggregated subsystems are also detailed.</w:t>
      </w:r>
    </w:p>
    <w:p w14:paraId="1DC1BCAB" w14:textId="77777777" w:rsidR="00B70FDF" w:rsidRDefault="00B70FDF" w:rsidP="00A30DF1">
      <w:pPr>
        <w:spacing w:line="480" w:lineRule="auto"/>
        <w:jc w:val="both"/>
        <w:rPr>
          <w:rFonts w:ascii="Times New Roman" w:hAnsi="Times New Roman"/>
          <w:b/>
        </w:rPr>
      </w:pPr>
    </w:p>
    <w:p w14:paraId="2C6F9CB7" w14:textId="45FF9EEB" w:rsidR="00B70FDF" w:rsidRPr="00904AC8" w:rsidRDefault="00B70FDF" w:rsidP="00A30DF1">
      <w:pPr>
        <w:spacing w:line="480" w:lineRule="auto"/>
        <w:jc w:val="both"/>
        <w:rPr>
          <w:rFonts w:ascii="Times New Roman" w:hAnsi="Times New Roman"/>
        </w:rPr>
      </w:pPr>
      <w:r>
        <w:rPr>
          <w:rFonts w:ascii="Times New Roman" w:hAnsi="Times New Roman"/>
          <w:b/>
        </w:rPr>
        <w:t>Supplementary File S3.</w:t>
      </w:r>
      <w:r w:rsidR="00904AC8">
        <w:rPr>
          <w:rFonts w:ascii="Times New Roman" w:hAnsi="Times New Roman"/>
          <w:b/>
        </w:rPr>
        <w:t xml:space="preserve"> </w:t>
      </w:r>
      <w:r w:rsidR="00904AC8">
        <w:rPr>
          <w:rFonts w:ascii="Times New Roman" w:hAnsi="Times New Roman"/>
        </w:rPr>
        <w:t>Results for the reaction knockout and host-derived enforcement analyses. Model reactions and model subsystems are listed. The resulting virus optima, for CHIKV, DENV and ZIKV, are shown as a percentage of the original model (without the additional constraints imposed by the analyses). The lower and upper flux bounds used for the host-derived enforcement analysis are listed for the relevant reaction and associated virus optimisation result.</w:t>
      </w:r>
    </w:p>
    <w:p w14:paraId="691D35D6" w14:textId="77777777" w:rsidR="00B70FDF" w:rsidRDefault="00B70FDF" w:rsidP="00A30DF1">
      <w:pPr>
        <w:spacing w:line="480" w:lineRule="auto"/>
        <w:jc w:val="both"/>
        <w:rPr>
          <w:rFonts w:ascii="Times New Roman" w:hAnsi="Times New Roman"/>
          <w:b/>
        </w:rPr>
      </w:pPr>
    </w:p>
    <w:p w14:paraId="49EA3057" w14:textId="05DE4BE6" w:rsidR="00B70FDF" w:rsidRPr="008B549B" w:rsidRDefault="00B70FDF" w:rsidP="00A30DF1">
      <w:pPr>
        <w:spacing w:line="480" w:lineRule="auto"/>
        <w:jc w:val="both"/>
        <w:rPr>
          <w:rFonts w:ascii="Times New Roman" w:hAnsi="Times New Roman"/>
        </w:rPr>
      </w:pPr>
      <w:r>
        <w:rPr>
          <w:rFonts w:ascii="Times New Roman" w:hAnsi="Times New Roman"/>
          <w:b/>
        </w:rPr>
        <w:t>Supplementary File S4.</w:t>
      </w:r>
      <w:r w:rsidR="008B549B">
        <w:rPr>
          <w:rFonts w:ascii="Times New Roman" w:hAnsi="Times New Roman"/>
          <w:b/>
        </w:rPr>
        <w:t xml:space="preserve"> </w:t>
      </w:r>
      <w:r w:rsidR="008B549B">
        <w:rPr>
          <w:rFonts w:ascii="Times New Roman" w:hAnsi="Times New Roman"/>
        </w:rPr>
        <w:t>A list of model reactions identified from the host-enforcement analysis that are able to reduce one of the three viruses, CHIKV, DENV and ZIKV, to below 80% of the original virus optima in the original model (without additional constraints). Inhibitors are list</w:t>
      </w:r>
      <w:r w:rsidR="008B0183">
        <w:rPr>
          <w:rFonts w:ascii="Times New Roman" w:hAnsi="Times New Roman"/>
        </w:rPr>
        <w:t>ed for the respective reactions</w:t>
      </w:r>
      <w:r w:rsidR="008B549B">
        <w:rPr>
          <w:rFonts w:ascii="Times New Roman" w:hAnsi="Times New Roman"/>
        </w:rPr>
        <w:t xml:space="preserve"> and were identified through the Brenda Enzymatic Database via the Enzyme Commission Number associated with the reaction.</w:t>
      </w:r>
    </w:p>
    <w:p w14:paraId="0BE0CB57" w14:textId="77777777" w:rsidR="008B0183" w:rsidRDefault="008B0183" w:rsidP="00A30DF1">
      <w:pPr>
        <w:spacing w:line="480" w:lineRule="auto"/>
        <w:jc w:val="both"/>
        <w:rPr>
          <w:rFonts w:ascii="Times New Roman" w:hAnsi="Times New Roman"/>
          <w:b/>
        </w:rPr>
      </w:pPr>
    </w:p>
    <w:p w14:paraId="2D10EF51" w14:textId="72619D87" w:rsidR="00B70FDF" w:rsidRPr="00F93644" w:rsidRDefault="00F93644" w:rsidP="00A30DF1">
      <w:pPr>
        <w:spacing w:line="480" w:lineRule="auto"/>
        <w:jc w:val="both"/>
        <w:rPr>
          <w:rFonts w:ascii="Times New Roman" w:hAnsi="Times New Roman"/>
        </w:rPr>
      </w:pPr>
      <w:r>
        <w:rPr>
          <w:rFonts w:ascii="Times New Roman" w:hAnsi="Times New Roman"/>
          <w:b/>
        </w:rPr>
        <w:t xml:space="preserve">Supplementary File S5. </w:t>
      </w:r>
      <w:r w:rsidR="005A7003" w:rsidRPr="005A7003">
        <w:rPr>
          <w:rFonts w:ascii="Times New Roman" w:hAnsi="Times New Roman"/>
        </w:rPr>
        <w:t>Summary of r</w:t>
      </w:r>
      <w:r w:rsidRPr="005A7003">
        <w:rPr>
          <w:rFonts w:ascii="Times New Roman" w:hAnsi="Times New Roman"/>
        </w:rPr>
        <w:t xml:space="preserve">esults </w:t>
      </w:r>
      <w:r>
        <w:rPr>
          <w:rFonts w:ascii="Times New Roman" w:hAnsi="Times New Roman"/>
        </w:rPr>
        <w:t>for the host-derived enforcement analysis for different conditions: altered media condition</w:t>
      </w:r>
      <w:r w:rsidR="00A82246">
        <w:rPr>
          <w:rFonts w:ascii="Times New Roman" w:hAnsi="Times New Roman"/>
        </w:rPr>
        <w:t>s; virus genome point mutations</w:t>
      </w:r>
      <w:r>
        <w:rPr>
          <w:rFonts w:ascii="Times New Roman" w:hAnsi="Times New Roman"/>
        </w:rPr>
        <w:t xml:space="preserve">; virus biomass </w:t>
      </w:r>
      <w:r>
        <w:rPr>
          <w:rFonts w:ascii="Times New Roman" w:hAnsi="Times New Roman"/>
        </w:rPr>
        <w:lastRenderedPageBreak/>
        <w:t xml:space="preserve">objective function randomised stoichiometric coefficients. Reactions are selected when they are able to reduce </w:t>
      </w:r>
      <w:r w:rsidR="003D4E4C">
        <w:rPr>
          <w:rFonts w:ascii="Times New Roman" w:hAnsi="Times New Roman"/>
        </w:rPr>
        <w:t>virus optima</w:t>
      </w:r>
      <w:r>
        <w:rPr>
          <w:rFonts w:ascii="Times New Roman" w:hAnsi="Times New Roman"/>
        </w:rPr>
        <w:t xml:space="preserve"> to below 95% of the original virus optima in the original model (without additional </w:t>
      </w:r>
      <w:r w:rsidR="007F6018">
        <w:rPr>
          <w:rFonts w:ascii="Times New Roman" w:hAnsi="Times New Roman"/>
        </w:rPr>
        <w:t>constraints</w:t>
      </w:r>
      <w:r>
        <w:rPr>
          <w:rFonts w:ascii="Times New Roman" w:hAnsi="Times New Roman"/>
        </w:rPr>
        <w:t xml:space="preserve">). </w:t>
      </w:r>
    </w:p>
    <w:p w14:paraId="06E7F5EC" w14:textId="3DD2EF03" w:rsidR="00B70FDF" w:rsidRDefault="00B70FDF" w:rsidP="00A30DF1">
      <w:pPr>
        <w:spacing w:line="480" w:lineRule="auto"/>
        <w:jc w:val="both"/>
        <w:rPr>
          <w:rFonts w:ascii="Times New Roman" w:hAnsi="Times New Roman"/>
          <w:b/>
        </w:rPr>
      </w:pPr>
    </w:p>
    <w:p w14:paraId="731DDFAC" w14:textId="0897E7BD" w:rsidR="000D2826" w:rsidRDefault="00617018" w:rsidP="00617018">
      <w:pPr>
        <w:spacing w:line="480" w:lineRule="auto"/>
        <w:jc w:val="both"/>
        <w:rPr>
          <w:rFonts w:ascii="Times New Roman" w:hAnsi="Times New Roman"/>
        </w:rPr>
      </w:pPr>
      <w:r>
        <w:rPr>
          <w:rFonts w:ascii="Times New Roman" w:hAnsi="Times New Roman"/>
          <w:b/>
        </w:rPr>
        <w:t>Supplementary Fi</w:t>
      </w:r>
      <w:r w:rsidR="009F58EE">
        <w:rPr>
          <w:rFonts w:ascii="Times New Roman" w:hAnsi="Times New Roman"/>
          <w:b/>
        </w:rPr>
        <w:t>le S6</w:t>
      </w:r>
      <w:r>
        <w:rPr>
          <w:rFonts w:ascii="Times New Roman" w:hAnsi="Times New Roman"/>
          <w:b/>
        </w:rPr>
        <w:t xml:space="preserve">. </w:t>
      </w:r>
      <w:r>
        <w:rPr>
          <w:rFonts w:ascii="Times New Roman" w:hAnsi="Times New Roman"/>
        </w:rPr>
        <w:t>Results from the</w:t>
      </w:r>
      <w:r w:rsidRPr="00F57D9A">
        <w:rPr>
          <w:rFonts w:ascii="Times New Roman" w:hAnsi="Times New Roman"/>
          <w:i/>
        </w:rPr>
        <w:t xml:space="preserve"> </w:t>
      </w:r>
      <w:r w:rsidR="003D4E4C" w:rsidRPr="00F57D9A">
        <w:rPr>
          <w:rFonts w:ascii="Times New Roman" w:hAnsi="Times New Roman"/>
          <w:i/>
        </w:rPr>
        <w:t>in-silico</w:t>
      </w:r>
      <w:r w:rsidR="002520BC">
        <w:rPr>
          <w:rFonts w:ascii="Times New Roman" w:hAnsi="Times New Roman"/>
        </w:rPr>
        <w:t xml:space="preserve"> media variation</w:t>
      </w:r>
      <w:r>
        <w:rPr>
          <w:rFonts w:ascii="Times New Roman" w:hAnsi="Times New Roman"/>
        </w:rPr>
        <w:t xml:space="preserve"> sensitivity analyses to evaluate the effectiveness of the host-derived enforcement antiviral targets </w:t>
      </w:r>
      <w:r w:rsidR="002520BC">
        <w:rPr>
          <w:rFonts w:ascii="Times New Roman" w:hAnsi="Times New Roman"/>
        </w:rPr>
        <w:t xml:space="preserve">over a range of varied media compositions </w:t>
      </w:r>
      <w:r>
        <w:rPr>
          <w:rFonts w:ascii="Times New Roman" w:hAnsi="Times New Roman"/>
        </w:rPr>
        <w:t xml:space="preserve">for CHIKV, DENV and ZIKV viruses. </w:t>
      </w:r>
    </w:p>
    <w:p w14:paraId="46A1EAC4" w14:textId="4CB84861" w:rsidR="00A82246" w:rsidRDefault="00A82246" w:rsidP="00617018">
      <w:pPr>
        <w:spacing w:line="480" w:lineRule="auto"/>
        <w:jc w:val="both"/>
        <w:rPr>
          <w:rFonts w:ascii="Times New Roman" w:hAnsi="Times New Roman"/>
        </w:rPr>
      </w:pPr>
    </w:p>
    <w:p w14:paraId="54BD8FA6" w14:textId="7F184DB6" w:rsidR="00A82246" w:rsidRDefault="00A82246" w:rsidP="00617018">
      <w:pPr>
        <w:spacing w:line="480" w:lineRule="auto"/>
        <w:jc w:val="both"/>
        <w:rPr>
          <w:rFonts w:ascii="Times New Roman" w:hAnsi="Times New Roman"/>
        </w:rPr>
      </w:pPr>
      <w:r w:rsidRPr="00A82246">
        <w:rPr>
          <w:rFonts w:ascii="Times New Roman" w:hAnsi="Times New Roman"/>
          <w:b/>
        </w:rPr>
        <w:t>Supplementary File S7.</w:t>
      </w:r>
      <w:r>
        <w:rPr>
          <w:rFonts w:ascii="Times New Roman" w:hAnsi="Times New Roman"/>
        </w:rPr>
        <w:t xml:space="preserve"> </w:t>
      </w:r>
      <w:r w:rsidR="008A00D9">
        <w:rPr>
          <w:rFonts w:ascii="Times New Roman" w:hAnsi="Times New Roman"/>
        </w:rPr>
        <w:t>Results from the mutation-based sensitivity analyses to evaluate the effectiveness of the host-derived enforcement antiviral targets for mutated CHIKV, DENV and ZIKV viruses.</w:t>
      </w:r>
    </w:p>
    <w:p w14:paraId="78B9E0E0" w14:textId="77777777" w:rsidR="00420653" w:rsidRDefault="00420653" w:rsidP="00617018">
      <w:pPr>
        <w:spacing w:line="480" w:lineRule="auto"/>
        <w:jc w:val="both"/>
        <w:rPr>
          <w:rFonts w:ascii="Times New Roman" w:hAnsi="Times New Roman"/>
        </w:rPr>
      </w:pPr>
    </w:p>
    <w:p w14:paraId="2D56EB46" w14:textId="1357D7C7" w:rsidR="00AD1331" w:rsidRDefault="00420653" w:rsidP="00AD1331">
      <w:pPr>
        <w:spacing w:line="480" w:lineRule="auto"/>
        <w:jc w:val="both"/>
        <w:rPr>
          <w:rFonts w:ascii="Times New Roman" w:eastAsiaTheme="minorEastAsia" w:hAnsi="Times New Roman"/>
          <w:b/>
        </w:rPr>
      </w:pPr>
      <w:r w:rsidRPr="005D1728">
        <w:rPr>
          <w:rFonts w:ascii="Times New Roman" w:hAnsi="Times New Roman"/>
          <w:b/>
        </w:rPr>
        <w:t>Supplementa</w:t>
      </w:r>
      <w:r w:rsidR="005A7003">
        <w:rPr>
          <w:rFonts w:ascii="Times New Roman" w:hAnsi="Times New Roman"/>
          <w:b/>
        </w:rPr>
        <w:t>ry File S8</w:t>
      </w:r>
      <w:r w:rsidRPr="005D1728">
        <w:rPr>
          <w:rFonts w:ascii="Times New Roman" w:hAnsi="Times New Roman"/>
          <w:b/>
        </w:rPr>
        <w:t xml:space="preserve">. </w:t>
      </w:r>
      <w:r w:rsidRPr="005D1728">
        <w:rPr>
          <w:rFonts w:ascii="Times New Roman" w:hAnsi="Times New Roman"/>
        </w:rPr>
        <w:t xml:space="preserve">Results from the one-way ANOVA and </w:t>
      </w:r>
      <w:proofErr w:type="spellStart"/>
      <w:r w:rsidRPr="005D1728">
        <w:rPr>
          <w:rFonts w:ascii="Times New Roman" w:hAnsi="Times New Roman"/>
        </w:rPr>
        <w:t>tu</w:t>
      </w:r>
      <w:r w:rsidR="005D1728" w:rsidRPr="005D1728">
        <w:rPr>
          <w:rFonts w:ascii="Times New Roman" w:hAnsi="Times New Roman"/>
        </w:rPr>
        <w:t>key</w:t>
      </w:r>
      <w:proofErr w:type="spellEnd"/>
      <w:r w:rsidR="005D1728" w:rsidRPr="005D1728">
        <w:rPr>
          <w:rFonts w:ascii="Times New Roman" w:hAnsi="Times New Roman"/>
        </w:rPr>
        <w:t xml:space="preserve"> HSD tests on the effect of </w:t>
      </w:r>
      <w:r w:rsidRPr="005D1728">
        <w:rPr>
          <w:rFonts w:ascii="Times New Roman" w:hAnsi="Times New Roman"/>
        </w:rPr>
        <w:t>host-derived enforcements across point and randomised mutation conditions for CHIKV, DENV and ZIKV. Chikungunya virus, CHIKV; Dengue virus, DENV</w:t>
      </w:r>
      <w:r w:rsidR="00FC3C7D" w:rsidRPr="005D1728">
        <w:rPr>
          <w:rFonts w:ascii="Times New Roman" w:hAnsi="Times New Roman"/>
        </w:rPr>
        <w:t>; Zika virus, ZIKV.</w:t>
      </w:r>
    </w:p>
    <w:p w14:paraId="2913935F" w14:textId="77777777" w:rsidR="00522C64" w:rsidRDefault="00522C64">
      <w:pPr>
        <w:rPr>
          <w:rFonts w:ascii="Times New Roman" w:eastAsiaTheme="minorEastAsia" w:hAnsi="Times New Roman"/>
          <w:b/>
        </w:rPr>
      </w:pPr>
    </w:p>
    <w:p w14:paraId="25103E65" w14:textId="77777777" w:rsidR="00522C64" w:rsidRDefault="00522C64" w:rsidP="00522C64">
      <w:pPr>
        <w:spacing w:line="480" w:lineRule="auto"/>
        <w:jc w:val="both"/>
        <w:rPr>
          <w:rFonts w:ascii="Times New Roman" w:hAnsi="Times New Roman"/>
        </w:rPr>
      </w:pPr>
      <w:r w:rsidRPr="00AA3397">
        <w:rPr>
          <w:rFonts w:ascii="Times New Roman" w:eastAsiaTheme="minorEastAsia" w:hAnsi="Times New Roman"/>
          <w:b/>
          <w:highlight w:val="yellow"/>
        </w:rPr>
        <w:t xml:space="preserve">Supplementary File S9. </w:t>
      </w:r>
      <w:r w:rsidRPr="00AA3397">
        <w:rPr>
          <w:rFonts w:ascii="Times New Roman" w:eastAsiaTheme="minorEastAsia" w:hAnsi="Times New Roman"/>
          <w:highlight w:val="yellow"/>
        </w:rPr>
        <w:t xml:space="preserve">Results from the comparison of gene expression data and the </w:t>
      </w:r>
      <w:r w:rsidRPr="00AA3397">
        <w:rPr>
          <w:rFonts w:ascii="Times New Roman" w:eastAsiaTheme="minorEastAsia" w:hAnsi="Times New Roman"/>
          <w:i/>
          <w:highlight w:val="yellow"/>
        </w:rPr>
        <w:t>in silico</w:t>
      </w:r>
      <w:r w:rsidRPr="00AA3397">
        <w:rPr>
          <w:rFonts w:ascii="Times New Roman" w:eastAsiaTheme="minorEastAsia" w:hAnsi="Times New Roman"/>
          <w:highlight w:val="yellow"/>
        </w:rPr>
        <w:t xml:space="preserve"> model predictions, for CHIKV, DENV and ZIKV viral infections. </w:t>
      </w:r>
      <w:r w:rsidRPr="00AA3397">
        <w:rPr>
          <w:rFonts w:ascii="Times New Roman" w:hAnsi="Times New Roman"/>
          <w:highlight w:val="yellow"/>
        </w:rPr>
        <w:t>Chikungunya virus, CHIKV; Dengue virus, DENV; Zika virus, ZIKV.</w:t>
      </w:r>
    </w:p>
    <w:p w14:paraId="23DD0915" w14:textId="77777777" w:rsidR="0044612F" w:rsidRDefault="0044612F" w:rsidP="00522C64">
      <w:pPr>
        <w:spacing w:line="480" w:lineRule="auto"/>
        <w:jc w:val="both"/>
        <w:rPr>
          <w:rFonts w:ascii="Times New Roman" w:hAnsi="Times New Roman"/>
        </w:rPr>
      </w:pPr>
    </w:p>
    <w:p w14:paraId="20948DE5" w14:textId="77777777" w:rsidR="0044612F" w:rsidRPr="0044612F" w:rsidRDefault="0044612F" w:rsidP="0044612F">
      <w:pPr>
        <w:spacing w:line="480" w:lineRule="auto"/>
        <w:jc w:val="both"/>
        <w:rPr>
          <w:rFonts w:ascii="Times New Roman" w:eastAsiaTheme="minorEastAsia" w:hAnsi="Times New Roman"/>
          <w:b/>
          <w:lang w:val="en-US"/>
        </w:rPr>
      </w:pPr>
      <w:r w:rsidRPr="0044612F">
        <w:rPr>
          <w:rFonts w:ascii="Times New Roman" w:eastAsiaTheme="minorEastAsia" w:hAnsi="Times New Roman"/>
          <w:b/>
          <w:bCs/>
          <w:highlight w:val="yellow"/>
          <w:lang w:val="en-US"/>
        </w:rPr>
        <w:t>Supplementary File S10</w:t>
      </w:r>
      <w:r w:rsidRPr="0044612F">
        <w:rPr>
          <w:rFonts w:ascii="Times New Roman" w:eastAsiaTheme="minorEastAsia" w:hAnsi="Times New Roman"/>
          <w:b/>
          <w:highlight w:val="yellow"/>
          <w:lang w:val="en-US"/>
        </w:rPr>
        <w:t xml:space="preserve">. </w:t>
      </w:r>
      <w:r w:rsidRPr="0044612F">
        <w:rPr>
          <w:rFonts w:ascii="Times New Roman" w:eastAsiaTheme="minorEastAsia" w:hAnsi="Times New Roman"/>
          <w:highlight w:val="yellow"/>
          <w:lang w:val="en-US"/>
        </w:rPr>
        <w:t xml:space="preserve">Results from the literature analysis of antiviral compounds with metabolic targets (reactions). Compound names and descriptions are provided, as identified from the literature (references column). Targets are described in terms of the metabolic pathway and reaction they target (along with the reaction abbreviation from the metabolic model for the aforementioned reaction). Where identifiable, virus taxonomy is defined </w:t>
      </w:r>
      <w:r w:rsidRPr="0044612F">
        <w:rPr>
          <w:rFonts w:ascii="Times New Roman" w:eastAsiaTheme="minorEastAsia" w:hAnsi="Times New Roman"/>
          <w:highlight w:val="yellow"/>
          <w:lang w:val="en-US"/>
        </w:rPr>
        <w:lastRenderedPageBreak/>
        <w:t>(species, genera and family), genomic material type (RNA) and genome sense (positive [+] or negative [-]) are shown.</w:t>
      </w:r>
    </w:p>
    <w:p w14:paraId="71B233E8" w14:textId="77777777" w:rsidR="0044612F" w:rsidRDefault="0044612F" w:rsidP="00522C64">
      <w:pPr>
        <w:spacing w:line="480" w:lineRule="auto"/>
        <w:jc w:val="both"/>
        <w:rPr>
          <w:rFonts w:ascii="Times New Roman" w:eastAsiaTheme="minorEastAsia" w:hAnsi="Times New Roman"/>
          <w:b/>
        </w:rPr>
      </w:pPr>
    </w:p>
    <w:p w14:paraId="724F2EF8" w14:textId="7B228E18" w:rsidR="000206E1" w:rsidRDefault="000206E1">
      <w:pPr>
        <w:rPr>
          <w:rFonts w:ascii="Times New Roman" w:eastAsiaTheme="minorEastAsia" w:hAnsi="Times New Roman"/>
          <w:b/>
        </w:rPr>
      </w:pPr>
      <w:r>
        <w:rPr>
          <w:rFonts w:ascii="Times New Roman" w:eastAsiaTheme="minorEastAsia" w:hAnsi="Times New Roman"/>
          <w:b/>
        </w:rPr>
        <w:br w:type="page"/>
      </w:r>
    </w:p>
    <w:p w14:paraId="1EBF9786" w14:textId="19587A0E" w:rsidR="00A60134" w:rsidRPr="005D1728" w:rsidRDefault="00AD1331" w:rsidP="005D1728">
      <w:pPr>
        <w:spacing w:line="480" w:lineRule="auto"/>
        <w:jc w:val="both"/>
        <w:rPr>
          <w:rFonts w:ascii="Times New Roman" w:hAnsi="Times New Roman"/>
          <w:b/>
        </w:rPr>
      </w:pPr>
      <w:r>
        <w:rPr>
          <w:rFonts w:ascii="Times New Roman" w:eastAsiaTheme="minorEastAsia" w:hAnsi="Times New Roman"/>
          <w:b/>
        </w:rPr>
        <w:lastRenderedPageBreak/>
        <w:t>5. REFERENCES</w:t>
      </w:r>
    </w:p>
    <w:p w14:paraId="15689220" w14:textId="77777777" w:rsidR="00A60134" w:rsidRPr="005B0577" w:rsidRDefault="00A60134">
      <w:pPr>
        <w:rPr>
          <w:rFonts w:ascii="Times" w:eastAsiaTheme="minorHAnsi" w:hAnsi="Times" w:cstheme="minorBidi"/>
          <w:b/>
        </w:rPr>
      </w:pPr>
    </w:p>
    <w:p w14:paraId="744C4335"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5B0577">
        <w:rPr>
          <w:rFonts w:ascii="Times" w:eastAsiaTheme="minorHAnsi" w:hAnsi="Times" w:cs="Helvetica"/>
        </w:rPr>
        <w:t>1.</w:t>
      </w:r>
      <w:r w:rsidRPr="005B0577">
        <w:rPr>
          <w:rFonts w:ascii="Times" w:eastAsiaTheme="minorHAnsi" w:hAnsi="Times" w:cs="Helvetica"/>
        </w:rPr>
        <w:tab/>
      </w:r>
      <w:r w:rsidRPr="00B3538D">
        <w:rPr>
          <w:rFonts w:ascii="Times New Roman" w:eastAsiaTheme="minorHAnsi" w:hAnsi="Times New Roman"/>
        </w:rPr>
        <w:t xml:space="preserve">Littler, E. &amp; Oberg, B. 2005 Achievements and challenges in antiviral drug discovery. </w:t>
      </w:r>
      <w:proofErr w:type="spellStart"/>
      <w:r w:rsidRPr="00B3538D">
        <w:rPr>
          <w:rFonts w:ascii="Times New Roman" w:eastAsiaTheme="minorHAnsi" w:hAnsi="Times New Roman"/>
          <w:i/>
          <w:iCs/>
        </w:rPr>
        <w:t>Antivir</w:t>
      </w:r>
      <w:proofErr w:type="spellEnd"/>
      <w:r w:rsidRPr="00B3538D">
        <w:rPr>
          <w:rFonts w:ascii="Times New Roman" w:eastAsiaTheme="minorHAnsi" w:hAnsi="Times New Roman"/>
          <w:i/>
          <w:iCs/>
        </w:rPr>
        <w:t xml:space="preserve">. Chem. </w:t>
      </w:r>
      <w:proofErr w:type="spellStart"/>
      <w:r w:rsidRPr="00B3538D">
        <w:rPr>
          <w:rFonts w:ascii="Times New Roman" w:eastAsiaTheme="minorHAnsi" w:hAnsi="Times New Roman"/>
          <w:i/>
          <w:iCs/>
        </w:rPr>
        <w:t>Chemother</w:t>
      </w:r>
      <w:proofErr w:type="spellEnd"/>
      <w:r w:rsidRPr="00B3538D">
        <w:rPr>
          <w:rFonts w:ascii="Times New Roman" w:eastAsiaTheme="minorHAnsi" w:hAnsi="Times New Roman"/>
          <w:i/>
          <w:iCs/>
        </w:rPr>
        <w:t>.</w:t>
      </w:r>
      <w:r w:rsidRPr="00B3538D">
        <w:rPr>
          <w:rFonts w:ascii="Times New Roman" w:eastAsiaTheme="minorHAnsi" w:hAnsi="Times New Roman"/>
        </w:rPr>
        <w:t xml:space="preserve"> </w:t>
      </w:r>
      <w:r w:rsidRPr="00B3538D">
        <w:rPr>
          <w:rFonts w:ascii="Times New Roman" w:eastAsiaTheme="minorHAnsi" w:hAnsi="Times New Roman"/>
          <w:bCs/>
        </w:rPr>
        <w:t>16</w:t>
      </w:r>
      <w:r w:rsidRPr="00B3538D">
        <w:rPr>
          <w:rFonts w:ascii="Times New Roman" w:eastAsiaTheme="minorHAnsi" w:hAnsi="Times New Roman"/>
        </w:rPr>
        <w:t>, 155–168. (doi:10.1177/095632020501600302)</w:t>
      </w:r>
    </w:p>
    <w:p w14:paraId="2CBB3C05"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2.</w:t>
      </w:r>
      <w:r w:rsidRPr="00B3538D">
        <w:rPr>
          <w:rFonts w:ascii="Times New Roman" w:eastAsiaTheme="minorHAnsi" w:hAnsi="Times New Roman"/>
        </w:rPr>
        <w:tab/>
      </w:r>
      <w:proofErr w:type="spellStart"/>
      <w:r w:rsidRPr="00B3538D">
        <w:rPr>
          <w:rFonts w:ascii="Times New Roman" w:eastAsiaTheme="minorHAnsi" w:hAnsi="Times New Roman"/>
        </w:rPr>
        <w:t>Mlakar</w:t>
      </w:r>
      <w:proofErr w:type="spellEnd"/>
      <w:r w:rsidRPr="00B3538D">
        <w:rPr>
          <w:rFonts w:ascii="Times New Roman" w:eastAsiaTheme="minorHAnsi" w:hAnsi="Times New Roman"/>
        </w:rPr>
        <w:t xml:space="preserve">, J. et al. 2016 Zika Virus Associated with Microcephaly. </w:t>
      </w:r>
      <w:r w:rsidRPr="00B3538D">
        <w:rPr>
          <w:rFonts w:ascii="Times New Roman" w:eastAsiaTheme="minorHAnsi" w:hAnsi="Times New Roman"/>
          <w:i/>
          <w:iCs/>
        </w:rPr>
        <w:t>N. Engl. J. Med.</w:t>
      </w:r>
      <w:r w:rsidRPr="00B3538D">
        <w:rPr>
          <w:rFonts w:ascii="Times New Roman" w:eastAsiaTheme="minorHAnsi" w:hAnsi="Times New Roman"/>
        </w:rPr>
        <w:t xml:space="preserve"> </w:t>
      </w:r>
      <w:r w:rsidRPr="00B3538D">
        <w:rPr>
          <w:rFonts w:ascii="Times New Roman" w:eastAsiaTheme="minorHAnsi" w:hAnsi="Times New Roman"/>
          <w:bCs/>
        </w:rPr>
        <w:t>374</w:t>
      </w:r>
      <w:r w:rsidRPr="00B3538D">
        <w:rPr>
          <w:rFonts w:ascii="Times New Roman" w:eastAsiaTheme="minorHAnsi" w:hAnsi="Times New Roman"/>
        </w:rPr>
        <w:t>, 951–958. (doi:10.1056/NEJMoa1600651)</w:t>
      </w:r>
    </w:p>
    <w:p w14:paraId="25FA57B8"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3.</w:t>
      </w:r>
      <w:r w:rsidRPr="00B3538D">
        <w:rPr>
          <w:rFonts w:ascii="Times New Roman" w:eastAsiaTheme="minorHAnsi" w:hAnsi="Times New Roman"/>
        </w:rPr>
        <w:tab/>
      </w:r>
      <w:proofErr w:type="spellStart"/>
      <w:r w:rsidRPr="00B3538D">
        <w:rPr>
          <w:rFonts w:ascii="Times New Roman" w:eastAsiaTheme="minorHAnsi" w:hAnsi="Times New Roman"/>
        </w:rPr>
        <w:t>Kotzamanis</w:t>
      </w:r>
      <w:proofErr w:type="spellEnd"/>
      <w:r w:rsidRPr="00B3538D">
        <w:rPr>
          <w:rFonts w:ascii="Times New Roman" w:eastAsiaTheme="minorHAnsi" w:hAnsi="Times New Roman"/>
        </w:rPr>
        <w:t xml:space="preserve">, K., Angulo, A. &amp; Ghazal, P. 2015 Infection homeostasis: implications for therapeutic and immune programming of metabolism in controlling infection. </w:t>
      </w:r>
      <w:r w:rsidRPr="00B3538D">
        <w:rPr>
          <w:rFonts w:ascii="Times New Roman" w:eastAsiaTheme="minorHAnsi" w:hAnsi="Times New Roman"/>
          <w:i/>
          <w:iCs/>
        </w:rPr>
        <w:t xml:space="preserve">Med. </w:t>
      </w:r>
      <w:proofErr w:type="spellStart"/>
      <w:r w:rsidRPr="00B3538D">
        <w:rPr>
          <w:rFonts w:ascii="Times New Roman" w:eastAsiaTheme="minorHAnsi" w:hAnsi="Times New Roman"/>
          <w:i/>
          <w:iCs/>
        </w:rPr>
        <w:t>Microbiol</w:t>
      </w:r>
      <w:proofErr w:type="spellEnd"/>
      <w:r w:rsidRPr="00B3538D">
        <w:rPr>
          <w:rFonts w:ascii="Times New Roman" w:eastAsiaTheme="minorHAnsi" w:hAnsi="Times New Roman"/>
          <w:i/>
          <w:iCs/>
        </w:rPr>
        <w:t>. Immunol.</w:t>
      </w:r>
      <w:r w:rsidRPr="00B3538D">
        <w:rPr>
          <w:rFonts w:ascii="Times New Roman" w:eastAsiaTheme="minorHAnsi" w:hAnsi="Times New Roman"/>
        </w:rPr>
        <w:t xml:space="preserve"> </w:t>
      </w:r>
      <w:r w:rsidRPr="00B3538D">
        <w:rPr>
          <w:rFonts w:ascii="Times New Roman" w:eastAsiaTheme="minorHAnsi" w:hAnsi="Times New Roman"/>
          <w:bCs/>
        </w:rPr>
        <w:t>204</w:t>
      </w:r>
      <w:r w:rsidRPr="00B3538D">
        <w:rPr>
          <w:rFonts w:ascii="Times New Roman" w:eastAsiaTheme="minorHAnsi" w:hAnsi="Times New Roman"/>
        </w:rPr>
        <w:t>, 395–407. (doi:10.1007/s00430-015-0402-5)</w:t>
      </w:r>
    </w:p>
    <w:p w14:paraId="100407C3"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4.</w:t>
      </w:r>
      <w:r w:rsidRPr="00B3538D">
        <w:rPr>
          <w:rFonts w:ascii="Times New Roman" w:eastAsiaTheme="minorHAnsi" w:hAnsi="Times New Roman"/>
        </w:rPr>
        <w:tab/>
        <w:t xml:space="preserve">Maynard, N. D., Birch, E. W., Sanghvi, J. C., Chen, L., </w:t>
      </w:r>
      <w:proofErr w:type="spellStart"/>
      <w:r w:rsidRPr="00B3538D">
        <w:rPr>
          <w:rFonts w:ascii="Times New Roman" w:eastAsiaTheme="minorHAnsi" w:hAnsi="Times New Roman"/>
        </w:rPr>
        <w:t>Gutschow</w:t>
      </w:r>
      <w:proofErr w:type="spellEnd"/>
      <w:r w:rsidRPr="00B3538D">
        <w:rPr>
          <w:rFonts w:ascii="Times New Roman" w:eastAsiaTheme="minorHAnsi" w:hAnsi="Times New Roman"/>
        </w:rPr>
        <w:t xml:space="preserve">, M. V. &amp; Covert, M. W. 2010 A forward-genetic screen and dynamic analysis of lambda phage host-dependencies reveals an extensive interaction network and a new anti-viral strategy. </w:t>
      </w:r>
      <w:proofErr w:type="spellStart"/>
      <w:r w:rsidRPr="00B3538D">
        <w:rPr>
          <w:rFonts w:ascii="Times New Roman" w:eastAsiaTheme="minorHAnsi" w:hAnsi="Times New Roman"/>
          <w:i/>
          <w:iCs/>
        </w:rPr>
        <w:t>PLoS</w:t>
      </w:r>
      <w:proofErr w:type="spellEnd"/>
      <w:r w:rsidRPr="00B3538D">
        <w:rPr>
          <w:rFonts w:ascii="Times New Roman" w:eastAsiaTheme="minorHAnsi" w:hAnsi="Times New Roman"/>
          <w:i/>
          <w:iCs/>
        </w:rPr>
        <w:t xml:space="preserve"> Genet.</w:t>
      </w:r>
      <w:r w:rsidRPr="00B3538D">
        <w:rPr>
          <w:rFonts w:ascii="Times New Roman" w:eastAsiaTheme="minorHAnsi" w:hAnsi="Times New Roman"/>
        </w:rPr>
        <w:t xml:space="preserve"> </w:t>
      </w:r>
      <w:r w:rsidRPr="00B3538D">
        <w:rPr>
          <w:rFonts w:ascii="Times New Roman" w:eastAsiaTheme="minorHAnsi" w:hAnsi="Times New Roman"/>
          <w:bCs/>
        </w:rPr>
        <w:t>6</w:t>
      </w:r>
      <w:r w:rsidRPr="00B3538D">
        <w:rPr>
          <w:rFonts w:ascii="Times New Roman" w:eastAsiaTheme="minorHAnsi" w:hAnsi="Times New Roman"/>
        </w:rPr>
        <w:t>, e1001017. (doi:10.1371/journal.pgen.1001017)</w:t>
      </w:r>
    </w:p>
    <w:p w14:paraId="05AA761F"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5.</w:t>
      </w:r>
      <w:r w:rsidRPr="00B3538D">
        <w:rPr>
          <w:rFonts w:ascii="Times New Roman" w:eastAsiaTheme="minorHAnsi" w:hAnsi="Times New Roman"/>
        </w:rPr>
        <w:tab/>
        <w:t xml:space="preserve">Merino-Ramos, T., Vázquez-Calvo, Á., Casas, J., </w:t>
      </w:r>
      <w:proofErr w:type="spellStart"/>
      <w:r w:rsidRPr="00B3538D">
        <w:rPr>
          <w:rFonts w:ascii="Times New Roman" w:eastAsiaTheme="minorHAnsi" w:hAnsi="Times New Roman"/>
        </w:rPr>
        <w:t>Sobrino</w:t>
      </w:r>
      <w:proofErr w:type="spellEnd"/>
      <w:r w:rsidRPr="00B3538D">
        <w:rPr>
          <w:rFonts w:ascii="Times New Roman" w:eastAsiaTheme="minorHAnsi" w:hAnsi="Times New Roman"/>
        </w:rPr>
        <w:t xml:space="preserve">, F., </w:t>
      </w:r>
      <w:proofErr w:type="spellStart"/>
      <w:r w:rsidRPr="00B3538D">
        <w:rPr>
          <w:rFonts w:ascii="Times New Roman" w:eastAsiaTheme="minorHAnsi" w:hAnsi="Times New Roman"/>
        </w:rPr>
        <w:t>Saiz</w:t>
      </w:r>
      <w:proofErr w:type="spellEnd"/>
      <w:r w:rsidRPr="00B3538D">
        <w:rPr>
          <w:rFonts w:ascii="Times New Roman" w:eastAsiaTheme="minorHAnsi" w:hAnsi="Times New Roman"/>
        </w:rPr>
        <w:t>, J.-C. &amp; Martín-</w:t>
      </w:r>
      <w:proofErr w:type="spellStart"/>
      <w:r w:rsidRPr="00B3538D">
        <w:rPr>
          <w:rFonts w:ascii="Times New Roman" w:eastAsiaTheme="minorHAnsi" w:hAnsi="Times New Roman"/>
        </w:rPr>
        <w:t>Acebes</w:t>
      </w:r>
      <w:proofErr w:type="spellEnd"/>
      <w:r w:rsidRPr="00B3538D">
        <w:rPr>
          <w:rFonts w:ascii="Times New Roman" w:eastAsiaTheme="minorHAnsi" w:hAnsi="Times New Roman"/>
        </w:rPr>
        <w:t xml:space="preserve">, M. A. 2015 Modification of the Host Cell Lipid Metabolism Induced by Hypolipidemic Drugs Targeting the Acetyl Coenzyme A Carboxylase Impairs West Nile Virus Replication. </w:t>
      </w:r>
      <w:proofErr w:type="spellStart"/>
      <w:r w:rsidRPr="00B3538D">
        <w:rPr>
          <w:rFonts w:ascii="Times New Roman" w:eastAsiaTheme="minorHAnsi" w:hAnsi="Times New Roman"/>
          <w:i/>
          <w:iCs/>
        </w:rPr>
        <w:t>Antimicrob</w:t>
      </w:r>
      <w:proofErr w:type="spellEnd"/>
      <w:r w:rsidRPr="00B3538D">
        <w:rPr>
          <w:rFonts w:ascii="Times New Roman" w:eastAsiaTheme="minorHAnsi" w:hAnsi="Times New Roman"/>
          <w:i/>
          <w:iCs/>
        </w:rPr>
        <w:t xml:space="preserve">. Agents </w:t>
      </w:r>
      <w:proofErr w:type="spellStart"/>
      <w:r w:rsidRPr="00B3538D">
        <w:rPr>
          <w:rFonts w:ascii="Times New Roman" w:eastAsiaTheme="minorHAnsi" w:hAnsi="Times New Roman"/>
          <w:i/>
          <w:iCs/>
        </w:rPr>
        <w:t>Chemother</w:t>
      </w:r>
      <w:proofErr w:type="spellEnd"/>
      <w:r w:rsidRPr="00B3538D">
        <w:rPr>
          <w:rFonts w:ascii="Times New Roman" w:eastAsiaTheme="minorHAnsi" w:hAnsi="Times New Roman"/>
          <w:i/>
          <w:iCs/>
        </w:rPr>
        <w:t>.</w:t>
      </w:r>
      <w:r w:rsidRPr="00B3538D">
        <w:rPr>
          <w:rFonts w:ascii="Times New Roman" w:eastAsiaTheme="minorHAnsi" w:hAnsi="Times New Roman"/>
        </w:rPr>
        <w:t xml:space="preserve"> </w:t>
      </w:r>
      <w:r w:rsidRPr="00B3538D">
        <w:rPr>
          <w:rFonts w:ascii="Times New Roman" w:eastAsiaTheme="minorHAnsi" w:hAnsi="Times New Roman"/>
          <w:bCs/>
        </w:rPr>
        <w:t>60</w:t>
      </w:r>
      <w:r w:rsidRPr="00B3538D">
        <w:rPr>
          <w:rFonts w:ascii="Times New Roman" w:eastAsiaTheme="minorHAnsi" w:hAnsi="Times New Roman"/>
        </w:rPr>
        <w:t>, 307–315. (doi:10.1128/AAC.01578-15)</w:t>
      </w:r>
    </w:p>
    <w:p w14:paraId="7782322A"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6.</w:t>
      </w:r>
      <w:r w:rsidRPr="00B3538D">
        <w:rPr>
          <w:rFonts w:ascii="Times New Roman" w:eastAsiaTheme="minorHAnsi" w:hAnsi="Times New Roman"/>
        </w:rPr>
        <w:tab/>
        <w:t xml:space="preserve">Zhu, Y., </w:t>
      </w:r>
      <w:proofErr w:type="spellStart"/>
      <w:r w:rsidRPr="00B3538D">
        <w:rPr>
          <w:rFonts w:ascii="Times New Roman" w:eastAsiaTheme="minorHAnsi" w:hAnsi="Times New Roman"/>
        </w:rPr>
        <w:t>Yongky</w:t>
      </w:r>
      <w:proofErr w:type="spellEnd"/>
      <w:r w:rsidRPr="00B3538D">
        <w:rPr>
          <w:rFonts w:ascii="Times New Roman" w:eastAsiaTheme="minorHAnsi" w:hAnsi="Times New Roman"/>
        </w:rPr>
        <w:t xml:space="preserve">, A. &amp; Yin, J. 2009 Growth of an RNA virus in single cells reveals a broad fitness distribution. </w:t>
      </w:r>
      <w:r w:rsidRPr="00B3538D">
        <w:rPr>
          <w:rFonts w:ascii="Times New Roman" w:eastAsiaTheme="minorHAnsi" w:hAnsi="Times New Roman"/>
          <w:i/>
          <w:iCs/>
        </w:rPr>
        <w:t>Virology</w:t>
      </w:r>
      <w:r w:rsidRPr="00B3538D">
        <w:rPr>
          <w:rFonts w:ascii="Times New Roman" w:eastAsiaTheme="minorHAnsi" w:hAnsi="Times New Roman"/>
        </w:rPr>
        <w:t xml:space="preserve"> </w:t>
      </w:r>
      <w:r w:rsidRPr="00B3538D">
        <w:rPr>
          <w:rFonts w:ascii="Times New Roman" w:eastAsiaTheme="minorHAnsi" w:hAnsi="Times New Roman"/>
          <w:bCs/>
        </w:rPr>
        <w:t>385</w:t>
      </w:r>
      <w:r w:rsidRPr="00B3538D">
        <w:rPr>
          <w:rFonts w:ascii="Times New Roman" w:eastAsiaTheme="minorHAnsi" w:hAnsi="Times New Roman"/>
        </w:rPr>
        <w:t>, 39–46. (doi:10.1016/j.virol.2008.10.031)</w:t>
      </w:r>
    </w:p>
    <w:p w14:paraId="58CB6A38"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7.</w:t>
      </w:r>
      <w:r w:rsidRPr="00B3538D">
        <w:rPr>
          <w:rFonts w:ascii="Times New Roman" w:eastAsiaTheme="minorHAnsi" w:hAnsi="Times New Roman"/>
        </w:rPr>
        <w:tab/>
        <w:t xml:space="preserve">Yu, Y., </w:t>
      </w:r>
      <w:proofErr w:type="spellStart"/>
      <w:r w:rsidRPr="00B3538D">
        <w:rPr>
          <w:rFonts w:ascii="Times New Roman" w:eastAsiaTheme="minorHAnsi" w:hAnsi="Times New Roman"/>
        </w:rPr>
        <w:t>Clippinger</w:t>
      </w:r>
      <w:proofErr w:type="spellEnd"/>
      <w:r w:rsidRPr="00B3538D">
        <w:rPr>
          <w:rFonts w:ascii="Times New Roman" w:eastAsiaTheme="minorHAnsi" w:hAnsi="Times New Roman"/>
        </w:rPr>
        <w:t xml:space="preserve">, A. J. &amp; </w:t>
      </w:r>
      <w:proofErr w:type="spellStart"/>
      <w:r w:rsidRPr="00B3538D">
        <w:rPr>
          <w:rFonts w:ascii="Times New Roman" w:eastAsiaTheme="minorHAnsi" w:hAnsi="Times New Roman"/>
        </w:rPr>
        <w:t>Alwine</w:t>
      </w:r>
      <w:proofErr w:type="spellEnd"/>
      <w:r w:rsidRPr="00B3538D">
        <w:rPr>
          <w:rFonts w:ascii="Times New Roman" w:eastAsiaTheme="minorHAnsi" w:hAnsi="Times New Roman"/>
        </w:rPr>
        <w:t xml:space="preserve">, J. C. 2011 Viral effects on metabolism: changes in glucose and glutamine utilization during human cytomegalovirus infection. </w:t>
      </w:r>
      <w:r w:rsidRPr="00B3538D">
        <w:rPr>
          <w:rFonts w:ascii="Times New Roman" w:eastAsiaTheme="minorHAnsi" w:hAnsi="Times New Roman"/>
          <w:i/>
          <w:iCs/>
        </w:rPr>
        <w:t>Trends in Microbiology</w:t>
      </w:r>
      <w:r w:rsidRPr="00B3538D">
        <w:rPr>
          <w:rFonts w:ascii="Times New Roman" w:eastAsiaTheme="minorHAnsi" w:hAnsi="Times New Roman"/>
        </w:rPr>
        <w:t xml:space="preserve"> </w:t>
      </w:r>
      <w:r w:rsidRPr="00B3538D">
        <w:rPr>
          <w:rFonts w:ascii="Times New Roman" w:eastAsiaTheme="minorHAnsi" w:hAnsi="Times New Roman"/>
          <w:bCs/>
        </w:rPr>
        <w:t>19</w:t>
      </w:r>
      <w:r w:rsidRPr="00B3538D">
        <w:rPr>
          <w:rFonts w:ascii="Times New Roman" w:eastAsiaTheme="minorHAnsi" w:hAnsi="Times New Roman"/>
        </w:rPr>
        <w:t>, 360–367. (doi:10.1016/j.tim.2011.04.002)</w:t>
      </w:r>
    </w:p>
    <w:p w14:paraId="0EB6D504"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8.</w:t>
      </w:r>
      <w:r w:rsidRPr="00B3538D">
        <w:rPr>
          <w:rFonts w:ascii="Times New Roman" w:eastAsiaTheme="minorHAnsi" w:hAnsi="Times New Roman"/>
        </w:rPr>
        <w:tab/>
        <w:t xml:space="preserve">El-Bacha, T., Menezes, M. M. T., Azevedo e Silva, M. C., Sola-Penna, M. &amp; Da </w:t>
      </w:r>
      <w:proofErr w:type="spellStart"/>
      <w:r w:rsidRPr="00B3538D">
        <w:rPr>
          <w:rFonts w:ascii="Times New Roman" w:eastAsiaTheme="minorHAnsi" w:hAnsi="Times New Roman"/>
        </w:rPr>
        <w:t>Poian</w:t>
      </w:r>
      <w:proofErr w:type="spellEnd"/>
      <w:r w:rsidRPr="00B3538D">
        <w:rPr>
          <w:rFonts w:ascii="Times New Roman" w:eastAsiaTheme="minorHAnsi" w:hAnsi="Times New Roman"/>
        </w:rPr>
        <w:t xml:space="preserve">, A. T. 2004 </w:t>
      </w:r>
      <w:proofErr w:type="spellStart"/>
      <w:r w:rsidRPr="00B3538D">
        <w:rPr>
          <w:rFonts w:ascii="Times New Roman" w:eastAsiaTheme="minorHAnsi" w:hAnsi="Times New Roman"/>
        </w:rPr>
        <w:t>Mayaro</w:t>
      </w:r>
      <w:proofErr w:type="spellEnd"/>
      <w:r w:rsidRPr="00B3538D">
        <w:rPr>
          <w:rFonts w:ascii="Times New Roman" w:eastAsiaTheme="minorHAnsi" w:hAnsi="Times New Roman"/>
        </w:rPr>
        <w:t xml:space="preserve"> virus infection alters glucose metabolism in cultured cells through activation of the enzyme 6-phosphofructo 1-kinase. </w:t>
      </w:r>
      <w:r w:rsidRPr="00B3538D">
        <w:rPr>
          <w:rFonts w:ascii="Times New Roman" w:eastAsiaTheme="minorHAnsi" w:hAnsi="Times New Roman"/>
          <w:i/>
          <w:iCs/>
        </w:rPr>
        <w:t xml:space="preserve">Mol. Cell. </w:t>
      </w:r>
      <w:proofErr w:type="spellStart"/>
      <w:r w:rsidRPr="00B3538D">
        <w:rPr>
          <w:rFonts w:ascii="Times New Roman" w:eastAsiaTheme="minorHAnsi" w:hAnsi="Times New Roman"/>
          <w:i/>
          <w:iCs/>
        </w:rPr>
        <w:t>Biochem</w:t>
      </w:r>
      <w:proofErr w:type="spellEnd"/>
      <w:r w:rsidRPr="00B3538D">
        <w:rPr>
          <w:rFonts w:ascii="Times New Roman" w:eastAsiaTheme="minorHAnsi" w:hAnsi="Times New Roman"/>
          <w:i/>
          <w:iCs/>
        </w:rPr>
        <w:t>.</w:t>
      </w:r>
      <w:r w:rsidRPr="00B3538D">
        <w:rPr>
          <w:rFonts w:ascii="Times New Roman" w:eastAsiaTheme="minorHAnsi" w:hAnsi="Times New Roman"/>
        </w:rPr>
        <w:t xml:space="preserve"> </w:t>
      </w:r>
      <w:r w:rsidRPr="00B3538D">
        <w:rPr>
          <w:rFonts w:ascii="Times New Roman" w:eastAsiaTheme="minorHAnsi" w:hAnsi="Times New Roman"/>
          <w:bCs/>
        </w:rPr>
        <w:t>266</w:t>
      </w:r>
      <w:r w:rsidRPr="00B3538D">
        <w:rPr>
          <w:rFonts w:ascii="Times New Roman" w:eastAsiaTheme="minorHAnsi" w:hAnsi="Times New Roman"/>
        </w:rPr>
        <w:t xml:space="preserve">, 191–198. </w:t>
      </w:r>
    </w:p>
    <w:p w14:paraId="1716B8CC"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9.</w:t>
      </w:r>
      <w:r w:rsidRPr="00B3538D">
        <w:rPr>
          <w:rFonts w:ascii="Times New Roman" w:eastAsiaTheme="minorHAnsi" w:hAnsi="Times New Roman"/>
        </w:rPr>
        <w:tab/>
        <w:t xml:space="preserve">Jain, R. &amp; Srivastava, R. 2009 Metabolic investigation of host/pathogen interaction using MS2-infected Escherichia coli. </w:t>
      </w:r>
      <w:r w:rsidRPr="00B3538D">
        <w:rPr>
          <w:rFonts w:ascii="Times New Roman" w:eastAsiaTheme="minorHAnsi" w:hAnsi="Times New Roman"/>
          <w:i/>
          <w:iCs/>
        </w:rPr>
        <w:t xml:space="preserve">BMC </w:t>
      </w:r>
      <w:proofErr w:type="spellStart"/>
      <w:r w:rsidRPr="00B3538D">
        <w:rPr>
          <w:rFonts w:ascii="Times New Roman" w:eastAsiaTheme="minorHAnsi" w:hAnsi="Times New Roman"/>
          <w:i/>
          <w:iCs/>
        </w:rPr>
        <w:t>Syst</w:t>
      </w:r>
      <w:proofErr w:type="spellEnd"/>
      <w:r w:rsidRPr="00B3538D">
        <w:rPr>
          <w:rFonts w:ascii="Times New Roman" w:eastAsiaTheme="minorHAnsi" w:hAnsi="Times New Roman"/>
          <w:i/>
          <w:iCs/>
        </w:rPr>
        <w:t xml:space="preserve"> </w:t>
      </w:r>
      <w:proofErr w:type="spellStart"/>
      <w:r w:rsidRPr="00B3538D">
        <w:rPr>
          <w:rFonts w:ascii="Times New Roman" w:eastAsiaTheme="minorHAnsi" w:hAnsi="Times New Roman"/>
          <w:i/>
          <w:iCs/>
        </w:rPr>
        <w:t>Biol</w:t>
      </w:r>
      <w:proofErr w:type="spellEnd"/>
      <w:r w:rsidRPr="00B3538D">
        <w:rPr>
          <w:rFonts w:ascii="Times New Roman" w:eastAsiaTheme="minorHAnsi" w:hAnsi="Times New Roman"/>
        </w:rPr>
        <w:t xml:space="preserve"> </w:t>
      </w:r>
      <w:r w:rsidRPr="00B3538D">
        <w:rPr>
          <w:rFonts w:ascii="Times New Roman" w:eastAsiaTheme="minorHAnsi" w:hAnsi="Times New Roman"/>
          <w:bCs/>
        </w:rPr>
        <w:t>3</w:t>
      </w:r>
      <w:r w:rsidRPr="00B3538D">
        <w:rPr>
          <w:rFonts w:ascii="Times New Roman" w:eastAsiaTheme="minorHAnsi" w:hAnsi="Times New Roman"/>
        </w:rPr>
        <w:t>, 121. (doi:10.1186/1752-0509-3-121)</w:t>
      </w:r>
    </w:p>
    <w:p w14:paraId="5DBC2261"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10.</w:t>
      </w:r>
      <w:r w:rsidRPr="00B3538D">
        <w:rPr>
          <w:rFonts w:ascii="Times New Roman" w:eastAsiaTheme="minorHAnsi" w:hAnsi="Times New Roman"/>
        </w:rPr>
        <w:tab/>
      </w:r>
      <w:proofErr w:type="spellStart"/>
      <w:r w:rsidRPr="00B3538D">
        <w:rPr>
          <w:rFonts w:ascii="Times New Roman" w:eastAsiaTheme="minorHAnsi" w:hAnsi="Times New Roman"/>
        </w:rPr>
        <w:t>Molenaar</w:t>
      </w:r>
      <w:proofErr w:type="spellEnd"/>
      <w:r w:rsidRPr="00B3538D">
        <w:rPr>
          <w:rFonts w:ascii="Times New Roman" w:eastAsiaTheme="minorHAnsi" w:hAnsi="Times New Roman"/>
        </w:rPr>
        <w:t xml:space="preserve">, D., van </w:t>
      </w:r>
      <w:proofErr w:type="spellStart"/>
      <w:r w:rsidRPr="00B3538D">
        <w:rPr>
          <w:rFonts w:ascii="Times New Roman" w:eastAsiaTheme="minorHAnsi" w:hAnsi="Times New Roman"/>
        </w:rPr>
        <w:t>Berlo</w:t>
      </w:r>
      <w:proofErr w:type="spellEnd"/>
      <w:r w:rsidRPr="00B3538D">
        <w:rPr>
          <w:rFonts w:ascii="Times New Roman" w:eastAsiaTheme="minorHAnsi" w:hAnsi="Times New Roman"/>
        </w:rPr>
        <w:t xml:space="preserve">, R., de Ridder, D. &amp; </w:t>
      </w:r>
      <w:proofErr w:type="spellStart"/>
      <w:r w:rsidRPr="00B3538D">
        <w:rPr>
          <w:rFonts w:ascii="Times New Roman" w:eastAsiaTheme="minorHAnsi" w:hAnsi="Times New Roman"/>
        </w:rPr>
        <w:t>Teusink</w:t>
      </w:r>
      <w:proofErr w:type="spellEnd"/>
      <w:r w:rsidRPr="00B3538D">
        <w:rPr>
          <w:rFonts w:ascii="Times New Roman" w:eastAsiaTheme="minorHAnsi" w:hAnsi="Times New Roman"/>
        </w:rPr>
        <w:t xml:space="preserve">, B. 2009 Shifts in growth strategies reflect </w:t>
      </w:r>
      <w:proofErr w:type="spellStart"/>
      <w:r w:rsidRPr="00B3538D">
        <w:rPr>
          <w:rFonts w:ascii="Times New Roman" w:eastAsiaTheme="minorHAnsi" w:hAnsi="Times New Roman"/>
        </w:rPr>
        <w:t>tradeoffs</w:t>
      </w:r>
      <w:proofErr w:type="spellEnd"/>
      <w:r w:rsidRPr="00B3538D">
        <w:rPr>
          <w:rFonts w:ascii="Times New Roman" w:eastAsiaTheme="minorHAnsi" w:hAnsi="Times New Roman"/>
        </w:rPr>
        <w:t xml:space="preserve"> in cellular economics. </w:t>
      </w:r>
      <w:r w:rsidRPr="00B3538D">
        <w:rPr>
          <w:rFonts w:ascii="Times New Roman" w:eastAsiaTheme="minorHAnsi" w:hAnsi="Times New Roman"/>
          <w:i/>
          <w:iCs/>
        </w:rPr>
        <w:t>Molecular Systems Biology</w:t>
      </w:r>
      <w:r w:rsidRPr="00B3538D">
        <w:rPr>
          <w:rFonts w:ascii="Times New Roman" w:eastAsiaTheme="minorHAnsi" w:hAnsi="Times New Roman"/>
        </w:rPr>
        <w:t xml:space="preserve"> </w:t>
      </w:r>
      <w:r w:rsidRPr="00B3538D">
        <w:rPr>
          <w:rFonts w:ascii="Times New Roman" w:eastAsiaTheme="minorHAnsi" w:hAnsi="Times New Roman"/>
          <w:bCs/>
        </w:rPr>
        <w:t>5</w:t>
      </w:r>
      <w:r w:rsidRPr="00B3538D">
        <w:rPr>
          <w:rFonts w:ascii="Times New Roman" w:eastAsiaTheme="minorHAnsi" w:hAnsi="Times New Roman"/>
        </w:rPr>
        <w:t>, 323. (doi:10.1038/msb.2009.82)</w:t>
      </w:r>
    </w:p>
    <w:p w14:paraId="157FCCE4" w14:textId="77777777" w:rsidR="00A60134" w:rsidRPr="00B3538D" w:rsidRDefault="00A60134" w:rsidP="00A60134">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11.</w:t>
      </w:r>
      <w:r w:rsidRPr="00B3538D">
        <w:rPr>
          <w:rFonts w:ascii="Times New Roman" w:eastAsiaTheme="minorHAnsi" w:hAnsi="Times New Roman"/>
        </w:rPr>
        <w:tab/>
      </w:r>
      <w:proofErr w:type="spellStart"/>
      <w:r w:rsidRPr="00B3538D">
        <w:rPr>
          <w:rFonts w:ascii="Times New Roman" w:eastAsiaTheme="minorHAnsi" w:hAnsi="Times New Roman"/>
        </w:rPr>
        <w:t>Weiße</w:t>
      </w:r>
      <w:proofErr w:type="spellEnd"/>
      <w:r w:rsidRPr="00B3538D">
        <w:rPr>
          <w:rFonts w:ascii="Times New Roman" w:eastAsiaTheme="minorHAnsi" w:hAnsi="Times New Roman"/>
        </w:rPr>
        <w:t xml:space="preserve">, A. Y., </w:t>
      </w:r>
      <w:proofErr w:type="spellStart"/>
      <w:r w:rsidRPr="00B3538D">
        <w:rPr>
          <w:rFonts w:ascii="Times New Roman" w:eastAsiaTheme="minorHAnsi" w:hAnsi="Times New Roman"/>
        </w:rPr>
        <w:t>Oyarzún</w:t>
      </w:r>
      <w:proofErr w:type="spellEnd"/>
      <w:r w:rsidRPr="00B3538D">
        <w:rPr>
          <w:rFonts w:ascii="Times New Roman" w:eastAsiaTheme="minorHAnsi" w:hAnsi="Times New Roman"/>
        </w:rPr>
        <w:t xml:space="preserve">, D. A., </w:t>
      </w:r>
      <w:proofErr w:type="spellStart"/>
      <w:r w:rsidRPr="00B3538D">
        <w:rPr>
          <w:rFonts w:ascii="Times New Roman" w:eastAsiaTheme="minorHAnsi" w:hAnsi="Times New Roman"/>
        </w:rPr>
        <w:t>Danos</w:t>
      </w:r>
      <w:proofErr w:type="spellEnd"/>
      <w:r w:rsidRPr="00B3538D">
        <w:rPr>
          <w:rFonts w:ascii="Times New Roman" w:eastAsiaTheme="minorHAnsi" w:hAnsi="Times New Roman"/>
        </w:rPr>
        <w:t xml:space="preserve">, V. &amp; Swain, P. S. 2015 Mechanistic links between cellular trade-offs, gene expression, and growth. </w:t>
      </w:r>
      <w:r w:rsidRPr="00B3538D">
        <w:rPr>
          <w:rFonts w:ascii="Times New Roman" w:eastAsiaTheme="minorHAnsi" w:hAnsi="Times New Roman"/>
          <w:i/>
          <w:iCs/>
        </w:rPr>
        <w:t>Proc. Natl. Acad. Sci. U.S.A.</w:t>
      </w:r>
      <w:r w:rsidRPr="00B3538D">
        <w:rPr>
          <w:rFonts w:ascii="Times New Roman" w:eastAsiaTheme="minorHAnsi" w:hAnsi="Times New Roman"/>
        </w:rPr>
        <w:t xml:space="preserve"> </w:t>
      </w:r>
      <w:r w:rsidRPr="00B3538D">
        <w:rPr>
          <w:rFonts w:ascii="Times New Roman" w:eastAsiaTheme="minorHAnsi" w:hAnsi="Times New Roman"/>
          <w:bCs/>
        </w:rPr>
        <w:t>112</w:t>
      </w:r>
      <w:r w:rsidRPr="00B3538D">
        <w:rPr>
          <w:rFonts w:ascii="Times New Roman" w:eastAsiaTheme="minorHAnsi" w:hAnsi="Times New Roman"/>
        </w:rPr>
        <w:t>, E1038–47. (doi:10.1073/pnas.1416533112)</w:t>
      </w:r>
    </w:p>
    <w:p w14:paraId="7B661B19" w14:textId="77777777" w:rsidR="00B3538D" w:rsidRPr="00B3538D" w:rsidRDefault="00A60134" w:rsidP="008B0183">
      <w:pPr>
        <w:tabs>
          <w:tab w:val="left" w:pos="640"/>
        </w:tabs>
        <w:autoSpaceDE w:val="0"/>
        <w:autoSpaceDN w:val="0"/>
        <w:adjustRightInd w:val="0"/>
        <w:spacing w:after="240"/>
        <w:ind w:left="640" w:hanging="640"/>
        <w:rPr>
          <w:rFonts w:ascii="Times New Roman" w:eastAsiaTheme="minorHAnsi" w:hAnsi="Times New Roman"/>
        </w:rPr>
      </w:pPr>
      <w:r w:rsidRPr="00B3538D">
        <w:rPr>
          <w:rFonts w:ascii="Times New Roman" w:eastAsiaTheme="minorHAnsi" w:hAnsi="Times New Roman"/>
        </w:rPr>
        <w:t>12.</w:t>
      </w:r>
      <w:r w:rsidRPr="00B3538D">
        <w:rPr>
          <w:rFonts w:ascii="Times New Roman" w:eastAsiaTheme="minorHAnsi" w:hAnsi="Times New Roman"/>
        </w:rPr>
        <w:tab/>
      </w:r>
      <w:proofErr w:type="spellStart"/>
      <w:r w:rsidRPr="00B3538D">
        <w:rPr>
          <w:rFonts w:ascii="Times New Roman" w:eastAsiaTheme="minorHAnsi" w:hAnsi="Times New Roman"/>
        </w:rPr>
        <w:t>Bordbar</w:t>
      </w:r>
      <w:proofErr w:type="spellEnd"/>
      <w:r w:rsidRPr="00B3538D">
        <w:rPr>
          <w:rFonts w:ascii="Times New Roman" w:eastAsiaTheme="minorHAnsi" w:hAnsi="Times New Roman"/>
        </w:rPr>
        <w:t xml:space="preserve">, A., Lewis, N. E., </w:t>
      </w:r>
      <w:proofErr w:type="spellStart"/>
      <w:r w:rsidRPr="00B3538D">
        <w:rPr>
          <w:rFonts w:ascii="Times New Roman" w:eastAsiaTheme="minorHAnsi" w:hAnsi="Times New Roman"/>
        </w:rPr>
        <w:t>Schellenberger</w:t>
      </w:r>
      <w:proofErr w:type="spellEnd"/>
      <w:r w:rsidRPr="00B3538D">
        <w:rPr>
          <w:rFonts w:ascii="Times New Roman" w:eastAsiaTheme="minorHAnsi" w:hAnsi="Times New Roman"/>
        </w:rPr>
        <w:t xml:space="preserve">, J., </w:t>
      </w:r>
      <w:proofErr w:type="spellStart"/>
      <w:r w:rsidRPr="00B3538D">
        <w:rPr>
          <w:rFonts w:ascii="Times New Roman" w:eastAsiaTheme="minorHAnsi" w:hAnsi="Times New Roman"/>
        </w:rPr>
        <w:t>Palsson</w:t>
      </w:r>
      <w:proofErr w:type="spellEnd"/>
      <w:r w:rsidRPr="00B3538D">
        <w:rPr>
          <w:rFonts w:ascii="Times New Roman" w:eastAsiaTheme="minorHAnsi" w:hAnsi="Times New Roman"/>
        </w:rPr>
        <w:t xml:space="preserve">, B. Ø. &amp; </w:t>
      </w:r>
      <w:proofErr w:type="spellStart"/>
      <w:r w:rsidRPr="00B3538D">
        <w:rPr>
          <w:rFonts w:ascii="Times New Roman" w:eastAsiaTheme="minorHAnsi" w:hAnsi="Times New Roman"/>
        </w:rPr>
        <w:t>Jamshidi</w:t>
      </w:r>
      <w:proofErr w:type="spellEnd"/>
      <w:r w:rsidRPr="00B3538D">
        <w:rPr>
          <w:rFonts w:ascii="Times New Roman" w:eastAsiaTheme="minorHAnsi" w:hAnsi="Times New Roman"/>
        </w:rPr>
        <w:t xml:space="preserve">, N. 2010 Insight into human alveolar macrophage and M. tuberculosis interactions via metabolic reconstructions. </w:t>
      </w:r>
      <w:r w:rsidRPr="00B3538D">
        <w:rPr>
          <w:rFonts w:ascii="Times New Roman" w:eastAsiaTheme="minorHAnsi" w:hAnsi="Times New Roman"/>
          <w:i/>
          <w:iCs/>
        </w:rPr>
        <w:t>Molecular Systems Biology</w:t>
      </w:r>
      <w:r w:rsidRPr="00B3538D">
        <w:rPr>
          <w:rFonts w:ascii="Times New Roman" w:eastAsiaTheme="minorHAnsi" w:hAnsi="Times New Roman"/>
        </w:rPr>
        <w:t xml:space="preserve"> </w:t>
      </w:r>
      <w:r w:rsidRPr="00B3538D">
        <w:rPr>
          <w:rFonts w:ascii="Times New Roman" w:eastAsiaTheme="minorHAnsi" w:hAnsi="Times New Roman"/>
          <w:bCs/>
        </w:rPr>
        <w:t>6</w:t>
      </w:r>
      <w:r w:rsidRPr="00B3538D">
        <w:rPr>
          <w:rFonts w:ascii="Times New Roman" w:eastAsiaTheme="minorHAnsi" w:hAnsi="Times New Roman"/>
        </w:rPr>
        <w:t>, 422. (doi:10.1038/msb.2010.68)</w:t>
      </w:r>
    </w:p>
    <w:p w14:paraId="13EEB4DF" w14:textId="4F2FB9D3" w:rsidR="00B3538D" w:rsidRPr="00B3538D" w:rsidRDefault="00B3538D" w:rsidP="00B3538D">
      <w:pPr>
        <w:tabs>
          <w:tab w:val="left" w:pos="640"/>
        </w:tabs>
        <w:autoSpaceDE w:val="0"/>
        <w:autoSpaceDN w:val="0"/>
        <w:adjustRightInd w:val="0"/>
        <w:spacing w:after="240"/>
        <w:ind w:left="640" w:hanging="640"/>
        <w:rPr>
          <w:rFonts w:ascii="Times New Roman" w:eastAsiaTheme="minorHAnsi" w:hAnsi="Times New Roman"/>
          <w:lang w:val="en-US"/>
        </w:rPr>
      </w:pPr>
      <w:r w:rsidRPr="00B3538D">
        <w:rPr>
          <w:rFonts w:ascii="Times New Roman" w:eastAsiaTheme="minorHAnsi" w:hAnsi="Times New Roman"/>
          <w:lang w:val="en-US"/>
        </w:rPr>
        <w:lastRenderedPageBreak/>
        <w:t>13.</w:t>
      </w:r>
      <w:r w:rsidRPr="00B3538D">
        <w:rPr>
          <w:rFonts w:ascii="Times New Roman" w:eastAsiaTheme="minorHAnsi" w:hAnsi="Times New Roman"/>
          <w:lang w:val="en-US"/>
        </w:rPr>
        <w:tab/>
      </w:r>
      <w:proofErr w:type="spellStart"/>
      <w:r w:rsidRPr="00B3538D">
        <w:rPr>
          <w:rFonts w:ascii="Times New Roman" w:eastAsiaTheme="minorHAnsi" w:hAnsi="Times New Roman"/>
          <w:lang w:val="en-US"/>
        </w:rPr>
        <w:t>Leyssen</w:t>
      </w:r>
      <w:proofErr w:type="spellEnd"/>
      <w:r w:rsidRPr="00B3538D">
        <w:rPr>
          <w:rFonts w:ascii="Times New Roman" w:eastAsiaTheme="minorHAnsi" w:hAnsi="Times New Roman"/>
          <w:lang w:val="en-US"/>
        </w:rPr>
        <w:t xml:space="preserve">, P., De </w:t>
      </w:r>
      <w:proofErr w:type="spellStart"/>
      <w:r w:rsidRPr="00B3538D">
        <w:rPr>
          <w:rFonts w:ascii="Times New Roman" w:eastAsiaTheme="minorHAnsi" w:hAnsi="Times New Roman"/>
          <w:lang w:val="en-US"/>
        </w:rPr>
        <w:t>Clercq</w:t>
      </w:r>
      <w:proofErr w:type="spellEnd"/>
      <w:r w:rsidRPr="00B3538D">
        <w:rPr>
          <w:rFonts w:ascii="Times New Roman" w:eastAsiaTheme="minorHAnsi" w:hAnsi="Times New Roman"/>
          <w:lang w:val="en-US"/>
        </w:rPr>
        <w:t xml:space="preserve">, E. &amp; </w:t>
      </w:r>
      <w:proofErr w:type="spellStart"/>
      <w:r w:rsidRPr="00B3538D">
        <w:rPr>
          <w:rFonts w:ascii="Times New Roman" w:eastAsiaTheme="minorHAnsi" w:hAnsi="Times New Roman"/>
          <w:lang w:val="en-US"/>
        </w:rPr>
        <w:t>Neyts</w:t>
      </w:r>
      <w:proofErr w:type="spellEnd"/>
      <w:r w:rsidRPr="00B3538D">
        <w:rPr>
          <w:rFonts w:ascii="Times New Roman" w:eastAsiaTheme="minorHAnsi" w:hAnsi="Times New Roman"/>
          <w:lang w:val="en-US"/>
        </w:rPr>
        <w:t xml:space="preserve">, J. Molecular strategies to inhibit the replication of RNA viruses. </w:t>
      </w:r>
      <w:r w:rsidRPr="00B3538D">
        <w:rPr>
          <w:rFonts w:ascii="Times New Roman" w:eastAsiaTheme="minorHAnsi" w:hAnsi="Times New Roman"/>
          <w:i/>
          <w:iCs/>
          <w:lang w:val="en-US"/>
        </w:rPr>
        <w:t>Antiviral Research</w:t>
      </w:r>
      <w:r w:rsidRPr="00B3538D">
        <w:rPr>
          <w:rFonts w:ascii="Times New Roman" w:eastAsiaTheme="minorHAnsi" w:hAnsi="Times New Roman"/>
          <w:lang w:val="en-US"/>
        </w:rPr>
        <w:t xml:space="preserve"> </w:t>
      </w:r>
      <w:r w:rsidRPr="00B3538D">
        <w:rPr>
          <w:rFonts w:ascii="Times New Roman" w:eastAsiaTheme="minorHAnsi" w:hAnsi="Times New Roman"/>
          <w:bCs/>
          <w:lang w:val="en-US"/>
        </w:rPr>
        <w:t>78,</w:t>
      </w:r>
      <w:r w:rsidRPr="00B3538D">
        <w:rPr>
          <w:rFonts w:ascii="Times New Roman" w:eastAsiaTheme="minorHAnsi" w:hAnsi="Times New Roman"/>
          <w:lang w:val="en-US"/>
        </w:rPr>
        <w:t xml:space="preserve"> 9–25 (2008).</w:t>
      </w:r>
    </w:p>
    <w:p w14:paraId="74F8A9E4" w14:textId="0B695D6A" w:rsidR="00B3538D" w:rsidRPr="00B3538D" w:rsidRDefault="00B3538D" w:rsidP="00B3538D">
      <w:pPr>
        <w:tabs>
          <w:tab w:val="left" w:pos="640"/>
        </w:tabs>
        <w:autoSpaceDE w:val="0"/>
        <w:autoSpaceDN w:val="0"/>
        <w:adjustRightInd w:val="0"/>
        <w:spacing w:after="240"/>
        <w:ind w:left="640" w:hanging="640"/>
        <w:rPr>
          <w:rFonts w:ascii="Times New Roman" w:eastAsiaTheme="minorHAnsi" w:hAnsi="Times New Roman"/>
          <w:lang w:val="en-US"/>
        </w:rPr>
      </w:pPr>
      <w:r w:rsidRPr="00B3538D">
        <w:rPr>
          <w:rFonts w:ascii="Times New Roman" w:eastAsiaTheme="minorHAnsi" w:hAnsi="Times New Roman"/>
          <w:lang w:val="en-US"/>
        </w:rPr>
        <w:t>14.</w:t>
      </w:r>
      <w:r w:rsidRPr="00B3538D">
        <w:rPr>
          <w:rFonts w:ascii="Times New Roman" w:eastAsiaTheme="minorHAnsi" w:hAnsi="Times New Roman"/>
          <w:lang w:val="en-US"/>
        </w:rPr>
        <w:tab/>
      </w:r>
      <w:proofErr w:type="spellStart"/>
      <w:r w:rsidRPr="00B3538D">
        <w:rPr>
          <w:rFonts w:ascii="Times New Roman" w:eastAsiaTheme="minorHAnsi" w:hAnsi="Times New Roman"/>
          <w:lang w:val="en-US"/>
        </w:rPr>
        <w:t>Cyclopentenylcytosine</w:t>
      </w:r>
      <w:proofErr w:type="spellEnd"/>
      <w:r w:rsidRPr="00B3538D">
        <w:rPr>
          <w:rFonts w:ascii="Times New Roman" w:eastAsiaTheme="minorHAnsi" w:hAnsi="Times New Roman"/>
          <w:lang w:val="en-US"/>
        </w:rPr>
        <w:t xml:space="preserve">. A carbocyclic nucleoside with antitumor and antiviral properties. </w:t>
      </w:r>
      <w:r w:rsidRPr="00B3538D">
        <w:rPr>
          <w:rFonts w:ascii="Times New Roman" w:eastAsiaTheme="minorHAnsi" w:hAnsi="Times New Roman"/>
          <w:bCs/>
          <w:lang w:val="en-US"/>
        </w:rPr>
        <w:t>31,</w:t>
      </w:r>
      <w:r w:rsidRPr="00B3538D">
        <w:rPr>
          <w:rFonts w:ascii="Times New Roman" w:eastAsiaTheme="minorHAnsi" w:hAnsi="Times New Roman"/>
          <w:lang w:val="en-US"/>
        </w:rPr>
        <w:t xml:space="preserve"> 1687–1694 (1988).</w:t>
      </w:r>
    </w:p>
    <w:p w14:paraId="07E947A3" w14:textId="77777777" w:rsidR="00B3538D" w:rsidRPr="00B3538D" w:rsidRDefault="00B3538D" w:rsidP="00B3538D">
      <w:pPr>
        <w:tabs>
          <w:tab w:val="left" w:pos="640"/>
        </w:tabs>
        <w:autoSpaceDE w:val="0"/>
        <w:autoSpaceDN w:val="0"/>
        <w:adjustRightInd w:val="0"/>
        <w:spacing w:after="240"/>
        <w:ind w:left="640" w:hanging="640"/>
        <w:rPr>
          <w:rFonts w:ascii="Times New Roman" w:eastAsiaTheme="minorHAnsi" w:hAnsi="Times New Roman"/>
          <w:lang w:val="en-US"/>
        </w:rPr>
      </w:pPr>
      <w:r w:rsidRPr="00B3538D">
        <w:rPr>
          <w:rFonts w:ascii="Times New Roman" w:eastAsiaTheme="minorHAnsi" w:hAnsi="Times New Roman"/>
          <w:lang w:val="en-US"/>
        </w:rPr>
        <w:t>15.</w:t>
      </w:r>
      <w:r w:rsidRPr="00B3538D">
        <w:rPr>
          <w:rFonts w:ascii="Times New Roman" w:eastAsiaTheme="minorHAnsi" w:hAnsi="Times New Roman"/>
          <w:lang w:val="en-US"/>
        </w:rPr>
        <w:tab/>
        <w:t xml:space="preserve">Lucas-Hourani, M. </w:t>
      </w:r>
      <w:r w:rsidRPr="00B3538D">
        <w:rPr>
          <w:rFonts w:ascii="Times New Roman" w:eastAsiaTheme="minorHAnsi" w:hAnsi="Times New Roman"/>
          <w:i/>
          <w:iCs/>
          <w:lang w:val="en-US"/>
        </w:rPr>
        <w:t>et al.</w:t>
      </w:r>
      <w:r w:rsidRPr="00B3538D">
        <w:rPr>
          <w:rFonts w:ascii="Times New Roman" w:eastAsiaTheme="minorHAnsi" w:hAnsi="Times New Roman"/>
          <w:lang w:val="en-US"/>
        </w:rPr>
        <w:t xml:space="preserve"> Inhibition of Pyrimidine Biosynthesis Pathway Suppresses Viral Growth through Innate Immunity. </w:t>
      </w:r>
      <w:proofErr w:type="spellStart"/>
      <w:r w:rsidRPr="00B3538D">
        <w:rPr>
          <w:rFonts w:ascii="Times New Roman" w:eastAsiaTheme="minorHAnsi" w:hAnsi="Times New Roman"/>
          <w:i/>
          <w:iCs/>
          <w:lang w:val="en-US"/>
        </w:rPr>
        <w:t>PLoS</w:t>
      </w:r>
      <w:proofErr w:type="spellEnd"/>
      <w:r w:rsidRPr="00B3538D">
        <w:rPr>
          <w:rFonts w:ascii="Times New Roman" w:eastAsiaTheme="minorHAnsi" w:hAnsi="Times New Roman"/>
          <w:i/>
          <w:iCs/>
          <w:lang w:val="en-US"/>
        </w:rPr>
        <w:t xml:space="preserve"> </w:t>
      </w:r>
      <w:proofErr w:type="spellStart"/>
      <w:r w:rsidRPr="00B3538D">
        <w:rPr>
          <w:rFonts w:ascii="Times New Roman" w:eastAsiaTheme="minorHAnsi" w:hAnsi="Times New Roman"/>
          <w:i/>
          <w:iCs/>
          <w:lang w:val="en-US"/>
        </w:rPr>
        <w:t>Pathog</w:t>
      </w:r>
      <w:proofErr w:type="spellEnd"/>
      <w:r w:rsidRPr="00B3538D">
        <w:rPr>
          <w:rFonts w:ascii="Times New Roman" w:eastAsiaTheme="minorHAnsi" w:hAnsi="Times New Roman"/>
          <w:i/>
          <w:iCs/>
          <w:lang w:val="en-US"/>
        </w:rPr>
        <w:t>.</w:t>
      </w:r>
      <w:r w:rsidRPr="00B3538D">
        <w:rPr>
          <w:rFonts w:ascii="Times New Roman" w:eastAsiaTheme="minorHAnsi" w:hAnsi="Times New Roman"/>
          <w:lang w:val="en-US"/>
        </w:rPr>
        <w:t xml:space="preserve"> </w:t>
      </w:r>
      <w:r w:rsidRPr="00B3538D">
        <w:rPr>
          <w:rFonts w:ascii="Times New Roman" w:eastAsiaTheme="minorHAnsi" w:hAnsi="Times New Roman"/>
          <w:bCs/>
          <w:lang w:val="en-US"/>
        </w:rPr>
        <w:t>9,</w:t>
      </w:r>
      <w:r w:rsidRPr="00B3538D">
        <w:rPr>
          <w:rFonts w:ascii="Times New Roman" w:eastAsiaTheme="minorHAnsi" w:hAnsi="Times New Roman"/>
          <w:lang w:val="en-US"/>
        </w:rPr>
        <w:t xml:space="preserve"> e1003678 (2013).</w:t>
      </w:r>
    </w:p>
    <w:p w14:paraId="282E0C7C" w14:textId="77777777" w:rsidR="00B3538D" w:rsidRPr="00B3538D" w:rsidRDefault="00B3538D" w:rsidP="00B3538D">
      <w:pPr>
        <w:tabs>
          <w:tab w:val="left" w:pos="640"/>
        </w:tabs>
        <w:autoSpaceDE w:val="0"/>
        <w:autoSpaceDN w:val="0"/>
        <w:adjustRightInd w:val="0"/>
        <w:spacing w:after="240"/>
        <w:ind w:left="640" w:hanging="640"/>
        <w:rPr>
          <w:rFonts w:ascii="Times New Roman" w:eastAsiaTheme="minorHAnsi" w:hAnsi="Times New Roman"/>
          <w:lang w:val="en-US"/>
        </w:rPr>
      </w:pPr>
      <w:r w:rsidRPr="00B3538D">
        <w:rPr>
          <w:rFonts w:ascii="Times New Roman" w:eastAsiaTheme="minorHAnsi" w:hAnsi="Times New Roman"/>
          <w:lang w:val="en-US"/>
        </w:rPr>
        <w:t>16.</w:t>
      </w:r>
      <w:r w:rsidRPr="00B3538D">
        <w:rPr>
          <w:rFonts w:ascii="Times New Roman" w:eastAsiaTheme="minorHAnsi" w:hAnsi="Times New Roman"/>
          <w:lang w:val="en-US"/>
        </w:rPr>
        <w:tab/>
        <w:t xml:space="preserve">Wang, Q.-Y. </w:t>
      </w:r>
      <w:r w:rsidRPr="00B3538D">
        <w:rPr>
          <w:rFonts w:ascii="Times New Roman" w:eastAsiaTheme="minorHAnsi" w:hAnsi="Times New Roman"/>
          <w:i/>
          <w:iCs/>
          <w:lang w:val="en-US"/>
        </w:rPr>
        <w:t>et al.</w:t>
      </w:r>
      <w:r w:rsidRPr="00B3538D">
        <w:rPr>
          <w:rFonts w:ascii="Times New Roman" w:eastAsiaTheme="minorHAnsi" w:hAnsi="Times New Roman"/>
          <w:lang w:val="en-US"/>
        </w:rPr>
        <w:t xml:space="preserve"> Inhibition of dengue virus through suppression of host pyrimidine biosynthesis. </w:t>
      </w:r>
      <w:r w:rsidRPr="00B3538D">
        <w:rPr>
          <w:rFonts w:ascii="Times New Roman" w:eastAsiaTheme="minorHAnsi" w:hAnsi="Times New Roman"/>
          <w:i/>
          <w:iCs/>
          <w:lang w:val="en-US"/>
        </w:rPr>
        <w:t>Journal of Virology</w:t>
      </w:r>
      <w:r w:rsidRPr="00B3538D">
        <w:rPr>
          <w:rFonts w:ascii="Times New Roman" w:eastAsiaTheme="minorHAnsi" w:hAnsi="Times New Roman"/>
          <w:lang w:val="en-US"/>
        </w:rPr>
        <w:t xml:space="preserve"> </w:t>
      </w:r>
      <w:r w:rsidRPr="00B3538D">
        <w:rPr>
          <w:rFonts w:ascii="Times New Roman" w:eastAsiaTheme="minorHAnsi" w:hAnsi="Times New Roman"/>
          <w:bCs/>
          <w:lang w:val="en-US"/>
        </w:rPr>
        <w:t>85,</w:t>
      </w:r>
      <w:r w:rsidRPr="00B3538D">
        <w:rPr>
          <w:rFonts w:ascii="Times New Roman" w:eastAsiaTheme="minorHAnsi" w:hAnsi="Times New Roman"/>
          <w:lang w:val="en-US"/>
        </w:rPr>
        <w:t xml:space="preserve"> 6548–6556 (2011).</w:t>
      </w:r>
    </w:p>
    <w:p w14:paraId="3B0BE452" w14:textId="18B36C54" w:rsidR="00B3538D" w:rsidRDefault="00B3538D" w:rsidP="00B3538D">
      <w:pPr>
        <w:ind w:left="640" w:hanging="640"/>
        <w:rPr>
          <w:rFonts w:ascii="Times New Roman" w:hAnsi="Times New Roman"/>
          <w:color w:val="000000"/>
        </w:rPr>
      </w:pPr>
      <w:r w:rsidRPr="00B3538D">
        <w:rPr>
          <w:rFonts w:ascii="Times New Roman" w:hAnsi="Times New Roman"/>
          <w:color w:val="000000"/>
        </w:rPr>
        <w:t xml:space="preserve">17. </w:t>
      </w:r>
      <w:r w:rsidRPr="00B3538D">
        <w:rPr>
          <w:rFonts w:ascii="Times New Roman" w:hAnsi="Times New Roman"/>
          <w:color w:val="000000"/>
        </w:rPr>
        <w:tab/>
        <w:t xml:space="preserve">Hoffmann, H.-H., Kunz, A., Simon, V. A., </w:t>
      </w:r>
      <w:proofErr w:type="spellStart"/>
      <w:r w:rsidRPr="00B3538D">
        <w:rPr>
          <w:rFonts w:ascii="Times New Roman" w:hAnsi="Times New Roman"/>
          <w:color w:val="000000"/>
        </w:rPr>
        <w:t>Palese</w:t>
      </w:r>
      <w:proofErr w:type="spellEnd"/>
      <w:r w:rsidRPr="00B3538D">
        <w:rPr>
          <w:rFonts w:ascii="Times New Roman" w:hAnsi="Times New Roman"/>
          <w:color w:val="000000"/>
        </w:rPr>
        <w:t xml:space="preserve">, P., &amp; Shaw, M. L. (2011). Broad-spectrum antiviral that interferes with de novo pyrimidine biosynthesis. Proceedings of the National Academy of Sciences of the United States of America, 108(14), 5777–5782. </w:t>
      </w:r>
      <w:r w:rsidR="009C60E8" w:rsidRPr="00FB2F11">
        <w:rPr>
          <w:rFonts w:ascii="Times New Roman" w:hAnsi="Times New Roman"/>
          <w:color w:val="000000"/>
        </w:rPr>
        <w:t>http://doi.org/10.1073/pnas.1101143108</w:t>
      </w:r>
    </w:p>
    <w:p w14:paraId="08F53508" w14:textId="77777777" w:rsidR="009C60E8" w:rsidRPr="00B3538D" w:rsidRDefault="009C60E8" w:rsidP="00B3538D">
      <w:pPr>
        <w:ind w:left="640" w:hanging="640"/>
        <w:rPr>
          <w:rFonts w:ascii="Times New Roman" w:hAnsi="Times New Roman"/>
        </w:rPr>
      </w:pPr>
    </w:p>
    <w:p w14:paraId="3B3A6958" w14:textId="3D01AF6F" w:rsidR="00B3538D" w:rsidRPr="00B3538D" w:rsidRDefault="00B3538D" w:rsidP="00B3538D">
      <w:pPr>
        <w:ind w:left="640" w:hanging="640"/>
        <w:rPr>
          <w:rFonts w:ascii="Times New Roman" w:hAnsi="Times New Roman"/>
        </w:rPr>
      </w:pPr>
      <w:r w:rsidRPr="00B3538D">
        <w:rPr>
          <w:rFonts w:ascii="Times New Roman" w:eastAsiaTheme="minorHAnsi" w:hAnsi="Times New Roman"/>
        </w:rPr>
        <w:t xml:space="preserve">18. </w:t>
      </w:r>
      <w:r w:rsidRPr="00B3538D">
        <w:rPr>
          <w:rFonts w:ascii="Times New Roman" w:eastAsiaTheme="minorHAnsi" w:hAnsi="Times New Roman"/>
        </w:rPr>
        <w:tab/>
      </w:r>
      <w:proofErr w:type="spellStart"/>
      <w:r w:rsidRPr="00B3538D">
        <w:rPr>
          <w:rFonts w:ascii="Times New Roman" w:hAnsi="Times New Roman"/>
          <w:color w:val="000000"/>
        </w:rPr>
        <w:t>Neyts</w:t>
      </w:r>
      <w:proofErr w:type="spellEnd"/>
      <w:r w:rsidRPr="00B3538D">
        <w:rPr>
          <w:rFonts w:ascii="Times New Roman" w:hAnsi="Times New Roman"/>
          <w:color w:val="000000"/>
        </w:rPr>
        <w:t xml:space="preserve">, J., </w:t>
      </w:r>
      <w:proofErr w:type="spellStart"/>
      <w:r w:rsidRPr="00B3538D">
        <w:rPr>
          <w:rFonts w:ascii="Times New Roman" w:hAnsi="Times New Roman"/>
          <w:color w:val="000000"/>
        </w:rPr>
        <w:t>Meerbach</w:t>
      </w:r>
      <w:proofErr w:type="spellEnd"/>
      <w:r w:rsidRPr="00B3538D">
        <w:rPr>
          <w:rFonts w:ascii="Times New Roman" w:hAnsi="Times New Roman"/>
          <w:color w:val="000000"/>
        </w:rPr>
        <w:t xml:space="preserve">, A., McKenna, P., De </w:t>
      </w:r>
      <w:proofErr w:type="spellStart"/>
      <w:r w:rsidRPr="00B3538D">
        <w:rPr>
          <w:rFonts w:ascii="Times New Roman" w:hAnsi="Times New Roman"/>
          <w:color w:val="000000"/>
        </w:rPr>
        <w:t>Clercq</w:t>
      </w:r>
      <w:proofErr w:type="spellEnd"/>
      <w:r w:rsidRPr="00B3538D">
        <w:rPr>
          <w:rFonts w:ascii="Times New Roman" w:hAnsi="Times New Roman"/>
          <w:color w:val="000000"/>
        </w:rPr>
        <w:t xml:space="preserve">, E., 1996. Use of the yellow fever virus vaccine strain 17D for the study of strategies for the treatment of yellow fever virus infections. </w:t>
      </w:r>
      <w:proofErr w:type="spellStart"/>
      <w:r w:rsidRPr="00B3538D">
        <w:rPr>
          <w:rFonts w:ascii="Times New Roman" w:hAnsi="Times New Roman"/>
          <w:color w:val="000000"/>
        </w:rPr>
        <w:t>Antivir</w:t>
      </w:r>
      <w:proofErr w:type="spellEnd"/>
      <w:r w:rsidRPr="00B3538D">
        <w:rPr>
          <w:rFonts w:ascii="Times New Roman" w:hAnsi="Times New Roman"/>
          <w:color w:val="000000"/>
        </w:rPr>
        <w:t xml:space="preserve">. Res. 30 (2–3), 125–132. </w:t>
      </w:r>
    </w:p>
    <w:p w14:paraId="095B6864" w14:textId="61C58B4B" w:rsidR="00617018" w:rsidRPr="00B3538D" w:rsidRDefault="00A60134" w:rsidP="00B3538D">
      <w:pPr>
        <w:tabs>
          <w:tab w:val="left" w:pos="640"/>
        </w:tabs>
        <w:autoSpaceDE w:val="0"/>
        <w:autoSpaceDN w:val="0"/>
        <w:adjustRightInd w:val="0"/>
        <w:spacing w:after="240"/>
        <w:ind w:left="640" w:hanging="640"/>
        <w:rPr>
          <w:rFonts w:ascii="Times New Roman" w:eastAsiaTheme="minorHAnsi" w:hAnsi="Times New Roman"/>
          <w:b/>
        </w:rPr>
      </w:pPr>
      <w:r w:rsidRPr="005B0577">
        <w:rPr>
          <w:rFonts w:ascii="Times New Roman" w:eastAsiaTheme="minorHAnsi" w:hAnsi="Times New Roman"/>
          <w:b/>
        </w:rPr>
        <w:fldChar w:fldCharType="begin"/>
      </w:r>
      <w:r w:rsidRPr="005B0577">
        <w:rPr>
          <w:rFonts w:ascii="Times New Roman" w:eastAsiaTheme="minorHAnsi" w:hAnsi="Times New Roman"/>
          <w:b/>
        </w:rPr>
        <w:instrText xml:space="preserve"> ADDIN PAPERS2_CITATIONS &lt;papers2_bibliography/&gt;</w:instrText>
      </w:r>
      <w:r w:rsidRPr="005B0577">
        <w:rPr>
          <w:rFonts w:ascii="Times New Roman" w:eastAsiaTheme="minorHAnsi" w:hAnsi="Times New Roman"/>
          <w:b/>
        </w:rPr>
        <w:fldChar w:fldCharType="end"/>
      </w:r>
      <w:r w:rsidR="005B0577" w:rsidRPr="005B0577">
        <w:rPr>
          <w:rFonts w:ascii="Times" w:eastAsiaTheme="minorHAnsi" w:hAnsi="Times" w:cstheme="minorBidi"/>
          <w:b/>
        </w:rPr>
        <w:fldChar w:fldCharType="begin"/>
      </w:r>
      <w:r w:rsidR="005B0577" w:rsidRPr="005B0577">
        <w:rPr>
          <w:rFonts w:ascii="Times" w:eastAsiaTheme="minorHAnsi" w:hAnsi="Times" w:cstheme="minorBidi"/>
          <w:b/>
        </w:rPr>
        <w:instrText xml:space="preserve"> ADDIN PAPERS2_CITATIONS &lt;papers2_bibliography/&gt;</w:instrText>
      </w:r>
      <w:r w:rsidR="005B0577" w:rsidRPr="005B0577">
        <w:rPr>
          <w:rFonts w:ascii="Times" w:eastAsiaTheme="minorHAnsi" w:hAnsi="Times" w:cstheme="minorBidi"/>
          <w:b/>
        </w:rPr>
        <w:fldChar w:fldCharType="end"/>
      </w:r>
    </w:p>
    <w:sectPr w:rsidR="00617018" w:rsidRPr="00B3538D" w:rsidSect="00C5066A">
      <w:footerReference w:type="even" r:id="rId19"/>
      <w:footerReference w:type="default" r:id="rId2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B0997" w14:textId="77777777" w:rsidR="00642E53" w:rsidRDefault="00642E53" w:rsidP="00B70FDF">
      <w:r>
        <w:separator/>
      </w:r>
    </w:p>
  </w:endnote>
  <w:endnote w:type="continuationSeparator" w:id="0">
    <w:p w14:paraId="4CFA4D0C" w14:textId="77777777" w:rsidR="00642E53" w:rsidRDefault="00642E53" w:rsidP="00B70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th">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12712740"/>
      <w:docPartObj>
        <w:docPartGallery w:val="Page Numbers (Bottom of Page)"/>
        <w:docPartUnique/>
      </w:docPartObj>
    </w:sdtPr>
    <w:sdtEndPr>
      <w:rPr>
        <w:rStyle w:val="PageNumber"/>
      </w:rPr>
    </w:sdtEndPr>
    <w:sdtContent>
      <w:p w14:paraId="75B43258" w14:textId="14564730" w:rsidR="006679F9" w:rsidRDefault="006679F9" w:rsidP="00D537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A14A81" w14:textId="77777777" w:rsidR="006679F9" w:rsidRDefault="006679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201472042"/>
      <w:docPartObj>
        <w:docPartGallery w:val="Page Numbers (Bottom of Page)"/>
        <w:docPartUnique/>
      </w:docPartObj>
    </w:sdtPr>
    <w:sdtEndPr>
      <w:rPr>
        <w:rStyle w:val="PageNumber"/>
      </w:rPr>
    </w:sdtEndPr>
    <w:sdtContent>
      <w:p w14:paraId="2FC1A58D" w14:textId="19340588" w:rsidR="006679F9" w:rsidRDefault="006679F9" w:rsidP="00D5379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0797F">
          <w:rPr>
            <w:rStyle w:val="PageNumber"/>
            <w:noProof/>
          </w:rPr>
          <w:t>20</w:t>
        </w:r>
        <w:r>
          <w:rPr>
            <w:rStyle w:val="PageNumber"/>
          </w:rPr>
          <w:fldChar w:fldCharType="end"/>
        </w:r>
      </w:p>
    </w:sdtContent>
  </w:sdt>
  <w:p w14:paraId="7B84C68A" w14:textId="77777777" w:rsidR="006679F9" w:rsidRDefault="006679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A6BE0" w14:textId="77777777" w:rsidR="00642E53" w:rsidRDefault="00642E53" w:rsidP="00B70FDF">
      <w:r>
        <w:separator/>
      </w:r>
    </w:p>
  </w:footnote>
  <w:footnote w:type="continuationSeparator" w:id="0">
    <w:p w14:paraId="3A7586FA" w14:textId="77777777" w:rsidR="00642E53" w:rsidRDefault="00642E53" w:rsidP="00B70F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D37D6"/>
    <w:multiLevelType w:val="multilevel"/>
    <w:tmpl w:val="B21E9C36"/>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15:restartNumberingAfterBreak="0">
    <w:nsid w:val="4F1B0377"/>
    <w:multiLevelType w:val="hybridMultilevel"/>
    <w:tmpl w:val="467C61B6"/>
    <w:lvl w:ilvl="0" w:tplc="0FAE059A">
      <w:start w:val="1"/>
      <w:numFmt w:val="decimal"/>
      <w:lvlText w:val="%1."/>
      <w:lvlJc w:val="left"/>
      <w:pPr>
        <w:ind w:left="1440" w:hanging="360"/>
      </w:pPr>
      <w:rPr>
        <w:rFonts w:hint="default"/>
      </w:rPr>
    </w:lvl>
    <w:lvl w:ilvl="1" w:tplc="0809000F">
      <w:start w:val="1"/>
      <w:numFmt w:val="decimal"/>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526B1131"/>
    <w:multiLevelType w:val="hybridMultilevel"/>
    <w:tmpl w:val="6D6C3D72"/>
    <w:lvl w:ilvl="0" w:tplc="0FAE059A">
      <w:start w:val="1"/>
      <w:numFmt w:val="decimal"/>
      <w:lvlText w:val="%1."/>
      <w:lvlJc w:val="left"/>
      <w:pPr>
        <w:ind w:left="1080" w:hanging="360"/>
      </w:pPr>
      <w:rPr>
        <w:rFonts w:hint="default"/>
      </w:rPr>
    </w:lvl>
    <w:lvl w:ilvl="1" w:tplc="0809000F">
      <w:start w:val="1"/>
      <w:numFmt w:val="decimal"/>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71727BEE"/>
    <w:multiLevelType w:val="hybridMultilevel"/>
    <w:tmpl w:val="49AE07FC"/>
    <w:lvl w:ilvl="0" w:tplc="0FAE059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BD60946"/>
    <w:multiLevelType w:val="hybridMultilevel"/>
    <w:tmpl w:val="00CCD3F8"/>
    <w:lvl w:ilvl="0" w:tplc="0FAE059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9">
      <w:start w:val="1"/>
      <w:numFmt w:val="lowerLetter"/>
      <w:lvlText w:val="%3."/>
      <w:lvlJc w:val="left"/>
      <w:pPr>
        <w:ind w:left="2700" w:hanging="36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A14"/>
    <w:rsid w:val="000206E1"/>
    <w:rsid w:val="00044450"/>
    <w:rsid w:val="00044D5F"/>
    <w:rsid w:val="00082F84"/>
    <w:rsid w:val="00097B1A"/>
    <w:rsid w:val="000D2826"/>
    <w:rsid w:val="000E23E8"/>
    <w:rsid w:val="000E3035"/>
    <w:rsid w:val="00117C6B"/>
    <w:rsid w:val="001A6DEA"/>
    <w:rsid w:val="001D7B47"/>
    <w:rsid w:val="001F0765"/>
    <w:rsid w:val="00224F64"/>
    <w:rsid w:val="0022603F"/>
    <w:rsid w:val="002520BC"/>
    <w:rsid w:val="00254C7F"/>
    <w:rsid w:val="002A1096"/>
    <w:rsid w:val="002E4E7D"/>
    <w:rsid w:val="00326DF1"/>
    <w:rsid w:val="0034292B"/>
    <w:rsid w:val="00354A79"/>
    <w:rsid w:val="00356F18"/>
    <w:rsid w:val="003740EF"/>
    <w:rsid w:val="00377A1D"/>
    <w:rsid w:val="003B41B7"/>
    <w:rsid w:val="003D4E4C"/>
    <w:rsid w:val="00420653"/>
    <w:rsid w:val="004332FC"/>
    <w:rsid w:val="0044612F"/>
    <w:rsid w:val="004916B2"/>
    <w:rsid w:val="004F4C9B"/>
    <w:rsid w:val="00502868"/>
    <w:rsid w:val="00521395"/>
    <w:rsid w:val="00522C64"/>
    <w:rsid w:val="00561614"/>
    <w:rsid w:val="005A7003"/>
    <w:rsid w:val="005B0577"/>
    <w:rsid w:val="005B3E46"/>
    <w:rsid w:val="005D1728"/>
    <w:rsid w:val="0060441E"/>
    <w:rsid w:val="0060506A"/>
    <w:rsid w:val="0060797F"/>
    <w:rsid w:val="00617018"/>
    <w:rsid w:val="00630D2D"/>
    <w:rsid w:val="00641010"/>
    <w:rsid w:val="00642E53"/>
    <w:rsid w:val="006679F9"/>
    <w:rsid w:val="00721DE4"/>
    <w:rsid w:val="0077050E"/>
    <w:rsid w:val="00777B4F"/>
    <w:rsid w:val="00785245"/>
    <w:rsid w:val="00796647"/>
    <w:rsid w:val="007B4961"/>
    <w:rsid w:val="007C29BE"/>
    <w:rsid w:val="007F6018"/>
    <w:rsid w:val="0080698D"/>
    <w:rsid w:val="008153A6"/>
    <w:rsid w:val="008674F5"/>
    <w:rsid w:val="008A00D9"/>
    <w:rsid w:val="008B0183"/>
    <w:rsid w:val="008B549B"/>
    <w:rsid w:val="00904AC8"/>
    <w:rsid w:val="00927B50"/>
    <w:rsid w:val="00940BF3"/>
    <w:rsid w:val="00962314"/>
    <w:rsid w:val="00967FD1"/>
    <w:rsid w:val="00970D41"/>
    <w:rsid w:val="009B1003"/>
    <w:rsid w:val="009C60E8"/>
    <w:rsid w:val="009F58EE"/>
    <w:rsid w:val="009F7D63"/>
    <w:rsid w:val="00A30DF1"/>
    <w:rsid w:val="00A44FB9"/>
    <w:rsid w:val="00A47FA4"/>
    <w:rsid w:val="00A60134"/>
    <w:rsid w:val="00A82246"/>
    <w:rsid w:val="00AA3397"/>
    <w:rsid w:val="00AB26CF"/>
    <w:rsid w:val="00AD1331"/>
    <w:rsid w:val="00AE6359"/>
    <w:rsid w:val="00AF341C"/>
    <w:rsid w:val="00B052C0"/>
    <w:rsid w:val="00B23F26"/>
    <w:rsid w:val="00B3538D"/>
    <w:rsid w:val="00B524A8"/>
    <w:rsid w:val="00B63BE6"/>
    <w:rsid w:val="00B70FDF"/>
    <w:rsid w:val="00B71C93"/>
    <w:rsid w:val="00BA575A"/>
    <w:rsid w:val="00BC3499"/>
    <w:rsid w:val="00C23910"/>
    <w:rsid w:val="00C5066A"/>
    <w:rsid w:val="00CD3FDF"/>
    <w:rsid w:val="00D06AF7"/>
    <w:rsid w:val="00D24267"/>
    <w:rsid w:val="00DB4AA5"/>
    <w:rsid w:val="00E84D1A"/>
    <w:rsid w:val="00E87E4E"/>
    <w:rsid w:val="00E91793"/>
    <w:rsid w:val="00EE1277"/>
    <w:rsid w:val="00F12F80"/>
    <w:rsid w:val="00F35856"/>
    <w:rsid w:val="00F57D9A"/>
    <w:rsid w:val="00F77F02"/>
    <w:rsid w:val="00F93644"/>
    <w:rsid w:val="00FB2F11"/>
    <w:rsid w:val="00FB7A14"/>
    <w:rsid w:val="00FC3C7D"/>
    <w:rsid w:val="00FF11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F7242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FDF"/>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FDF"/>
    <w:pPr>
      <w:tabs>
        <w:tab w:val="center" w:pos="4513"/>
        <w:tab w:val="right" w:pos="9026"/>
      </w:tabs>
    </w:pPr>
  </w:style>
  <w:style w:type="character" w:customStyle="1" w:styleId="HeaderChar">
    <w:name w:val="Header Char"/>
    <w:basedOn w:val="DefaultParagraphFont"/>
    <w:link w:val="Header"/>
    <w:uiPriority w:val="99"/>
    <w:rsid w:val="00B70FDF"/>
    <w:rPr>
      <w:rFonts w:ascii="Calibri" w:eastAsia="Calibri" w:hAnsi="Calibri" w:cs="Times New Roman"/>
    </w:rPr>
  </w:style>
  <w:style w:type="paragraph" w:styleId="Footer">
    <w:name w:val="footer"/>
    <w:basedOn w:val="Normal"/>
    <w:link w:val="FooterChar"/>
    <w:uiPriority w:val="99"/>
    <w:unhideWhenUsed/>
    <w:rsid w:val="00B70FDF"/>
    <w:pPr>
      <w:tabs>
        <w:tab w:val="center" w:pos="4513"/>
        <w:tab w:val="right" w:pos="9026"/>
      </w:tabs>
    </w:pPr>
  </w:style>
  <w:style w:type="character" w:customStyle="1" w:styleId="FooterChar">
    <w:name w:val="Footer Char"/>
    <w:basedOn w:val="DefaultParagraphFont"/>
    <w:link w:val="Footer"/>
    <w:uiPriority w:val="99"/>
    <w:rsid w:val="00B70FDF"/>
    <w:rPr>
      <w:rFonts w:ascii="Calibri" w:eastAsia="Calibri" w:hAnsi="Calibri" w:cs="Times New Roman"/>
    </w:rPr>
  </w:style>
  <w:style w:type="character" w:styleId="Hyperlink">
    <w:name w:val="Hyperlink"/>
    <w:basedOn w:val="DefaultParagraphFont"/>
    <w:uiPriority w:val="99"/>
    <w:unhideWhenUsed/>
    <w:rsid w:val="0034292B"/>
    <w:rPr>
      <w:color w:val="0563C1" w:themeColor="hyperlink"/>
      <w:u w:val="single"/>
    </w:rPr>
  </w:style>
  <w:style w:type="character" w:styleId="PageNumber">
    <w:name w:val="page number"/>
    <w:basedOn w:val="DefaultParagraphFont"/>
    <w:uiPriority w:val="99"/>
    <w:semiHidden/>
    <w:unhideWhenUsed/>
    <w:rsid w:val="006679F9"/>
  </w:style>
  <w:style w:type="paragraph" w:styleId="ListParagraph">
    <w:name w:val="List Paragraph"/>
    <w:basedOn w:val="Normal"/>
    <w:uiPriority w:val="34"/>
    <w:qFormat/>
    <w:rsid w:val="006679F9"/>
    <w:pPr>
      <w:ind w:left="720"/>
      <w:contextualSpacing/>
    </w:pPr>
  </w:style>
  <w:style w:type="paragraph" w:styleId="BalloonText">
    <w:name w:val="Balloon Text"/>
    <w:basedOn w:val="Normal"/>
    <w:link w:val="BalloonTextChar"/>
    <w:uiPriority w:val="99"/>
    <w:semiHidden/>
    <w:unhideWhenUsed/>
    <w:rsid w:val="00B3538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3538D"/>
    <w:rPr>
      <w:rFonts w:ascii="Times New Roman" w:eastAsia="Calibri" w:hAnsi="Times New Roman" w:cs="Times New Roman"/>
      <w:sz w:val="18"/>
      <w:szCs w:val="18"/>
    </w:rPr>
  </w:style>
  <w:style w:type="table" w:styleId="TableGrid">
    <w:name w:val="Table Grid"/>
    <w:basedOn w:val="TableNormal"/>
    <w:uiPriority w:val="39"/>
    <w:rsid w:val="00B353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rsid w:val="009C60E8"/>
    <w:rPr>
      <w:color w:val="605E5C"/>
      <w:shd w:val="clear" w:color="auto" w:fill="E1DFDD"/>
    </w:rPr>
  </w:style>
  <w:style w:type="paragraph" w:styleId="Revision">
    <w:name w:val="Revision"/>
    <w:hidden/>
    <w:uiPriority w:val="99"/>
    <w:semiHidden/>
    <w:rsid w:val="0050286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80215">
      <w:bodyDiv w:val="1"/>
      <w:marLeft w:val="0"/>
      <w:marRight w:val="0"/>
      <w:marTop w:val="0"/>
      <w:marBottom w:val="0"/>
      <w:divBdr>
        <w:top w:val="none" w:sz="0" w:space="0" w:color="auto"/>
        <w:left w:val="none" w:sz="0" w:space="0" w:color="auto"/>
        <w:bottom w:val="none" w:sz="0" w:space="0" w:color="auto"/>
        <w:right w:val="none" w:sz="0" w:space="0" w:color="auto"/>
      </w:divBdr>
    </w:div>
    <w:div w:id="15668414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25</Pages>
  <Words>6622</Words>
  <Characters>37746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Aller, Sean</dc:creator>
  <cp:keywords/>
  <dc:description/>
  <cp:lastModifiedBy>Sasikumar N.</cp:lastModifiedBy>
  <cp:revision>48</cp:revision>
  <dcterms:created xsi:type="dcterms:W3CDTF">2018-02-16T10:47:00Z</dcterms:created>
  <dcterms:modified xsi:type="dcterms:W3CDTF">2018-09-11T10:35:00Z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id="http://www.zotero.org/styles/journal-of-the-royal-society-interface"/&gt;&lt;format class="21"/&gt;&lt;count citations="10" publications="12"/&gt;&lt;/info&gt;PAPERS2_INFO_END</vt:lpwstr>
  </property>
</Properties>
</file>