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BE4" w14:textId="2460A578" w:rsidR="00D93B08" w:rsidRDefault="00D93B08" w:rsidP="00D93B08">
      <w:pPr>
        <w:tabs>
          <w:tab w:val="left" w:pos="1620"/>
        </w:tabs>
        <w:rPr>
          <w:rFonts w:ascii="Times New Roman" w:hAnsi="Times New Roman" w:cs="Times New Roman"/>
          <w:i/>
        </w:rPr>
      </w:pPr>
      <w:r>
        <w:rPr>
          <w:rFonts w:ascii="Times New Roman" w:hAnsi="Times New Roman" w:cs="Times New Roman"/>
          <w:i/>
        </w:rPr>
        <w:t xml:space="preserve">Comparison between </w:t>
      </w:r>
      <w:r>
        <w:rPr>
          <w:rFonts w:ascii="Times New Roman" w:hAnsi="Times New Roman" w:cs="Times New Roman"/>
          <w:i/>
        </w:rPr>
        <w:t xml:space="preserve">Endocardial Strain from </w:t>
      </w:r>
      <w:r>
        <w:rPr>
          <w:rFonts w:ascii="Times New Roman" w:hAnsi="Times New Roman" w:cs="Times New Roman"/>
          <w:i/>
        </w:rPr>
        <w:t>Feature Tracking and DENSE</w:t>
      </w:r>
    </w:p>
    <w:p w14:paraId="2151998C" w14:textId="570FFA16" w:rsidR="00D93B08" w:rsidRPr="00D93B08" w:rsidRDefault="007317E9" w:rsidP="00D93B08">
      <w:pPr>
        <w:tabs>
          <w:tab w:val="left" w:pos="1620"/>
        </w:tabs>
        <w:rPr>
          <w:rFonts w:ascii="Times New Roman" w:hAnsi="Times New Roman" w:cs="Times New Roman"/>
        </w:rPr>
      </w:pPr>
      <w:r>
        <w:rPr>
          <w:rFonts w:ascii="Times New Roman" w:hAnsi="Times New Roman" w:cs="Times New Roman"/>
        </w:rPr>
        <w:t xml:space="preserve">Circumferential strain </w:t>
      </w:r>
      <w:r w:rsidR="00262AA3">
        <w:rPr>
          <w:rFonts w:ascii="Times New Roman" w:hAnsi="Times New Roman" w:cs="Times New Roman"/>
        </w:rPr>
        <w:t xml:space="preserve">at all image slices </w:t>
      </w:r>
      <w:r>
        <w:rPr>
          <w:rFonts w:ascii="Times New Roman" w:hAnsi="Times New Roman" w:cs="Times New Roman"/>
        </w:rPr>
        <w:t xml:space="preserve">was significantly overestimated by feature tracking compared to DENSE when just the endocardial strain from feature tracking was used (Table </w:t>
      </w:r>
      <w:r w:rsidR="00262AA3">
        <w:rPr>
          <w:rFonts w:ascii="Times New Roman" w:hAnsi="Times New Roman" w:cs="Times New Roman"/>
        </w:rPr>
        <w:t>S2, Figure S1). After adjusting for differences in the strain calculations, feature tracking strains decreased in magnitude and the amount of overestimation was reduced but not eliminated. The remaining differences are largely due to DENSE measuring strain throughout the myocardial wall compared to just the endocardial contour from feature tracking.</w:t>
      </w:r>
    </w:p>
    <w:tbl>
      <w:tblPr>
        <w:tblpPr w:leftFromText="180" w:rightFromText="180" w:vertAnchor="text" w:tblpY="1"/>
        <w:tblOverlap w:val="never"/>
        <w:tblW w:w="9381" w:type="dxa"/>
        <w:tblBorders>
          <w:bottom w:val="single" w:sz="4" w:space="0" w:color="00000A"/>
          <w:insideH w:val="single" w:sz="4" w:space="0" w:color="00000A"/>
        </w:tblBorders>
        <w:tblLook w:val="04A0" w:firstRow="1" w:lastRow="0" w:firstColumn="1" w:lastColumn="0" w:noHBand="0" w:noVBand="1"/>
      </w:tblPr>
      <w:tblGrid>
        <w:gridCol w:w="2464"/>
        <w:gridCol w:w="146"/>
        <w:gridCol w:w="1362"/>
        <w:gridCol w:w="1248"/>
        <w:gridCol w:w="1260"/>
        <w:gridCol w:w="1567"/>
        <w:gridCol w:w="953"/>
        <w:gridCol w:w="381"/>
      </w:tblGrid>
      <w:tr w:rsidR="00D63127" w14:paraId="5D1D5086" w14:textId="77777777" w:rsidTr="00D63127">
        <w:trPr>
          <w:trHeight w:val="255"/>
        </w:trPr>
        <w:tc>
          <w:tcPr>
            <w:tcW w:w="9000" w:type="dxa"/>
            <w:gridSpan w:val="7"/>
            <w:tcBorders>
              <w:bottom w:val="single" w:sz="4" w:space="0" w:color="00000A"/>
            </w:tcBorders>
            <w:shd w:val="clear" w:color="auto" w:fill="auto"/>
            <w:vAlign w:val="bottom"/>
          </w:tcPr>
          <w:p w14:paraId="2FA3FAB2" w14:textId="57D3B229" w:rsidR="00D63127" w:rsidRDefault="00D63127" w:rsidP="00D6312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w:t>
            </w:r>
            <w:r w:rsidR="007317E9">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2. Summary of </w:t>
            </w:r>
            <w:r>
              <w:rPr>
                <w:rFonts w:ascii="Arial" w:eastAsia="Times New Roman" w:hAnsi="Arial" w:cs="Arial"/>
                <w:b/>
                <w:bCs/>
                <w:color w:val="000000"/>
                <w:sz w:val="20"/>
                <w:szCs w:val="20"/>
              </w:rPr>
              <w:t>circumferential strain</w:t>
            </w:r>
            <w:r>
              <w:rPr>
                <w:rFonts w:ascii="Arial" w:eastAsia="Times New Roman" w:hAnsi="Arial" w:cs="Arial"/>
                <w:b/>
                <w:bCs/>
                <w:color w:val="000000"/>
                <w:sz w:val="20"/>
                <w:szCs w:val="20"/>
              </w:rPr>
              <w:t xml:space="preserve"> from feature tracking</w:t>
            </w:r>
            <w:r>
              <w:rPr>
                <w:rFonts w:ascii="Arial" w:eastAsia="Times New Roman" w:hAnsi="Arial" w:cs="Arial"/>
                <w:b/>
                <w:bCs/>
                <w:color w:val="000000"/>
                <w:sz w:val="20"/>
                <w:szCs w:val="20"/>
              </w:rPr>
              <w:t xml:space="preserve"> (endocardial)</w:t>
            </w:r>
            <w:r>
              <w:rPr>
                <w:rFonts w:ascii="Arial" w:eastAsia="Times New Roman" w:hAnsi="Arial" w:cs="Arial"/>
                <w:b/>
                <w:bCs/>
                <w:color w:val="000000"/>
                <w:sz w:val="20"/>
                <w:szCs w:val="20"/>
              </w:rPr>
              <w:t xml:space="preserve"> and DENSE</w:t>
            </w:r>
          </w:p>
        </w:tc>
        <w:tc>
          <w:tcPr>
            <w:tcW w:w="381" w:type="dxa"/>
            <w:tcBorders>
              <w:bottom w:val="single" w:sz="4" w:space="0" w:color="00000A"/>
            </w:tcBorders>
            <w:shd w:val="clear" w:color="auto" w:fill="auto"/>
            <w:vAlign w:val="bottom"/>
          </w:tcPr>
          <w:p w14:paraId="40D5471F" w14:textId="77777777" w:rsidR="00D63127" w:rsidRDefault="00D63127"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D93B08" w14:paraId="6AF0D55E" w14:textId="77777777" w:rsidTr="00D63127">
        <w:trPr>
          <w:trHeight w:val="510"/>
        </w:trPr>
        <w:tc>
          <w:tcPr>
            <w:tcW w:w="2464" w:type="dxa"/>
            <w:tcBorders>
              <w:top w:val="single" w:sz="4" w:space="0" w:color="00000A"/>
              <w:bottom w:val="single" w:sz="4" w:space="0" w:color="auto"/>
            </w:tcBorders>
            <w:shd w:val="clear" w:color="auto" w:fill="auto"/>
            <w:vAlign w:val="bottom"/>
          </w:tcPr>
          <w:p w14:paraId="48A70F14" w14:textId="77777777" w:rsidR="00D93B08" w:rsidRDefault="00D93B08" w:rsidP="00D631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08" w:type="dxa"/>
            <w:gridSpan w:val="2"/>
            <w:tcBorders>
              <w:top w:val="single" w:sz="4" w:space="0" w:color="00000A"/>
              <w:bottom w:val="single" w:sz="4" w:space="0" w:color="auto"/>
            </w:tcBorders>
            <w:shd w:val="clear" w:color="auto" w:fill="auto"/>
            <w:vAlign w:val="bottom"/>
          </w:tcPr>
          <w:p w14:paraId="4BFA4968"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Feature Tracking</w:t>
            </w:r>
            <w:r>
              <w:rPr>
                <w:rFonts w:ascii="Arial" w:eastAsia="Times New Roman" w:hAnsi="Arial" w:cs="Arial"/>
                <w:color w:val="000000"/>
                <w:sz w:val="20"/>
                <w:szCs w:val="20"/>
              </w:rPr>
              <w:br/>
              <w:t>(Unadjusted)</w:t>
            </w:r>
          </w:p>
        </w:tc>
        <w:tc>
          <w:tcPr>
            <w:tcW w:w="1248" w:type="dxa"/>
            <w:tcBorders>
              <w:top w:val="single" w:sz="4" w:space="0" w:color="00000A"/>
              <w:bottom w:val="single" w:sz="4" w:space="0" w:color="auto"/>
            </w:tcBorders>
            <w:shd w:val="clear" w:color="auto" w:fill="auto"/>
            <w:vAlign w:val="bottom"/>
          </w:tcPr>
          <w:p w14:paraId="5BDEFE23"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Feature Tracking</w:t>
            </w:r>
            <w:r>
              <w:rPr>
                <w:rFonts w:ascii="Arial" w:eastAsia="Times New Roman" w:hAnsi="Arial" w:cs="Arial"/>
                <w:color w:val="000000"/>
                <w:sz w:val="20"/>
                <w:szCs w:val="20"/>
              </w:rPr>
              <w:br/>
              <w:t>(Adjusted)</w:t>
            </w:r>
          </w:p>
        </w:tc>
        <w:tc>
          <w:tcPr>
            <w:tcW w:w="1260" w:type="dxa"/>
            <w:tcBorders>
              <w:top w:val="single" w:sz="4" w:space="0" w:color="00000A"/>
              <w:bottom w:val="single" w:sz="4" w:space="0" w:color="auto"/>
            </w:tcBorders>
            <w:shd w:val="clear" w:color="auto" w:fill="auto"/>
            <w:vAlign w:val="bottom"/>
          </w:tcPr>
          <w:p w14:paraId="14C85903"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DENSE</w:t>
            </w:r>
          </w:p>
        </w:tc>
        <w:tc>
          <w:tcPr>
            <w:tcW w:w="1567" w:type="dxa"/>
            <w:tcBorders>
              <w:top w:val="single" w:sz="4" w:space="0" w:color="00000A"/>
              <w:bottom w:val="single" w:sz="4" w:space="0" w:color="auto"/>
            </w:tcBorders>
            <w:shd w:val="clear" w:color="auto" w:fill="auto"/>
            <w:vAlign w:val="bottom"/>
          </w:tcPr>
          <w:p w14:paraId="650B88D3"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br/>
              <w:t>P</w:t>
            </w:r>
            <w:r>
              <w:rPr>
                <w:rFonts w:ascii="Arial" w:eastAsia="Times New Roman" w:hAnsi="Arial" w:cs="Arial"/>
                <w:color w:val="000000"/>
                <w:sz w:val="20"/>
                <w:szCs w:val="20"/>
                <w:vertAlign w:val="subscript"/>
              </w:rPr>
              <w:t>1</w:t>
            </w:r>
          </w:p>
        </w:tc>
        <w:tc>
          <w:tcPr>
            <w:tcW w:w="1334" w:type="dxa"/>
            <w:gridSpan w:val="2"/>
            <w:tcBorders>
              <w:top w:val="single" w:sz="4" w:space="0" w:color="00000A"/>
              <w:bottom w:val="single" w:sz="4" w:space="0" w:color="auto"/>
            </w:tcBorders>
            <w:shd w:val="clear" w:color="auto" w:fill="auto"/>
            <w:vAlign w:val="bottom"/>
          </w:tcPr>
          <w:p w14:paraId="068D0476" w14:textId="77777777" w:rsidR="00D93B08" w:rsidRPr="00421834"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w:t>
            </w:r>
            <w:r>
              <w:rPr>
                <w:rFonts w:ascii="Arial" w:eastAsia="Times New Roman" w:hAnsi="Arial" w:cs="Arial"/>
                <w:color w:val="000000"/>
                <w:sz w:val="20"/>
                <w:szCs w:val="20"/>
                <w:vertAlign w:val="subscript"/>
              </w:rPr>
              <w:t>2</w:t>
            </w:r>
          </w:p>
        </w:tc>
      </w:tr>
      <w:tr w:rsidR="00D93B08" w14:paraId="2E716588" w14:textId="77777777" w:rsidTr="00D63127">
        <w:trPr>
          <w:trHeight w:val="255"/>
        </w:trPr>
        <w:tc>
          <w:tcPr>
            <w:tcW w:w="2610" w:type="dxa"/>
            <w:gridSpan w:val="2"/>
            <w:tcBorders>
              <w:top w:val="single" w:sz="4" w:space="0" w:color="auto"/>
              <w:bottom w:val="nil"/>
            </w:tcBorders>
            <w:shd w:val="clear" w:color="auto" w:fill="auto"/>
            <w:vAlign w:val="bottom"/>
          </w:tcPr>
          <w:p w14:paraId="34366153" w14:textId="77777777" w:rsidR="00D93B08" w:rsidRDefault="00D93B08" w:rsidP="00D631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Circumferential Strain (%)</w:t>
            </w:r>
          </w:p>
        </w:tc>
        <w:tc>
          <w:tcPr>
            <w:tcW w:w="1362" w:type="dxa"/>
            <w:tcBorders>
              <w:top w:val="single" w:sz="4" w:space="0" w:color="auto"/>
              <w:bottom w:val="nil"/>
            </w:tcBorders>
            <w:shd w:val="clear" w:color="auto" w:fill="auto"/>
            <w:vAlign w:val="bottom"/>
          </w:tcPr>
          <w:p w14:paraId="25406F77" w14:textId="77777777" w:rsidR="00D93B08" w:rsidRDefault="00D93B08" w:rsidP="00D63127">
            <w:pPr>
              <w:spacing w:after="0" w:line="240" w:lineRule="auto"/>
              <w:rPr>
                <w:rFonts w:ascii="Arial" w:eastAsia="Times New Roman" w:hAnsi="Arial" w:cs="Arial"/>
                <w:color w:val="000000"/>
                <w:sz w:val="20"/>
                <w:szCs w:val="20"/>
              </w:rPr>
            </w:pPr>
          </w:p>
        </w:tc>
        <w:tc>
          <w:tcPr>
            <w:tcW w:w="1248" w:type="dxa"/>
            <w:tcBorders>
              <w:top w:val="single" w:sz="4" w:space="0" w:color="auto"/>
              <w:bottom w:val="nil"/>
            </w:tcBorders>
            <w:shd w:val="clear" w:color="auto" w:fill="auto"/>
            <w:vAlign w:val="bottom"/>
          </w:tcPr>
          <w:p w14:paraId="3400F88E" w14:textId="77777777" w:rsidR="00D93B08" w:rsidRDefault="00D93B08" w:rsidP="00D63127">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bottom w:val="nil"/>
            </w:tcBorders>
            <w:shd w:val="clear" w:color="auto" w:fill="auto"/>
            <w:vAlign w:val="bottom"/>
          </w:tcPr>
          <w:p w14:paraId="244C2EA3" w14:textId="77777777" w:rsidR="00D93B08" w:rsidRDefault="00D93B08" w:rsidP="00D63127">
            <w:pPr>
              <w:spacing w:after="0" w:line="240" w:lineRule="auto"/>
              <w:jc w:val="center"/>
              <w:rPr>
                <w:rFonts w:ascii="Times New Roman" w:eastAsia="Times New Roman" w:hAnsi="Times New Roman" w:cs="Times New Roman"/>
                <w:sz w:val="20"/>
                <w:szCs w:val="20"/>
              </w:rPr>
            </w:pPr>
          </w:p>
        </w:tc>
        <w:tc>
          <w:tcPr>
            <w:tcW w:w="1567" w:type="dxa"/>
            <w:tcBorders>
              <w:top w:val="single" w:sz="4" w:space="0" w:color="auto"/>
              <w:bottom w:val="nil"/>
            </w:tcBorders>
            <w:shd w:val="clear" w:color="auto" w:fill="auto"/>
            <w:vAlign w:val="bottom"/>
          </w:tcPr>
          <w:p w14:paraId="19A5EEE5" w14:textId="77777777" w:rsidR="00D93B08" w:rsidRDefault="00D93B08" w:rsidP="00D63127">
            <w:pPr>
              <w:spacing w:after="0" w:line="240" w:lineRule="auto"/>
              <w:jc w:val="center"/>
              <w:rPr>
                <w:rFonts w:ascii="Times New Roman" w:eastAsia="Times New Roman" w:hAnsi="Times New Roman" w:cs="Times New Roman"/>
                <w:sz w:val="20"/>
                <w:szCs w:val="20"/>
              </w:rPr>
            </w:pPr>
          </w:p>
        </w:tc>
        <w:tc>
          <w:tcPr>
            <w:tcW w:w="1334" w:type="dxa"/>
            <w:gridSpan w:val="2"/>
            <w:tcBorders>
              <w:top w:val="single" w:sz="4" w:space="0" w:color="auto"/>
              <w:bottom w:val="nil"/>
            </w:tcBorders>
            <w:shd w:val="clear" w:color="auto" w:fill="auto"/>
            <w:vAlign w:val="bottom"/>
          </w:tcPr>
          <w:p w14:paraId="0DCA8C34" w14:textId="77777777" w:rsidR="00D93B08" w:rsidRDefault="00D93B08" w:rsidP="00D63127">
            <w:pPr>
              <w:spacing w:after="0" w:line="240" w:lineRule="auto"/>
              <w:jc w:val="center"/>
              <w:rPr>
                <w:rFonts w:ascii="Times New Roman" w:eastAsia="Times New Roman" w:hAnsi="Times New Roman" w:cs="Times New Roman"/>
                <w:sz w:val="20"/>
                <w:szCs w:val="20"/>
              </w:rPr>
            </w:pPr>
          </w:p>
        </w:tc>
      </w:tr>
      <w:tr w:rsidR="00D93B08" w14:paraId="148B8EDD" w14:textId="77777777" w:rsidTr="00D63127">
        <w:trPr>
          <w:trHeight w:val="255"/>
        </w:trPr>
        <w:tc>
          <w:tcPr>
            <w:tcW w:w="2464" w:type="dxa"/>
            <w:tcBorders>
              <w:top w:val="nil"/>
              <w:bottom w:val="nil"/>
            </w:tcBorders>
            <w:shd w:val="clear" w:color="auto" w:fill="auto"/>
            <w:vAlign w:val="bottom"/>
          </w:tcPr>
          <w:p w14:paraId="4F50E68D" w14:textId="77777777" w:rsidR="00D93B08" w:rsidRDefault="00D93B08" w:rsidP="00D63127">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Base</w:t>
            </w:r>
          </w:p>
        </w:tc>
        <w:tc>
          <w:tcPr>
            <w:tcW w:w="1508" w:type="dxa"/>
            <w:gridSpan w:val="2"/>
            <w:tcBorders>
              <w:top w:val="nil"/>
              <w:bottom w:val="nil"/>
            </w:tcBorders>
            <w:shd w:val="clear" w:color="auto" w:fill="auto"/>
            <w:vAlign w:val="bottom"/>
          </w:tcPr>
          <w:p w14:paraId="6DA98863" w14:textId="7C27A025"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-29.9 ± 5</w:t>
            </w:r>
            <w:r w:rsidR="00D93B08">
              <w:rPr>
                <w:rFonts w:ascii="Arial" w:eastAsia="Times New Roman" w:hAnsi="Arial" w:cs="Arial"/>
                <w:color w:val="000000"/>
                <w:sz w:val="20"/>
                <w:szCs w:val="20"/>
              </w:rPr>
              <w:t>.2</w:t>
            </w:r>
          </w:p>
        </w:tc>
        <w:tc>
          <w:tcPr>
            <w:tcW w:w="1248" w:type="dxa"/>
            <w:tcBorders>
              <w:top w:val="nil"/>
              <w:bottom w:val="nil"/>
            </w:tcBorders>
            <w:shd w:val="clear" w:color="auto" w:fill="auto"/>
            <w:vAlign w:val="bottom"/>
          </w:tcPr>
          <w:p w14:paraId="1BE21DA7" w14:textId="0C34E975"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--25.3 ± 3.7</w:t>
            </w:r>
          </w:p>
        </w:tc>
        <w:tc>
          <w:tcPr>
            <w:tcW w:w="1260" w:type="dxa"/>
            <w:tcBorders>
              <w:top w:val="nil"/>
              <w:bottom w:val="nil"/>
            </w:tcBorders>
            <w:shd w:val="clear" w:color="auto" w:fill="auto"/>
            <w:vAlign w:val="bottom"/>
          </w:tcPr>
          <w:p w14:paraId="4C98417F"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-15.2 ± 3.7</w:t>
            </w:r>
          </w:p>
        </w:tc>
        <w:tc>
          <w:tcPr>
            <w:tcW w:w="1567" w:type="dxa"/>
            <w:tcBorders>
              <w:top w:val="nil"/>
              <w:bottom w:val="nil"/>
            </w:tcBorders>
            <w:shd w:val="clear" w:color="auto" w:fill="auto"/>
            <w:vAlign w:val="bottom"/>
          </w:tcPr>
          <w:p w14:paraId="081576F6"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&lt;0.001*</w:t>
            </w:r>
          </w:p>
        </w:tc>
        <w:tc>
          <w:tcPr>
            <w:tcW w:w="1334" w:type="dxa"/>
            <w:gridSpan w:val="2"/>
            <w:tcBorders>
              <w:top w:val="nil"/>
              <w:bottom w:val="nil"/>
            </w:tcBorders>
            <w:shd w:val="clear" w:color="auto" w:fill="auto"/>
            <w:vAlign w:val="bottom"/>
          </w:tcPr>
          <w:p w14:paraId="3A817C55"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&lt;0.001*</w:t>
            </w:r>
          </w:p>
        </w:tc>
      </w:tr>
      <w:tr w:rsidR="00D93B08" w14:paraId="41614DE1" w14:textId="77777777" w:rsidTr="00D63127">
        <w:trPr>
          <w:trHeight w:val="255"/>
        </w:trPr>
        <w:tc>
          <w:tcPr>
            <w:tcW w:w="2464" w:type="dxa"/>
            <w:tcBorders>
              <w:top w:val="nil"/>
              <w:bottom w:val="nil"/>
            </w:tcBorders>
            <w:shd w:val="clear" w:color="auto" w:fill="auto"/>
            <w:vAlign w:val="bottom"/>
          </w:tcPr>
          <w:p w14:paraId="48F480C9" w14:textId="77777777" w:rsidR="00D93B08" w:rsidRDefault="00D93B08" w:rsidP="00D63127">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Mid</w:t>
            </w:r>
          </w:p>
        </w:tc>
        <w:tc>
          <w:tcPr>
            <w:tcW w:w="1508" w:type="dxa"/>
            <w:gridSpan w:val="2"/>
            <w:tcBorders>
              <w:top w:val="nil"/>
              <w:bottom w:val="nil"/>
            </w:tcBorders>
            <w:shd w:val="clear" w:color="auto" w:fill="auto"/>
            <w:vAlign w:val="bottom"/>
          </w:tcPr>
          <w:p w14:paraId="66FD8A51" w14:textId="36DCE478"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-26.7 ± 5.7</w:t>
            </w:r>
          </w:p>
        </w:tc>
        <w:tc>
          <w:tcPr>
            <w:tcW w:w="1248" w:type="dxa"/>
            <w:tcBorders>
              <w:top w:val="nil"/>
              <w:bottom w:val="nil"/>
            </w:tcBorders>
            <w:shd w:val="clear" w:color="auto" w:fill="auto"/>
            <w:vAlign w:val="bottom"/>
          </w:tcPr>
          <w:p w14:paraId="27B02376" w14:textId="63336F17"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--23.0 ± 4.3</w:t>
            </w:r>
          </w:p>
        </w:tc>
        <w:tc>
          <w:tcPr>
            <w:tcW w:w="1260" w:type="dxa"/>
            <w:tcBorders>
              <w:top w:val="nil"/>
              <w:bottom w:val="nil"/>
            </w:tcBorders>
            <w:shd w:val="clear" w:color="auto" w:fill="auto"/>
            <w:vAlign w:val="bottom"/>
          </w:tcPr>
          <w:p w14:paraId="2B4D3E22"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-17.2 ± 3.4</w:t>
            </w:r>
          </w:p>
        </w:tc>
        <w:tc>
          <w:tcPr>
            <w:tcW w:w="1567" w:type="dxa"/>
            <w:tcBorders>
              <w:top w:val="nil"/>
              <w:bottom w:val="nil"/>
            </w:tcBorders>
            <w:shd w:val="clear" w:color="auto" w:fill="auto"/>
            <w:vAlign w:val="bottom"/>
          </w:tcPr>
          <w:p w14:paraId="4D557724"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&lt;0.001*</w:t>
            </w:r>
          </w:p>
        </w:tc>
        <w:tc>
          <w:tcPr>
            <w:tcW w:w="1334" w:type="dxa"/>
            <w:gridSpan w:val="2"/>
            <w:tcBorders>
              <w:top w:val="nil"/>
              <w:bottom w:val="nil"/>
            </w:tcBorders>
            <w:shd w:val="clear" w:color="auto" w:fill="auto"/>
            <w:vAlign w:val="bottom"/>
          </w:tcPr>
          <w:p w14:paraId="62C88348" w14:textId="6DB99A98"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&lt;0.001*</w:t>
            </w:r>
          </w:p>
        </w:tc>
      </w:tr>
      <w:tr w:rsidR="00D93B08" w14:paraId="26E218B2" w14:textId="77777777" w:rsidTr="00D63127">
        <w:trPr>
          <w:trHeight w:val="255"/>
        </w:trPr>
        <w:tc>
          <w:tcPr>
            <w:tcW w:w="2464" w:type="dxa"/>
            <w:tcBorders>
              <w:top w:val="nil"/>
              <w:bottom w:val="nil"/>
            </w:tcBorders>
            <w:shd w:val="clear" w:color="auto" w:fill="auto"/>
            <w:vAlign w:val="bottom"/>
          </w:tcPr>
          <w:p w14:paraId="4CF579B8" w14:textId="77777777" w:rsidR="00D93B08" w:rsidRDefault="00D93B08" w:rsidP="00D63127">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Apex</w:t>
            </w:r>
          </w:p>
        </w:tc>
        <w:tc>
          <w:tcPr>
            <w:tcW w:w="1508" w:type="dxa"/>
            <w:gridSpan w:val="2"/>
            <w:tcBorders>
              <w:top w:val="nil"/>
              <w:bottom w:val="nil"/>
            </w:tcBorders>
            <w:shd w:val="clear" w:color="auto" w:fill="auto"/>
            <w:vAlign w:val="bottom"/>
          </w:tcPr>
          <w:p w14:paraId="004B5E8A" w14:textId="79131E53"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-34.8 ± 10.6</w:t>
            </w:r>
          </w:p>
        </w:tc>
        <w:tc>
          <w:tcPr>
            <w:tcW w:w="1248" w:type="dxa"/>
            <w:tcBorders>
              <w:top w:val="nil"/>
              <w:bottom w:val="nil"/>
            </w:tcBorders>
            <w:shd w:val="clear" w:color="auto" w:fill="auto"/>
            <w:vAlign w:val="bottom"/>
          </w:tcPr>
          <w:p w14:paraId="66768DAD" w14:textId="45B11A61" w:rsidR="00D93B08" w:rsidRDefault="004E10E9"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-28.2 ± 6.6</w:t>
            </w:r>
          </w:p>
        </w:tc>
        <w:tc>
          <w:tcPr>
            <w:tcW w:w="1260" w:type="dxa"/>
            <w:tcBorders>
              <w:top w:val="nil"/>
              <w:bottom w:val="nil"/>
            </w:tcBorders>
            <w:shd w:val="clear" w:color="auto" w:fill="auto"/>
            <w:vAlign w:val="bottom"/>
          </w:tcPr>
          <w:p w14:paraId="6D2612DE"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-19.4 ± 3.6</w:t>
            </w:r>
          </w:p>
        </w:tc>
        <w:tc>
          <w:tcPr>
            <w:tcW w:w="1567" w:type="dxa"/>
            <w:tcBorders>
              <w:top w:val="nil"/>
              <w:bottom w:val="nil"/>
            </w:tcBorders>
            <w:shd w:val="clear" w:color="auto" w:fill="auto"/>
            <w:vAlign w:val="bottom"/>
          </w:tcPr>
          <w:p w14:paraId="68AEC1E3" w14:textId="77777777" w:rsidR="00D93B08" w:rsidRDefault="00D93B08" w:rsidP="00D6312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&lt;0.001*</w:t>
            </w:r>
          </w:p>
        </w:tc>
        <w:tc>
          <w:tcPr>
            <w:tcW w:w="1334" w:type="dxa"/>
            <w:gridSpan w:val="2"/>
            <w:tcBorders>
              <w:top w:val="nil"/>
              <w:bottom w:val="nil"/>
            </w:tcBorders>
            <w:shd w:val="clear" w:color="auto" w:fill="auto"/>
            <w:vAlign w:val="bottom"/>
          </w:tcPr>
          <w:p w14:paraId="13510965" w14:textId="5CEE769A" w:rsidR="00D93B08" w:rsidRDefault="004E10E9" w:rsidP="00D63127">
            <w:pPr>
              <w:spacing w:after="0" w:line="240" w:lineRule="auto"/>
              <w:jc w:val="center"/>
              <w:rPr>
                <w:rFonts w:ascii="Arial" w:eastAsia="Times New Roman" w:hAnsi="Arial" w:cs="Arial"/>
                <w:color w:val="000000"/>
                <w:sz w:val="20"/>
                <w:szCs w:val="20"/>
              </w:rPr>
            </w:pPr>
            <w:r w:rsidRPr="004E10E9">
              <w:rPr>
                <w:rFonts w:ascii="Arial" w:eastAsia="Times New Roman" w:hAnsi="Arial" w:cs="Arial"/>
                <w:color w:val="000000"/>
                <w:sz w:val="20"/>
                <w:szCs w:val="20"/>
              </w:rPr>
              <w:t>&lt;0.001*</w:t>
            </w:r>
          </w:p>
        </w:tc>
      </w:tr>
      <w:tr w:rsidR="00D93B08" w14:paraId="3A239E3C" w14:textId="77777777" w:rsidTr="00D63127">
        <w:trPr>
          <w:trHeight w:val="255"/>
        </w:trPr>
        <w:tc>
          <w:tcPr>
            <w:tcW w:w="9381" w:type="dxa"/>
            <w:gridSpan w:val="8"/>
            <w:tcBorders>
              <w:top w:val="single" w:sz="4" w:space="0" w:color="auto"/>
              <w:bottom w:val="nil"/>
            </w:tcBorders>
            <w:shd w:val="clear" w:color="auto" w:fill="auto"/>
            <w:vAlign w:val="bottom"/>
          </w:tcPr>
          <w:p w14:paraId="441A25A9" w14:textId="77777777" w:rsidR="00D93B08" w:rsidRDefault="00D93B08" w:rsidP="00D631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Unadjusted and Adjusted indicate the feature tracking results before and after adjustment, respectively</w:t>
            </w:r>
          </w:p>
        </w:tc>
      </w:tr>
      <w:tr w:rsidR="00D93B08" w14:paraId="07F232C7" w14:textId="77777777" w:rsidTr="00D63127">
        <w:trPr>
          <w:trHeight w:val="255"/>
        </w:trPr>
        <w:tc>
          <w:tcPr>
            <w:tcW w:w="9381" w:type="dxa"/>
            <w:gridSpan w:val="8"/>
            <w:tcBorders>
              <w:top w:val="nil"/>
              <w:bottom w:val="nil"/>
            </w:tcBorders>
            <w:shd w:val="clear" w:color="auto" w:fill="auto"/>
            <w:vAlign w:val="bottom"/>
          </w:tcPr>
          <w:p w14:paraId="037A3579" w14:textId="77777777" w:rsidR="00D93B08" w:rsidRPr="00421834" w:rsidRDefault="00D93B08" w:rsidP="00D631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Feature Tracking (Unadjusted) vs. DENSE; P</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Feature Tracking (Adjusted) vs. DENSE</w:t>
            </w:r>
          </w:p>
          <w:p w14:paraId="026215FD" w14:textId="77777777" w:rsidR="00D93B08" w:rsidRDefault="00D93B08" w:rsidP="00D6312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*Indicates statistical significance (P &lt; 0.05)</w:t>
            </w:r>
          </w:p>
        </w:tc>
      </w:tr>
    </w:tbl>
    <w:p w14:paraId="21621629" w14:textId="1B5E2BA3" w:rsidR="00AA2F5B" w:rsidRDefault="00D63127">
      <w:pPr>
        <w:suppressAutoHyphens w:val="0"/>
        <w:rPr>
          <w:rFonts w:ascii="Times New Roman" w:hAnsi="Times New Roman" w:cs="Times New Roman"/>
          <w:b/>
        </w:rPr>
      </w:pPr>
      <w:r>
        <w:rPr>
          <w:rFonts w:ascii="Times New Roman" w:hAnsi="Times New Roman" w:cs="Times New Roman"/>
          <w:b/>
        </w:rPr>
        <w:br w:type="textWrapping" w:clear="all"/>
      </w:r>
    </w:p>
    <w:p w14:paraId="134632FE" w14:textId="3B5BDAFE" w:rsidR="00AA2F5B" w:rsidRDefault="00CC7416" w:rsidP="004E42A6">
      <w:r>
        <w:rPr>
          <w:noProof/>
        </w:rPr>
        <w:lastRenderedPageBreak/>
        <w:drawing>
          <wp:inline distT="0" distB="0" distL="0" distR="0" wp14:anchorId="4DED20D5" wp14:editId="71742CF0">
            <wp:extent cx="3384811" cy="50551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_Bland-Altmans_FTendo_vs_DEN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811" cy="5055118"/>
                    </a:xfrm>
                    <a:prstGeom prst="rect">
                      <a:avLst/>
                    </a:prstGeom>
                  </pic:spPr>
                </pic:pic>
              </a:graphicData>
            </a:graphic>
          </wp:inline>
        </w:drawing>
      </w:r>
    </w:p>
    <w:p w14:paraId="10375B62" w14:textId="272EE854" w:rsidR="00C11717" w:rsidRDefault="00C11717" w:rsidP="00C11717">
      <w:pPr>
        <w:tabs>
          <w:tab w:val="left" w:pos="1620"/>
        </w:tabs>
        <w:rPr>
          <w:rFonts w:ascii="Times New Roman" w:hAnsi="Times New Roman" w:cs="Times New Roman"/>
          <w:sz w:val="20"/>
          <w:szCs w:val="20"/>
        </w:rPr>
      </w:pPr>
      <w:r>
        <w:rPr>
          <w:rFonts w:ascii="Times New Roman" w:hAnsi="Times New Roman" w:cs="Times New Roman"/>
          <w:b/>
          <w:sz w:val="20"/>
          <w:szCs w:val="20"/>
        </w:rPr>
        <w:t xml:space="preserve">Figure </w:t>
      </w:r>
      <w:r>
        <w:rPr>
          <w:rFonts w:ascii="Times New Roman" w:hAnsi="Times New Roman" w:cs="Times New Roman"/>
          <w:b/>
          <w:sz w:val="20"/>
          <w:szCs w:val="20"/>
        </w:rPr>
        <w:t>S</w:t>
      </w:r>
      <w:r>
        <w:rPr>
          <w:rFonts w:ascii="Times New Roman" w:hAnsi="Times New Roman" w:cs="Times New Roman"/>
          <w:b/>
          <w:sz w:val="20"/>
          <w:szCs w:val="20"/>
        </w:rPr>
        <w:t>1. Bland-Altman analyses for circumferential between feature tracking</w:t>
      </w:r>
      <w:r>
        <w:rPr>
          <w:rFonts w:ascii="Times New Roman" w:hAnsi="Times New Roman" w:cs="Times New Roman"/>
          <w:b/>
          <w:sz w:val="20"/>
          <w:szCs w:val="20"/>
        </w:rPr>
        <w:t xml:space="preserve"> (endocardial)</w:t>
      </w:r>
      <w:r>
        <w:rPr>
          <w:rFonts w:ascii="Times New Roman" w:hAnsi="Times New Roman" w:cs="Times New Roman"/>
          <w:b/>
          <w:sz w:val="20"/>
          <w:szCs w:val="20"/>
        </w:rPr>
        <w:t xml:space="preserve"> and DENSE. </w:t>
      </w:r>
      <w:r>
        <w:rPr>
          <w:rFonts w:ascii="Times New Roman" w:hAnsi="Times New Roman" w:cs="Times New Roman"/>
          <w:sz w:val="20"/>
          <w:szCs w:val="20"/>
        </w:rPr>
        <w:t>Analyses were performed both before (left column) and after (right column) adjusting the feature tracking results. All differences were calculated by subtracting the DENSE strain from the feature tracking strain. All biases and 95% limits of agreement improved after adjustin</w:t>
      </w:r>
      <w:r>
        <w:rPr>
          <w:rFonts w:ascii="Times New Roman" w:hAnsi="Times New Roman" w:cs="Times New Roman"/>
          <w:sz w:val="20"/>
          <w:szCs w:val="20"/>
        </w:rPr>
        <w:t>g the feature tracking strains. The large negative biases indicate that feature tracking with just the endocardial contour overestimates circumferential strain compared to DENSE for all image slices.</w:t>
      </w:r>
      <w:bookmarkStart w:id="0" w:name="_GoBack"/>
      <w:bookmarkEnd w:id="0"/>
    </w:p>
    <w:p w14:paraId="10ECEDA0" w14:textId="77777777" w:rsidR="00CC7416" w:rsidRDefault="00CC7416" w:rsidP="004E42A6"/>
    <w:sectPr w:rsidR="00CC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A6"/>
    <w:rsid w:val="00170AFD"/>
    <w:rsid w:val="001F7C0C"/>
    <w:rsid w:val="00203F95"/>
    <w:rsid w:val="00211D7F"/>
    <w:rsid w:val="00262AA3"/>
    <w:rsid w:val="002C768C"/>
    <w:rsid w:val="00312CFA"/>
    <w:rsid w:val="00331F0E"/>
    <w:rsid w:val="00477875"/>
    <w:rsid w:val="004E10E9"/>
    <w:rsid w:val="004E42A6"/>
    <w:rsid w:val="00502C9C"/>
    <w:rsid w:val="006143AD"/>
    <w:rsid w:val="007317E9"/>
    <w:rsid w:val="00AA2F5B"/>
    <w:rsid w:val="00C11717"/>
    <w:rsid w:val="00CB4274"/>
    <w:rsid w:val="00CC7416"/>
    <w:rsid w:val="00D57781"/>
    <w:rsid w:val="00D63127"/>
    <w:rsid w:val="00D7309B"/>
    <w:rsid w:val="00D93B08"/>
    <w:rsid w:val="00DF0029"/>
    <w:rsid w:val="00E71C52"/>
    <w:rsid w:val="00FB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C3FE"/>
  <w15:chartTrackingRefBased/>
  <w15:docId w15:val="{3914B072-A2B9-41ED-9F37-8A556C0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A6"/>
    <w:pPr>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42A6"/>
    <w:rPr>
      <w:sz w:val="16"/>
      <w:szCs w:val="16"/>
    </w:rPr>
  </w:style>
  <w:style w:type="character" w:customStyle="1" w:styleId="CommentTextChar">
    <w:name w:val="Comment Text Char"/>
    <w:basedOn w:val="DefaultParagraphFont"/>
    <w:link w:val="CommentText"/>
    <w:uiPriority w:val="99"/>
    <w:semiHidden/>
    <w:rsid w:val="004E42A6"/>
    <w:rPr>
      <w:sz w:val="20"/>
      <w:szCs w:val="20"/>
    </w:rPr>
  </w:style>
  <w:style w:type="paragraph" w:styleId="Caption">
    <w:name w:val="caption"/>
    <w:basedOn w:val="Normal"/>
    <w:next w:val="Normal"/>
    <w:uiPriority w:val="35"/>
    <w:unhideWhenUsed/>
    <w:qFormat/>
    <w:rsid w:val="004E42A6"/>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rsid w:val="004E42A6"/>
    <w:pPr>
      <w:spacing w:line="240" w:lineRule="auto"/>
    </w:pPr>
    <w:rPr>
      <w:color w:val="auto"/>
      <w:sz w:val="20"/>
      <w:szCs w:val="20"/>
    </w:rPr>
  </w:style>
  <w:style w:type="character" w:customStyle="1" w:styleId="CommentTextChar1">
    <w:name w:val="Comment Text Char1"/>
    <w:basedOn w:val="DefaultParagraphFont"/>
    <w:uiPriority w:val="99"/>
    <w:semiHidden/>
    <w:rsid w:val="004E42A6"/>
    <w:rPr>
      <w:color w:val="00000A"/>
      <w:sz w:val="20"/>
      <w:szCs w:val="20"/>
    </w:rPr>
  </w:style>
  <w:style w:type="paragraph" w:styleId="BalloonText">
    <w:name w:val="Balloon Text"/>
    <w:basedOn w:val="Normal"/>
    <w:link w:val="BalloonTextChar"/>
    <w:uiPriority w:val="99"/>
    <w:semiHidden/>
    <w:unhideWhenUsed/>
    <w:rsid w:val="004E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A6"/>
    <w:rPr>
      <w:rFonts w:ascii="Segoe UI" w:hAnsi="Segoe UI" w:cs="Segoe UI"/>
      <w:color w:val="00000A"/>
      <w:sz w:val="18"/>
      <w:szCs w:val="18"/>
    </w:rPr>
  </w:style>
  <w:style w:type="paragraph" w:styleId="CommentSubject">
    <w:name w:val="annotation subject"/>
    <w:basedOn w:val="CommentText"/>
    <w:next w:val="CommentText"/>
    <w:link w:val="CommentSubjectChar"/>
    <w:uiPriority w:val="99"/>
    <w:semiHidden/>
    <w:unhideWhenUsed/>
    <w:rsid w:val="004E42A6"/>
    <w:rPr>
      <w:b/>
      <w:bCs/>
      <w:color w:val="00000A"/>
    </w:rPr>
  </w:style>
  <w:style w:type="character" w:customStyle="1" w:styleId="CommentSubjectChar">
    <w:name w:val="Comment Subject Char"/>
    <w:basedOn w:val="CommentTextChar"/>
    <w:link w:val="CommentSubject"/>
    <w:uiPriority w:val="99"/>
    <w:semiHidden/>
    <w:rsid w:val="004E42A6"/>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1F3D-09AF-4AA8-9990-C447C4B9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wehner</dc:creator>
  <cp:keywords/>
  <dc:description/>
  <cp:lastModifiedBy>wehner</cp:lastModifiedBy>
  <cp:revision>5</cp:revision>
  <dcterms:created xsi:type="dcterms:W3CDTF">2017-08-01T20:13:00Z</dcterms:created>
  <dcterms:modified xsi:type="dcterms:W3CDTF">2017-08-02T20:49:00Z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http://www.zotero.org/styles/biomed-central</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http://www.zotero.org/styles/biomed-central</vt:lpwstr>
  </property>
  <property fmtid="{D5CDD505-2E9C-101B-9397-08002B2CF9AE}" pid="11" name="Mendeley Recent Style Name 3_1">
    <vt:lpwstr>BioMed Central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http://www.zotero.org/styles/circulation</vt:lpwstr>
  </property>
  <property fmtid="{D5CDD505-2E9C-101B-9397-08002B2CF9AE}" pid="15" name="Mendeley Recent Style Name 5_1">
    <vt:lpwstr>Circulation</vt:lpwstr>
  </property>
  <property fmtid="{D5CDD505-2E9C-101B-9397-08002B2CF9AE}" pid="16" name="Mendeley Recent Style Id 6_1">
    <vt:lpwstr>http://csl.mendeley.com/styles/27577511/circulation-PMCID</vt:lpwstr>
  </property>
  <property fmtid="{D5CDD505-2E9C-101B-9397-08002B2CF9AE}" pid="17" name="Mendeley Recent Style Name 6_1">
    <vt:lpwstr>Circulation - Sean Hamlet</vt:lpwstr>
  </property>
  <property fmtid="{D5CDD505-2E9C-101B-9397-08002B2CF9AE}" pid="18" name="Mendeley Recent Style Id 7_1">
    <vt:lpwstr>http://www.zotero.org/styles/council-of-science-editors</vt:lpwstr>
  </property>
  <property fmtid="{D5CDD505-2E9C-101B-9397-08002B2CF9AE}" pid="19" name="Mendeley Recent Style Name 7_1">
    <vt:lpwstr>Council of Science Editors, Citation-Sequence (numeric)</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(author-date)</vt:lpwstr>
  </property>
  <property fmtid="{D5CDD505-2E9C-101B-9397-08002B2CF9AE}" pid="22" name="Mendeley Recent Style Id 9_1">
    <vt:lpwstr>http://www.zotero.org/styles/ieee</vt:lpwstr>
  </property>
  <property fmtid="{D5CDD505-2E9C-101B-9397-08002B2CF9AE}" pid="23" name="Mendeley Recent Style Name 9_1">
    <vt:lpwstr>IEEE</vt:lpwstr>
  </property>
  <property fmtid="{D5CDD505-2E9C-101B-9397-08002B2CF9AE}" pid="24" name="Mendeley Unique User Id_1">
    <vt:lpwstr>649fdc81-8636-340f-b27e-9a4aad8ab224</vt:lpwstr>
  </property>
</Properties>
</file>