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D43F3" w14:textId="77777777" w:rsidR="000075B3" w:rsidRDefault="000075B3" w:rsidP="000075B3">
      <w:bookmarkStart w:id="0" w:name="_GoBack"/>
      <w:bookmarkEnd w:id="0"/>
    </w:p>
    <w:p w14:paraId="119156ED" w14:textId="5071D76C" w:rsidR="000075B3" w:rsidRDefault="000075B3" w:rsidP="000075B3">
      <w:pPr>
        <w:spacing w:line="480" w:lineRule="auto"/>
      </w:pPr>
      <w:r>
        <w:rPr>
          <w:b/>
        </w:rPr>
        <w:t>Supplemental Online Material</w:t>
      </w:r>
      <w:r w:rsidRPr="001C65FA">
        <w:rPr>
          <w:b/>
        </w:rPr>
        <w:t xml:space="preserve"> to</w:t>
      </w:r>
      <w:r>
        <w:rPr>
          <w:b/>
        </w:rPr>
        <w:t xml:space="preserve">: </w:t>
      </w:r>
      <w:r w:rsidR="005C68E2" w:rsidRPr="005C68E2">
        <w:t xml:space="preserve">The stimulant </w:t>
      </w:r>
      <w:r w:rsidR="005C68E2">
        <w:t xml:space="preserve">higenamine </w:t>
      </w:r>
      <w:r w:rsidR="00206D09">
        <w:t>in weight loss and sports supplements</w:t>
      </w:r>
    </w:p>
    <w:p w14:paraId="0FC0743A" w14:textId="77777777" w:rsidR="000075B3" w:rsidRDefault="000075B3" w:rsidP="000075B3">
      <w:pPr>
        <w:spacing w:line="480" w:lineRule="auto"/>
        <w:rPr>
          <w:b/>
        </w:rPr>
      </w:pPr>
      <w:r>
        <w:rPr>
          <w:b/>
        </w:rPr>
        <w:t>Synthesis</w:t>
      </w:r>
    </w:p>
    <w:p w14:paraId="65379C66" w14:textId="77777777" w:rsidR="000075B3" w:rsidRPr="006E394A" w:rsidRDefault="000075B3" w:rsidP="000075B3">
      <w:r w:rsidRPr="006E394A">
        <w:rPr>
          <w:b/>
        </w:rPr>
        <w:t>Scheme 1</w:t>
      </w:r>
      <w:r w:rsidRPr="006E394A">
        <w:t>.</w:t>
      </w:r>
    </w:p>
    <w:p w14:paraId="2177F243" w14:textId="77777777" w:rsidR="000075B3" w:rsidRDefault="000075B3" w:rsidP="000075B3">
      <w:pPr>
        <w:jc w:val="both"/>
      </w:pPr>
      <w:r>
        <w:object w:dxaOrig="9816" w:dyaOrig="4061" w14:anchorId="59A8D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0pt" o:ole="">
            <v:imagedata r:id="rId5" o:title=""/>
          </v:shape>
          <o:OLEObject Type="Embed" ProgID="ChemDraw.Document.6.0" ShapeID="_x0000_i1025" DrawAspect="Content" ObjectID="_1591592463" r:id="rId6"/>
        </w:object>
      </w:r>
    </w:p>
    <w:p w14:paraId="1195BBD3" w14:textId="77777777" w:rsidR="000075B3" w:rsidRPr="002A2315" w:rsidRDefault="000075B3" w:rsidP="000075B3">
      <w:pPr>
        <w:rPr>
          <w:rFonts w:ascii="Calibri" w:hAnsi="Calibri"/>
          <w:sz w:val="20"/>
          <w:szCs w:val="20"/>
        </w:rPr>
      </w:pPr>
    </w:p>
    <w:p w14:paraId="38534C12" w14:textId="2821B5A3" w:rsidR="000075B3" w:rsidRDefault="000075B3" w:rsidP="000075B3">
      <w:pPr>
        <w:rPr>
          <w:iCs/>
          <w:color w:val="1B1B1B"/>
        </w:rPr>
      </w:pPr>
      <w:r w:rsidRPr="002A2315">
        <w:rPr>
          <w:color w:val="1B1B1B"/>
        </w:rPr>
        <w:t>Synthesis of higenamine</w:t>
      </w:r>
      <w:r>
        <w:rPr>
          <w:color w:val="1B1B1B"/>
        </w:rPr>
        <w:t xml:space="preserve"> </w:t>
      </w:r>
      <w:r w:rsidRPr="002A2315">
        <w:rPr>
          <w:color w:val="1B1B1B"/>
          <w:vertAlign w:val="superscript"/>
        </w:rPr>
        <w:t>(a)</w:t>
      </w:r>
      <w:r>
        <w:rPr>
          <w:color w:val="1B1B1B"/>
        </w:rPr>
        <w:t xml:space="preserve"> </w:t>
      </w:r>
      <w:r w:rsidRPr="002A2315">
        <w:rPr>
          <w:color w:val="1B1B1B"/>
        </w:rPr>
        <w:t>and</w:t>
      </w:r>
      <w:r w:rsidR="00F94E31">
        <w:rPr>
          <w:color w:val="1B1B1B"/>
        </w:rPr>
        <w:t xml:space="preserve"> preparation of synthetic intermediates utilized in the synthesis of higenamine </w:t>
      </w:r>
      <w:r>
        <w:rPr>
          <w:color w:val="1B1B1B"/>
          <w:vertAlign w:val="superscript"/>
        </w:rPr>
        <w:t>(</w:t>
      </w:r>
      <w:r w:rsidRPr="002A2315">
        <w:rPr>
          <w:color w:val="1B1B1B"/>
          <w:vertAlign w:val="superscript"/>
        </w:rPr>
        <w:t>b)</w:t>
      </w:r>
      <w:r w:rsidRPr="002A2315">
        <w:rPr>
          <w:color w:val="1B1B1B"/>
        </w:rPr>
        <w:t xml:space="preserve"> have been previously described. Condensation of </w:t>
      </w:r>
      <w:r w:rsidRPr="002A2315">
        <w:t>4-Methoxyphenylacetic acid (</w:t>
      </w:r>
      <w:r w:rsidRPr="002A2315">
        <w:rPr>
          <w:b/>
        </w:rPr>
        <w:t>1</w:t>
      </w:r>
      <w:r w:rsidRPr="002A2315">
        <w:t xml:space="preserve">) and </w:t>
      </w:r>
      <w:r w:rsidRPr="002A2315">
        <w:rPr>
          <w:rFonts w:eastAsia="Times New Roman"/>
        </w:rPr>
        <w:t>3,4-dimethoxyphenethylamine (</w:t>
      </w:r>
      <w:r w:rsidRPr="002A2315">
        <w:rPr>
          <w:rFonts w:eastAsia="Times New Roman"/>
          <w:b/>
        </w:rPr>
        <w:t>2</w:t>
      </w:r>
      <w:r w:rsidRPr="002A2315">
        <w:rPr>
          <w:rFonts w:eastAsia="Times New Roman"/>
        </w:rPr>
        <w:t xml:space="preserve">) yielded </w:t>
      </w:r>
      <w:r w:rsidRPr="002A2315">
        <w:rPr>
          <w:color w:val="1B1B1B"/>
        </w:rPr>
        <w:t xml:space="preserve">N-(3', 4'-dimethoxyphenylethyl)-4-methoxyphenyl </w:t>
      </w:r>
      <w:proofErr w:type="spellStart"/>
      <w:r w:rsidRPr="002A2315">
        <w:rPr>
          <w:color w:val="1B1B1B"/>
        </w:rPr>
        <w:t>acetamide</w:t>
      </w:r>
      <w:proofErr w:type="spellEnd"/>
      <w:r w:rsidRPr="002A2315">
        <w:t xml:space="preserve"> (</w:t>
      </w:r>
      <w:r w:rsidRPr="002A2315">
        <w:rPr>
          <w:b/>
        </w:rPr>
        <w:t>3</w:t>
      </w:r>
      <w:r w:rsidRPr="002A2315">
        <w:t xml:space="preserve">).  </w:t>
      </w:r>
      <w:proofErr w:type="spellStart"/>
      <w:r w:rsidRPr="002A2315">
        <w:t>Bischler-Napieralski</w:t>
      </w:r>
      <w:proofErr w:type="spellEnd"/>
      <w:r w:rsidRPr="002A2315">
        <w:t xml:space="preserve"> cyclization of (</w:t>
      </w:r>
      <w:r w:rsidRPr="002A2315">
        <w:rPr>
          <w:b/>
        </w:rPr>
        <w:t>3</w:t>
      </w:r>
      <w:r>
        <w:t>) with phosphorus oxyc</w:t>
      </w:r>
      <w:r w:rsidRPr="002A2315">
        <w:t xml:space="preserve">hloride afforded </w:t>
      </w:r>
      <w:r w:rsidRPr="002A2315">
        <w:rPr>
          <w:color w:val="1B1B1B"/>
        </w:rPr>
        <w:t>1-</w:t>
      </w:r>
      <w:r w:rsidRPr="002A2315">
        <w:rPr>
          <w:iCs/>
          <w:color w:val="1B1B1B"/>
        </w:rPr>
        <w:t>(4' -</w:t>
      </w:r>
      <w:proofErr w:type="spellStart"/>
      <w:r w:rsidRPr="002A2315">
        <w:rPr>
          <w:iCs/>
          <w:color w:val="1B1B1B"/>
        </w:rPr>
        <w:t>Methoxybenzyl</w:t>
      </w:r>
      <w:proofErr w:type="spellEnd"/>
      <w:r w:rsidRPr="002A2315">
        <w:rPr>
          <w:iCs/>
          <w:color w:val="1B1B1B"/>
        </w:rPr>
        <w:t>)-6, 7-dimethoxy-3,4-dihydroisoquinoline (</w:t>
      </w:r>
      <w:r w:rsidRPr="002A2315">
        <w:rPr>
          <w:b/>
          <w:iCs/>
          <w:color w:val="1B1B1B"/>
        </w:rPr>
        <w:t>4</w:t>
      </w:r>
      <w:r w:rsidRPr="002A2315">
        <w:rPr>
          <w:iCs/>
          <w:color w:val="1B1B1B"/>
        </w:rPr>
        <w:t xml:space="preserve">). Reduction of the </w:t>
      </w:r>
      <w:proofErr w:type="spellStart"/>
      <w:r w:rsidRPr="002A2315">
        <w:rPr>
          <w:iCs/>
          <w:color w:val="1B1B1B"/>
        </w:rPr>
        <w:t>dihydroisoquinoline</w:t>
      </w:r>
      <w:proofErr w:type="spellEnd"/>
      <w:r w:rsidRPr="002A2315">
        <w:rPr>
          <w:iCs/>
          <w:color w:val="1B1B1B"/>
        </w:rPr>
        <w:t xml:space="preserve"> (4) with sodium borohydride yielded 1-(4'-Methoxybenzyl)-6, 7-dimethoxy-1, 2, 3, 4</w:t>
      </w:r>
      <w:r w:rsidRPr="002A2315">
        <w:rPr>
          <w:iCs/>
          <w:color w:val="B4B4B4"/>
        </w:rPr>
        <w:t>-</w:t>
      </w:r>
      <w:r w:rsidRPr="002A2315">
        <w:rPr>
          <w:iCs/>
          <w:color w:val="1B1B1B"/>
        </w:rPr>
        <w:t>tetrahydroisoquinoline (</w:t>
      </w:r>
      <w:r w:rsidRPr="002A2315">
        <w:rPr>
          <w:b/>
          <w:iCs/>
          <w:color w:val="1B1B1B"/>
        </w:rPr>
        <w:t>5</w:t>
      </w:r>
      <w:r w:rsidRPr="002A2315">
        <w:rPr>
          <w:iCs/>
          <w:color w:val="1B1B1B"/>
        </w:rPr>
        <w:t>).  Refluxing (</w:t>
      </w:r>
      <w:r w:rsidRPr="002A2315">
        <w:rPr>
          <w:b/>
          <w:iCs/>
          <w:color w:val="1B1B1B"/>
        </w:rPr>
        <w:t>5</w:t>
      </w:r>
      <w:r>
        <w:rPr>
          <w:iCs/>
          <w:color w:val="1B1B1B"/>
        </w:rPr>
        <w:t>)</w:t>
      </w:r>
      <w:r w:rsidRPr="002A2315">
        <w:rPr>
          <w:iCs/>
          <w:color w:val="1B1B1B"/>
        </w:rPr>
        <w:t xml:space="preserve"> in </w:t>
      </w:r>
      <w:proofErr w:type="spellStart"/>
      <w:r w:rsidRPr="002A2315">
        <w:rPr>
          <w:iCs/>
          <w:color w:val="1B1B1B"/>
        </w:rPr>
        <w:t>hydroiodic</w:t>
      </w:r>
      <w:proofErr w:type="spellEnd"/>
      <w:r w:rsidRPr="002A2315">
        <w:rPr>
          <w:iCs/>
          <w:color w:val="1B1B1B"/>
        </w:rPr>
        <w:t xml:space="preserve"> acid afforded </w:t>
      </w:r>
      <w:proofErr w:type="spellStart"/>
      <w:r w:rsidRPr="002A2315">
        <w:rPr>
          <w:iCs/>
          <w:color w:val="1B1B1B"/>
        </w:rPr>
        <w:t>higenamine</w:t>
      </w:r>
      <w:proofErr w:type="spellEnd"/>
      <w:r w:rsidRPr="002A2315">
        <w:rPr>
          <w:iCs/>
          <w:color w:val="1B1B1B"/>
        </w:rPr>
        <w:t xml:space="preserve"> </w:t>
      </w:r>
      <w:proofErr w:type="spellStart"/>
      <w:r w:rsidRPr="002A2315">
        <w:rPr>
          <w:iCs/>
          <w:color w:val="1B1B1B"/>
        </w:rPr>
        <w:t>hydroiodide</w:t>
      </w:r>
      <w:proofErr w:type="spellEnd"/>
      <w:r>
        <w:rPr>
          <w:iCs/>
          <w:color w:val="1B1B1B"/>
        </w:rPr>
        <w:t xml:space="preserve"> </w:t>
      </w:r>
      <w:r w:rsidRPr="002A2315">
        <w:rPr>
          <w:iCs/>
          <w:color w:val="1B1B1B"/>
        </w:rPr>
        <w:t>(</w:t>
      </w:r>
      <w:r w:rsidRPr="002A2315">
        <w:rPr>
          <w:b/>
          <w:iCs/>
          <w:color w:val="1B1B1B"/>
        </w:rPr>
        <w:t>6</w:t>
      </w:r>
      <w:r w:rsidRPr="002A2315">
        <w:rPr>
          <w:iCs/>
          <w:color w:val="1B1B1B"/>
        </w:rPr>
        <w:t xml:space="preserve">, </w:t>
      </w:r>
      <w:r w:rsidRPr="002A2315">
        <w:rPr>
          <w:bCs/>
          <w:iCs/>
          <w:color w:val="1B1B1B"/>
        </w:rPr>
        <w:t>1-(4'-Hydroxybenzyl)-6, 7-dihydroxy-1,</w:t>
      </w:r>
      <w:r>
        <w:rPr>
          <w:bCs/>
          <w:iCs/>
          <w:color w:val="1B1B1B"/>
        </w:rPr>
        <w:t xml:space="preserve"> 2, 3, 4-tetrahydroisoquinoline </w:t>
      </w:r>
      <w:proofErr w:type="spellStart"/>
      <w:r w:rsidRPr="002A2315">
        <w:rPr>
          <w:bCs/>
          <w:iCs/>
          <w:color w:val="1B1B1B"/>
        </w:rPr>
        <w:t>hydroiodide</w:t>
      </w:r>
      <w:proofErr w:type="spellEnd"/>
      <w:r>
        <w:rPr>
          <w:iCs/>
          <w:color w:val="1B1B1B"/>
        </w:rPr>
        <w:t>).</w:t>
      </w:r>
    </w:p>
    <w:p w14:paraId="6E9A0DC7" w14:textId="77777777" w:rsidR="000075B3" w:rsidRDefault="000075B3" w:rsidP="000075B3">
      <w:pPr>
        <w:rPr>
          <w:iCs/>
          <w:color w:val="1B1B1B"/>
        </w:rPr>
      </w:pPr>
    </w:p>
    <w:p w14:paraId="270F70D3" w14:textId="77777777" w:rsidR="000075B3" w:rsidRPr="002A2315" w:rsidRDefault="000075B3" w:rsidP="000075B3">
      <w:pPr>
        <w:pStyle w:val="ListParagraph"/>
        <w:numPr>
          <w:ilvl w:val="0"/>
          <w:numId w:val="1"/>
        </w:numPr>
        <w:spacing w:after="160" w:line="259" w:lineRule="auto"/>
        <w:rPr>
          <w:rFonts w:ascii="Times New Roman" w:hAnsi="Times New Roman" w:cs="Times New Roman"/>
          <w:sz w:val="20"/>
          <w:szCs w:val="20"/>
        </w:rPr>
      </w:pPr>
      <w:r w:rsidRPr="002A2315">
        <w:rPr>
          <w:rFonts w:ascii="Times New Roman" w:hAnsi="Times New Roman" w:cs="Times New Roman"/>
          <w:sz w:val="20"/>
          <w:szCs w:val="20"/>
        </w:rPr>
        <w:t>Arch. Pharm. Res. 7 (2), 133-136 (1984</w:t>
      </w:r>
      <w:r>
        <w:rPr>
          <w:rFonts w:ascii="Times New Roman" w:hAnsi="Times New Roman" w:cs="Times New Roman"/>
          <w:sz w:val="20"/>
          <w:szCs w:val="20"/>
        </w:rPr>
        <w:t>)</w:t>
      </w:r>
    </w:p>
    <w:p w14:paraId="166806ED" w14:textId="77777777" w:rsidR="000075B3" w:rsidRPr="002A2315" w:rsidRDefault="000075B3" w:rsidP="000075B3">
      <w:pPr>
        <w:pStyle w:val="ListParagraph"/>
        <w:numPr>
          <w:ilvl w:val="0"/>
          <w:numId w:val="1"/>
        </w:numPr>
        <w:spacing w:after="160" w:line="259" w:lineRule="auto"/>
        <w:rPr>
          <w:rFonts w:ascii="Times New Roman" w:hAnsi="Times New Roman" w:cs="Times New Roman"/>
          <w:sz w:val="20"/>
          <w:szCs w:val="20"/>
        </w:rPr>
      </w:pPr>
      <w:r w:rsidRPr="002A2315">
        <w:rPr>
          <w:rFonts w:ascii="Times New Roman" w:hAnsi="Times New Roman" w:cs="Times New Roman"/>
          <w:sz w:val="20"/>
          <w:szCs w:val="20"/>
        </w:rPr>
        <w:t>European Journal of Medicinal Chemistry 45 (2010) 11–18</w:t>
      </w:r>
    </w:p>
    <w:p w14:paraId="2FDE7562" w14:textId="77777777" w:rsidR="000075B3" w:rsidRPr="002A2315" w:rsidRDefault="000075B3" w:rsidP="000075B3"/>
    <w:p w14:paraId="044A0ECA" w14:textId="06B67F87" w:rsidR="000075B3" w:rsidRDefault="002B748B" w:rsidP="000075B3">
      <w:pPr>
        <w:spacing w:line="480" w:lineRule="auto"/>
      </w:pPr>
      <w:r w:rsidRPr="002B748B">
        <w:rPr>
          <w:b/>
        </w:rPr>
        <w:t>Materials</w:t>
      </w:r>
    </w:p>
    <w:p w14:paraId="22470CBA" w14:textId="3B76380F" w:rsidR="002B748B" w:rsidRDefault="006B0066" w:rsidP="002B748B">
      <w:pPr>
        <w:spacing w:line="480" w:lineRule="auto"/>
      </w:pPr>
      <w:r>
        <w:t>NSF obtained a</w:t>
      </w:r>
      <w:r w:rsidR="002B748B">
        <w:t xml:space="preserve">mmonium </w:t>
      </w:r>
      <w:proofErr w:type="spellStart"/>
      <w:r w:rsidR="002B748B">
        <w:t>formate</w:t>
      </w:r>
      <w:proofErr w:type="spellEnd"/>
      <w:r w:rsidR="002B748B">
        <w:t xml:space="preserve"> (ACS reagent grade) from Alfa </w:t>
      </w:r>
      <w:proofErr w:type="spellStart"/>
      <w:r w:rsidR="002B748B">
        <w:t>Aesar</w:t>
      </w:r>
      <w:proofErr w:type="spellEnd"/>
      <w:r w:rsidR="002B748B">
        <w:t xml:space="preserve"> (Ward Hill, MA); acetonitrile (HPLC grade), methanol (Ultra </w:t>
      </w:r>
      <w:proofErr w:type="spellStart"/>
      <w:r w:rsidR="002B748B">
        <w:t>Resi</w:t>
      </w:r>
      <w:proofErr w:type="spellEnd"/>
      <w:r w:rsidR="002B748B">
        <w:t xml:space="preserve"> Analyzed grade) and formic acid (ACS reagent grade), from JT Baker (Center Valley, PA); water (Optima, LC-MS grade), from Fisher Scientific (Fairlawn, NJ) and formic acid (LC-MS grade) from Sigma-Aldrich (St Louis, MO); and acetonitrile (LCMS grade), from EMD-Millipore (Billerica, MA).</w:t>
      </w:r>
    </w:p>
    <w:p w14:paraId="1ABFF545" w14:textId="77777777" w:rsidR="002B748B" w:rsidRDefault="002B748B" w:rsidP="002B748B">
      <w:pPr>
        <w:spacing w:line="480" w:lineRule="auto"/>
      </w:pPr>
    </w:p>
    <w:p w14:paraId="0791FD7E" w14:textId="5131064C" w:rsidR="002B748B" w:rsidRDefault="002B748B" w:rsidP="002B748B">
      <w:pPr>
        <w:spacing w:line="480" w:lineRule="auto"/>
      </w:pPr>
      <w:r>
        <w:t xml:space="preserve">RIVM obtained higenamine reference standards from </w:t>
      </w:r>
      <w:r w:rsidRPr="0035568D">
        <w:t>Sigma-Aldrich (</w:t>
      </w:r>
      <w:proofErr w:type="spellStart"/>
      <w:r w:rsidRPr="0035568D">
        <w:t>Zwijndrecht</w:t>
      </w:r>
      <w:proofErr w:type="spellEnd"/>
      <w:r w:rsidRPr="0035568D">
        <w:t>, NL)</w:t>
      </w:r>
      <w:r>
        <w:t xml:space="preserve">. Formic acid (p.a.), acetonitrile (p.a.) and ammonium hydroxide (p.a.) were obtained from Merck (Darmstadt, Germany); water (ULC/MS), from </w:t>
      </w:r>
      <w:proofErr w:type="spellStart"/>
      <w:r>
        <w:t>Biosolve</w:t>
      </w:r>
      <w:proofErr w:type="spellEnd"/>
      <w:r>
        <w:t xml:space="preserve"> (</w:t>
      </w:r>
      <w:proofErr w:type="spellStart"/>
      <w:r>
        <w:t>Valkenswaard</w:t>
      </w:r>
      <w:proofErr w:type="spellEnd"/>
      <w:r>
        <w:t xml:space="preserve">, NL); leucine </w:t>
      </w:r>
      <w:proofErr w:type="spellStart"/>
      <w:r>
        <w:t>enkephalin</w:t>
      </w:r>
      <w:proofErr w:type="spellEnd"/>
      <w:r>
        <w:t>, from Waters (</w:t>
      </w:r>
      <w:proofErr w:type="spellStart"/>
      <w:r>
        <w:t>Ettenleur</w:t>
      </w:r>
      <w:proofErr w:type="spellEnd"/>
      <w:r>
        <w:t xml:space="preserve">, NL); and sodium </w:t>
      </w:r>
      <w:proofErr w:type="spellStart"/>
      <w:r>
        <w:t>formate</w:t>
      </w:r>
      <w:proofErr w:type="spellEnd"/>
      <w:r>
        <w:t>, from Sigma Aldrich (</w:t>
      </w:r>
      <w:proofErr w:type="spellStart"/>
      <w:r>
        <w:t>Zwijndrecht</w:t>
      </w:r>
      <w:proofErr w:type="spellEnd"/>
      <w:r>
        <w:t>, NL).</w:t>
      </w:r>
    </w:p>
    <w:p w14:paraId="40BC017D" w14:textId="77777777" w:rsidR="002B748B" w:rsidRPr="00CD3D3F" w:rsidRDefault="002B748B" w:rsidP="000075B3">
      <w:pPr>
        <w:spacing w:line="480" w:lineRule="auto"/>
      </w:pPr>
    </w:p>
    <w:p w14:paraId="28261B39" w14:textId="77777777" w:rsidR="000075B3" w:rsidRDefault="000075B3" w:rsidP="000075B3">
      <w:pPr>
        <w:spacing w:line="480" w:lineRule="auto"/>
        <w:rPr>
          <w:b/>
        </w:rPr>
      </w:pPr>
      <w:r w:rsidRPr="00E0392B">
        <w:rPr>
          <w:b/>
        </w:rPr>
        <w:t>Instrumentation</w:t>
      </w:r>
    </w:p>
    <w:p w14:paraId="58EF2A41" w14:textId="2B52FAE1" w:rsidR="000075B3" w:rsidRDefault="000075B3" w:rsidP="000075B3">
      <w:pPr>
        <w:spacing w:line="480" w:lineRule="auto"/>
      </w:pPr>
      <w:r w:rsidRPr="00334CB3">
        <w:t xml:space="preserve">At the NSF International laboratory, </w:t>
      </w:r>
      <w:r w:rsidR="00D667A5">
        <w:t>products</w:t>
      </w:r>
      <w:r w:rsidR="00D667A5" w:rsidRPr="00334CB3">
        <w:t xml:space="preserve"> </w:t>
      </w:r>
      <w:r w:rsidRPr="00334CB3">
        <w:t xml:space="preserve">were analyzed for </w:t>
      </w:r>
      <w:proofErr w:type="spellStart"/>
      <w:r>
        <w:t>higenamine</w:t>
      </w:r>
      <w:proofErr w:type="spellEnd"/>
      <w:r w:rsidRPr="00334CB3">
        <w:t xml:space="preserve"> using a </w:t>
      </w:r>
      <w:proofErr w:type="spellStart"/>
      <w:r w:rsidRPr="00334CB3">
        <w:t>Xevo</w:t>
      </w:r>
      <w:proofErr w:type="spellEnd"/>
      <w:r w:rsidRPr="00334CB3">
        <w:t xml:space="preserve">-TQS with an </w:t>
      </w:r>
      <w:proofErr w:type="spellStart"/>
      <w:r w:rsidRPr="00334CB3">
        <w:t>Acquity</w:t>
      </w:r>
      <w:proofErr w:type="spellEnd"/>
      <w:r w:rsidRPr="00334CB3">
        <w:t xml:space="preserve"> UPLC (Waters, Milford, MA) fitted with a BEH C18 column (2.1 mm ID x 50 mm, 1.7 </w:t>
      </w:r>
      <w:proofErr w:type="spellStart"/>
      <w:r w:rsidRPr="00334CB3">
        <w:t>μm</w:t>
      </w:r>
      <w:proofErr w:type="spellEnd"/>
      <w:r w:rsidRPr="00334CB3">
        <w:t xml:space="preserve"> particle size). The flow rate was 0.5 mL/min with a column temperature of 40oC. An injection volume of 5 </w:t>
      </w:r>
      <w:proofErr w:type="spellStart"/>
      <w:r w:rsidRPr="00334CB3">
        <w:t>μl</w:t>
      </w:r>
      <w:proofErr w:type="spellEnd"/>
      <w:r w:rsidRPr="00334CB3">
        <w:t xml:space="preserve"> was used. The mobile phase consisted of component A, 0.1% formic acid in de-ionized water and component B, acetonitrile. A</w:t>
      </w:r>
      <w:r>
        <w:t>n</w:t>
      </w:r>
      <w:r w:rsidRPr="00334CB3">
        <w:t xml:space="preserve"> </w:t>
      </w:r>
      <w:r>
        <w:t>isocratic</w:t>
      </w:r>
      <w:r w:rsidRPr="00334CB3">
        <w:t xml:space="preserve"> elution was employed </w:t>
      </w:r>
      <w:r>
        <w:t>at</w:t>
      </w:r>
      <w:r w:rsidRPr="00334CB3">
        <w:t xml:space="preserve"> 95% A </w:t>
      </w:r>
      <w:r>
        <w:t xml:space="preserve">for </w:t>
      </w:r>
      <w:r w:rsidRPr="00334CB3">
        <w:t>2</w:t>
      </w:r>
      <w:r>
        <w:t>.5</w:t>
      </w:r>
      <w:r w:rsidRPr="00334CB3">
        <w:t xml:space="preserve"> min</w:t>
      </w:r>
      <w:r>
        <w:t>.</w:t>
      </w:r>
      <w:r w:rsidRPr="00334CB3">
        <w:t xml:space="preserve"> The column was flushed with 90% B for </w:t>
      </w:r>
      <w:r>
        <w:t>2.9</w:t>
      </w:r>
      <w:r w:rsidRPr="00334CB3">
        <w:t xml:space="preserve"> min and re-equilibrated at 95% A for </w:t>
      </w:r>
      <w:r>
        <w:t>4.4</w:t>
      </w:r>
      <w:r w:rsidRPr="00334CB3">
        <w:t xml:space="preserve"> min between runs. Tandem mass spectrometry was performed using electrospray ionization in positive polarity under the following conditions: capillary of 3.5 kV, cone of </w:t>
      </w:r>
      <w:r>
        <w:t>4</w:t>
      </w:r>
      <w:r w:rsidRPr="00334CB3">
        <w:t xml:space="preserve"> V, source offset of 50 V, source temperature of 150</w:t>
      </w:r>
      <w:r>
        <w:t>°</w:t>
      </w:r>
      <w:r w:rsidRPr="00334CB3">
        <w:t xml:space="preserve">C, </w:t>
      </w:r>
      <w:proofErr w:type="spellStart"/>
      <w:r w:rsidRPr="00334CB3">
        <w:t>desolvation</w:t>
      </w:r>
      <w:proofErr w:type="spellEnd"/>
      <w:r w:rsidRPr="00334CB3">
        <w:t xml:space="preserve"> temperature of 600</w:t>
      </w:r>
      <w:r>
        <w:t>°</w:t>
      </w:r>
      <w:r w:rsidRPr="00334CB3">
        <w:t xml:space="preserve">C, </w:t>
      </w:r>
      <w:proofErr w:type="spellStart"/>
      <w:r w:rsidRPr="00334CB3">
        <w:t>desolvation</w:t>
      </w:r>
      <w:proofErr w:type="spellEnd"/>
      <w:r w:rsidRPr="00334CB3">
        <w:t xml:space="preserve"> gas flow of 1000 L/</w:t>
      </w:r>
      <w:proofErr w:type="spellStart"/>
      <w:r w:rsidRPr="00334CB3">
        <w:t>hr</w:t>
      </w:r>
      <w:proofErr w:type="spellEnd"/>
      <w:r w:rsidRPr="00334CB3">
        <w:t xml:space="preserve"> and a collision gas flow of 0.1</w:t>
      </w:r>
      <w:r>
        <w:t>1</w:t>
      </w:r>
      <w:r w:rsidRPr="00334CB3">
        <w:t xml:space="preserve"> mL/min. The precursor ion was m/z </w:t>
      </w:r>
      <w:r>
        <w:t>272.35</w:t>
      </w:r>
      <w:r w:rsidRPr="00334CB3">
        <w:t xml:space="preserve"> and the product ions were m/z </w:t>
      </w:r>
      <w:r>
        <w:t>107.09</w:t>
      </w:r>
      <w:r w:rsidRPr="00334CB3">
        <w:t xml:space="preserve">, </w:t>
      </w:r>
      <w:r>
        <w:t>161.06</w:t>
      </w:r>
      <w:r w:rsidRPr="00334CB3">
        <w:t xml:space="preserve"> and </w:t>
      </w:r>
      <w:r>
        <w:t>143.05</w:t>
      </w:r>
      <w:r w:rsidRPr="00334CB3">
        <w:t xml:space="preserve"> in multiple reaction monitoring mode at collision energies of </w:t>
      </w:r>
      <w:r>
        <w:t>24</w:t>
      </w:r>
      <w:r w:rsidRPr="00334CB3">
        <w:t xml:space="preserve"> eV, </w:t>
      </w:r>
      <w:r>
        <w:t>18</w:t>
      </w:r>
      <w:r w:rsidRPr="00334CB3">
        <w:t xml:space="preserve"> and </w:t>
      </w:r>
      <w:r>
        <w:t>26</w:t>
      </w:r>
      <w:r w:rsidRPr="00334CB3">
        <w:t xml:space="preserve"> respectively. Quantitation was performed using the product ion m/z </w:t>
      </w:r>
      <w:r>
        <w:t>107.09</w:t>
      </w:r>
      <w:r w:rsidRPr="00334CB3">
        <w:t>.</w:t>
      </w:r>
    </w:p>
    <w:p w14:paraId="6A34E391" w14:textId="77777777" w:rsidR="000075B3" w:rsidRPr="00334CB3" w:rsidRDefault="000075B3" w:rsidP="000075B3">
      <w:pPr>
        <w:spacing w:line="480" w:lineRule="auto"/>
      </w:pPr>
    </w:p>
    <w:p w14:paraId="0A0B175B" w14:textId="296F5019" w:rsidR="000075B3" w:rsidRPr="00DB4199" w:rsidRDefault="000075B3" w:rsidP="000075B3">
      <w:pPr>
        <w:spacing w:line="480" w:lineRule="auto"/>
      </w:pPr>
      <w:r w:rsidRPr="00DB4199">
        <w:lastRenderedPageBreak/>
        <w:t xml:space="preserve">At the RIVM laboratory </w:t>
      </w:r>
      <w:r w:rsidR="00D667A5">
        <w:t>products</w:t>
      </w:r>
      <w:r w:rsidR="00D667A5" w:rsidRPr="00DB4199">
        <w:t xml:space="preserve"> </w:t>
      </w:r>
      <w:r w:rsidRPr="00DB4199">
        <w:t xml:space="preserve">were analyzed using a Waters </w:t>
      </w:r>
      <w:proofErr w:type="spellStart"/>
      <w:r w:rsidRPr="00DB4199">
        <w:t>Acquity</w:t>
      </w:r>
      <w:proofErr w:type="spellEnd"/>
      <w:r w:rsidRPr="00DB4199">
        <w:t xml:space="preserve">™ ultra-performance liquid chromatography (UPLC) system fitted with an HSS C18 column (150 mm x 2.1 mm </w:t>
      </w:r>
      <w:proofErr w:type="spellStart"/>
      <w:r w:rsidRPr="00DB4199">
        <w:t>i.d.</w:t>
      </w:r>
      <w:proofErr w:type="spellEnd"/>
      <w:r w:rsidRPr="00DB4199">
        <w:t xml:space="preserve">, 1.8 </w:t>
      </w:r>
      <w:proofErr w:type="spellStart"/>
      <w:r w:rsidRPr="005F2A60">
        <w:t>μ</w:t>
      </w:r>
      <w:r w:rsidRPr="00DB4199">
        <w:t>m</w:t>
      </w:r>
      <w:proofErr w:type="spellEnd"/>
      <w:r w:rsidRPr="00DB4199">
        <w:t xml:space="preserve">; Waters Chromatography B.V., </w:t>
      </w:r>
      <w:proofErr w:type="spellStart"/>
      <w:r w:rsidRPr="00DB4199">
        <w:t>Etten-Leur</w:t>
      </w:r>
      <w:proofErr w:type="spellEnd"/>
      <w:r w:rsidRPr="00DB4199">
        <w:t xml:space="preserve">, NL). Detection of the </w:t>
      </w:r>
      <w:proofErr w:type="spellStart"/>
      <w:r w:rsidRPr="00DB4199">
        <w:t>analytes</w:t>
      </w:r>
      <w:proofErr w:type="spellEnd"/>
      <w:r w:rsidRPr="00DB4199">
        <w:t xml:space="preserve"> was carried out using a Waters </w:t>
      </w:r>
      <w:proofErr w:type="spellStart"/>
      <w:r w:rsidRPr="00DB4199">
        <w:t>Synapt</w:t>
      </w:r>
      <w:proofErr w:type="spellEnd"/>
      <w:r w:rsidRPr="00DB4199">
        <w:t xml:space="preserve">™ G2 quadrupole time of flight (QTOF) mass spectrometer (Waters Chromatography B.V., </w:t>
      </w:r>
      <w:proofErr w:type="spellStart"/>
      <w:r w:rsidRPr="00DB4199">
        <w:t>Etten-Leur</w:t>
      </w:r>
      <w:proofErr w:type="spellEnd"/>
      <w:r w:rsidRPr="00DB4199">
        <w:t xml:space="preserve">, NL) with a Z-spray electrospray ionization (ESI) source operating in the positive ion mode. The instrument was tuned and calibrated in the mass range of 50–1200 Da using sodium </w:t>
      </w:r>
      <w:proofErr w:type="spellStart"/>
      <w:r w:rsidRPr="00DB4199">
        <w:t>formate</w:t>
      </w:r>
      <w:proofErr w:type="spellEnd"/>
      <w:r w:rsidRPr="00DB4199">
        <w:t xml:space="preserve"> in resolution mode (≥ 20000 FWHM). Exact mass measurements were based on the protonated molecules [M+</w:t>
      </w:r>
      <w:proofErr w:type="gramStart"/>
      <w:r w:rsidRPr="00DB4199">
        <w:t>H]</w:t>
      </w:r>
      <w:r w:rsidRPr="00DB4199">
        <w:rPr>
          <w:vertAlign w:val="superscript"/>
        </w:rPr>
        <w:t>+</w:t>
      </w:r>
      <w:proofErr w:type="gramEnd"/>
      <w:r w:rsidRPr="00DB4199">
        <w:t xml:space="preserve">. Leucine </w:t>
      </w:r>
      <w:proofErr w:type="spellStart"/>
      <w:r w:rsidRPr="00DB4199">
        <w:t>enkephalin</w:t>
      </w:r>
      <w:proofErr w:type="spellEnd"/>
      <w:r w:rsidRPr="00DB4199">
        <w:t xml:space="preserve"> (1 </w:t>
      </w:r>
      <w:proofErr w:type="spellStart"/>
      <w:r w:rsidRPr="005F2A60">
        <w:t>μ</w:t>
      </w:r>
      <w:r w:rsidRPr="00DB4199">
        <w:t>g</w:t>
      </w:r>
      <w:proofErr w:type="spellEnd"/>
      <w:r w:rsidRPr="00DB4199">
        <w:t xml:space="preserve">/mL) was used as lock mass standard after instrument calibration. Chromatographic and mass data were acquired and </w:t>
      </w:r>
      <w:proofErr w:type="spellStart"/>
      <w:r w:rsidRPr="00DB4199">
        <w:t>analysed</w:t>
      </w:r>
      <w:proofErr w:type="spellEnd"/>
      <w:r w:rsidRPr="00DB4199">
        <w:t xml:space="preserve"> using Waters </w:t>
      </w:r>
      <w:proofErr w:type="spellStart"/>
      <w:r w:rsidRPr="00DB4199">
        <w:t>MassLynx</w:t>
      </w:r>
      <w:proofErr w:type="spellEnd"/>
      <w:r w:rsidRPr="00DB4199">
        <w:t xml:space="preserve"> v4.1 software. </w:t>
      </w:r>
    </w:p>
    <w:p w14:paraId="668BC430" w14:textId="77777777" w:rsidR="000075B3" w:rsidRPr="00DB4199" w:rsidRDefault="000075B3" w:rsidP="000075B3">
      <w:pPr>
        <w:spacing w:line="480" w:lineRule="auto"/>
      </w:pPr>
    </w:p>
    <w:p w14:paraId="1AF2663E" w14:textId="77777777" w:rsidR="000075B3" w:rsidRPr="00DB4199" w:rsidRDefault="000075B3" w:rsidP="000075B3">
      <w:pPr>
        <w:spacing w:line="480" w:lineRule="auto"/>
      </w:pPr>
      <w:r w:rsidRPr="00DB4199">
        <w:t xml:space="preserve">The flow rate was 0.4 </w:t>
      </w:r>
      <w:r>
        <w:t>mL</w:t>
      </w:r>
      <w:r w:rsidRPr="00DB4199">
        <w:t>/min with a column temperature of 50</w:t>
      </w:r>
      <w:r w:rsidRPr="00DB4199">
        <w:rPr>
          <w:vertAlign w:val="superscript"/>
        </w:rPr>
        <w:t>o</w:t>
      </w:r>
      <w:r w:rsidRPr="00DB4199">
        <w:t xml:space="preserve">C. An injection volume of 10 </w:t>
      </w:r>
      <w:proofErr w:type="spellStart"/>
      <w:r w:rsidRPr="005F2A60">
        <w:t>μ</w:t>
      </w:r>
      <w:r w:rsidRPr="00DB4199">
        <w:t>l</w:t>
      </w:r>
      <w:proofErr w:type="spellEnd"/>
      <w:r w:rsidRPr="00DB4199">
        <w:t xml:space="preserve"> was used. The mobile phase consisted of mixture of component A: 5 </w:t>
      </w:r>
      <w:proofErr w:type="spellStart"/>
      <w:r w:rsidRPr="00DB4199">
        <w:t>mM</w:t>
      </w:r>
      <w:proofErr w:type="spellEnd"/>
      <w:r w:rsidRPr="00DB4199">
        <w:t xml:space="preserve"> ammonium </w:t>
      </w:r>
      <w:proofErr w:type="spellStart"/>
      <w:r w:rsidRPr="00DB4199">
        <w:t>formate</w:t>
      </w:r>
      <w:proofErr w:type="spellEnd"/>
      <w:r w:rsidRPr="00DB4199">
        <w:t xml:space="preserve">, adjusted to pH 3.0 using formic acid and component B: 0.1% formic acid in acetonitrile (87:13). A gradient elution was employed as follows: 0–0.50 min 13% B, 0.50–10.00 min 50% B, 10.75 min 95% B, 10.75–12.25 95% B, 12.25–12.50 min 13% B, 12.50–15.00 min 13% B. </w:t>
      </w:r>
    </w:p>
    <w:p w14:paraId="60491537" w14:textId="77777777" w:rsidR="000075B3" w:rsidRPr="00DB4199" w:rsidRDefault="000075B3" w:rsidP="000075B3">
      <w:pPr>
        <w:spacing w:line="480" w:lineRule="auto"/>
      </w:pPr>
    </w:p>
    <w:p w14:paraId="6EBFBDC3" w14:textId="77777777" w:rsidR="000075B3" w:rsidRDefault="000075B3" w:rsidP="000075B3">
      <w:pPr>
        <w:spacing w:line="480" w:lineRule="auto"/>
      </w:pPr>
      <w:r w:rsidRPr="00DB4199">
        <w:t>Tandem mass spectrometry was performed using electrospray ionization in positive polarity under the following conditions: capillary of 3.0 kV, cone of 30 V, source temperature of 120</w:t>
      </w:r>
      <w:r w:rsidRPr="00DB4199">
        <w:rPr>
          <w:vertAlign w:val="superscript"/>
        </w:rPr>
        <w:t>o</w:t>
      </w:r>
      <w:r w:rsidRPr="00DB4199">
        <w:t xml:space="preserve">C, </w:t>
      </w:r>
      <w:proofErr w:type="spellStart"/>
      <w:r w:rsidRPr="00DB4199">
        <w:t>desolvation</w:t>
      </w:r>
      <w:proofErr w:type="spellEnd"/>
      <w:r w:rsidRPr="00DB4199">
        <w:t xml:space="preserve"> temperature of 500</w:t>
      </w:r>
      <w:r w:rsidRPr="00DB4199">
        <w:rPr>
          <w:vertAlign w:val="superscript"/>
        </w:rPr>
        <w:t>o</w:t>
      </w:r>
      <w:r w:rsidRPr="00DB4199">
        <w:t xml:space="preserve">C, </w:t>
      </w:r>
      <w:proofErr w:type="spellStart"/>
      <w:r w:rsidRPr="00DB4199">
        <w:t>desolvation</w:t>
      </w:r>
      <w:proofErr w:type="spellEnd"/>
      <w:r w:rsidRPr="00DB4199">
        <w:t xml:space="preserve"> gas flow of 800 </w:t>
      </w:r>
      <w:r>
        <w:t>L/</w:t>
      </w:r>
      <w:proofErr w:type="spellStart"/>
      <w:r>
        <w:t>hr</w:t>
      </w:r>
      <w:proofErr w:type="spellEnd"/>
      <w:r>
        <w:t xml:space="preserve"> and a collision energy of 4</w:t>
      </w:r>
      <w:r w:rsidRPr="00DB4199">
        <w:t xml:space="preserve"> eV and collision energy </w:t>
      </w:r>
      <w:r>
        <w:t>ramp of 15–50 eV. Precursor ion was</w:t>
      </w:r>
      <w:r w:rsidRPr="00DB4199">
        <w:t xml:space="preserve"> observed at </w:t>
      </w:r>
      <w:r w:rsidRPr="009B3225">
        <w:rPr>
          <w:i/>
        </w:rPr>
        <w:t>m/z</w:t>
      </w:r>
      <w:r w:rsidRPr="00DB4199">
        <w:t xml:space="preserve"> </w:t>
      </w:r>
      <w:r w:rsidRPr="001C6BA9">
        <w:t>272.1287</w:t>
      </w:r>
      <w:r>
        <w:t xml:space="preserve"> for higenamine. </w:t>
      </w:r>
      <w:r w:rsidRPr="00DB4199">
        <w:t xml:space="preserve">Product ions were observed at </w:t>
      </w:r>
      <w:r w:rsidRPr="009B3225">
        <w:rPr>
          <w:i/>
        </w:rPr>
        <w:t>m/z</w:t>
      </w:r>
      <w:r w:rsidRPr="00DB4199">
        <w:t xml:space="preserve"> </w:t>
      </w:r>
      <w:r>
        <w:t xml:space="preserve">107.0497, 161.0603 and 255.1021. </w:t>
      </w:r>
      <w:r w:rsidRPr="00DB4199">
        <w:t>Stock s</w:t>
      </w:r>
      <w:r>
        <w:t>tandards were prepared at 0.2</w:t>
      </w:r>
      <w:r w:rsidRPr="00DB4199">
        <w:t xml:space="preserve"> mg/</w:t>
      </w:r>
      <w:r>
        <w:t>mL</w:t>
      </w:r>
      <w:r w:rsidRPr="00DB4199">
        <w:t xml:space="preserve"> in methanol and diluted to </w:t>
      </w:r>
      <w:r>
        <w:t>0.5</w:t>
      </w:r>
      <w:r w:rsidRPr="00DB4199">
        <w:t xml:space="preserve"> </w:t>
      </w:r>
      <w:proofErr w:type="spellStart"/>
      <w:r w:rsidRPr="005F2A60">
        <w:t>μ</w:t>
      </w:r>
      <w:r w:rsidRPr="00DB4199">
        <w:t>g</w:t>
      </w:r>
      <w:proofErr w:type="spellEnd"/>
      <w:r w:rsidRPr="00DB4199">
        <w:t>/</w:t>
      </w:r>
      <w:r>
        <w:t>mL</w:t>
      </w:r>
      <w:r w:rsidRPr="00DB4199">
        <w:t xml:space="preserve"> in a mixture of </w:t>
      </w:r>
      <w:r w:rsidRPr="00DB4199">
        <w:lastRenderedPageBreak/>
        <w:t xml:space="preserve">component A and B (87:13). </w:t>
      </w:r>
      <w:r>
        <w:t>The limit</w:t>
      </w:r>
      <w:r w:rsidRPr="00E0392B">
        <w:t xml:space="preserve"> of detection </w:t>
      </w:r>
      <w:r>
        <w:t>was</w:t>
      </w:r>
      <w:r w:rsidRPr="00E0392B">
        <w:t xml:space="preserve"> extrapolated to a minimum signal of 200 and </w:t>
      </w:r>
      <w:r>
        <w:t xml:space="preserve">found </w:t>
      </w:r>
      <w:r w:rsidRPr="00E0392B">
        <w:t xml:space="preserve">to be </w:t>
      </w:r>
      <w:r>
        <w:t>10 ng/</w:t>
      </w:r>
      <w:proofErr w:type="spellStart"/>
      <w:r>
        <w:t>mL.</w:t>
      </w:r>
      <w:proofErr w:type="spellEnd"/>
      <w:r w:rsidRPr="00E0392B">
        <w:t xml:space="preserve"> </w:t>
      </w:r>
    </w:p>
    <w:p w14:paraId="4CDFD96D" w14:textId="77777777" w:rsidR="000075B3" w:rsidRDefault="000075B3" w:rsidP="000075B3">
      <w:pPr>
        <w:spacing w:line="480" w:lineRule="auto"/>
      </w:pPr>
    </w:p>
    <w:p w14:paraId="42A5008A" w14:textId="77777777" w:rsidR="000075B3" w:rsidRDefault="000075B3" w:rsidP="000075B3">
      <w:pPr>
        <w:spacing w:line="480" w:lineRule="auto"/>
        <w:outlineLvl w:val="0"/>
        <w:rPr>
          <w:b/>
        </w:rPr>
      </w:pPr>
      <w:r>
        <w:rPr>
          <w:b/>
        </w:rPr>
        <w:t>Extraction method</w:t>
      </w:r>
    </w:p>
    <w:p w14:paraId="4F129515" w14:textId="77777777" w:rsidR="000075B3" w:rsidRDefault="000075B3" w:rsidP="000075B3">
      <w:pPr>
        <w:spacing w:line="480" w:lineRule="auto"/>
        <w:outlineLvl w:val="0"/>
      </w:pPr>
      <w:r w:rsidRPr="00E47CDB">
        <w:t xml:space="preserve">At NSF International, 1 gram of powdered bulk product or capsule content was extracted with 10 mL of methanol by shaking for 20 minutes followed by sonication for 20 minutes.  The mixture was centrifuged at 5525 g for 20 minutes. The supernatant was reserved and filtered through a 0.45 </w:t>
      </w:r>
      <w:proofErr w:type="spellStart"/>
      <w:r w:rsidRPr="005F2A60">
        <w:t>μ</w:t>
      </w:r>
      <w:r w:rsidRPr="00E47CDB">
        <w:t>m</w:t>
      </w:r>
      <w:proofErr w:type="spellEnd"/>
      <w:r w:rsidRPr="00E47CDB">
        <w:t xml:space="preserve"> </w:t>
      </w:r>
      <w:proofErr w:type="spellStart"/>
      <w:r w:rsidRPr="00E47CDB">
        <w:t>polyvinylidene</w:t>
      </w:r>
      <w:proofErr w:type="spellEnd"/>
      <w:r w:rsidRPr="00E47CDB">
        <w:t xml:space="preserve"> fluoride membrane (PVDF) syringe filter. The resulting solution was diluted 1:4 in 0.1% formic acid in de-ionized water, which was then serially diluted by </w:t>
      </w:r>
      <w:r w:rsidRPr="00467BBB">
        <w:t>factor</w:t>
      </w:r>
      <w:r>
        <w:t>s</w:t>
      </w:r>
      <w:r w:rsidRPr="00E47CDB">
        <w:t xml:space="preserve"> of 10 from 1-10 to 1-10</w:t>
      </w:r>
      <w:r w:rsidRPr="00E47CDB">
        <w:rPr>
          <w:vertAlign w:val="superscript"/>
        </w:rPr>
        <w:t>6</w:t>
      </w:r>
      <w:r w:rsidRPr="00E47CDB">
        <w:t xml:space="preserve"> with a mixture of 0.1% formic acid in deionized water and methanol (75:25).</w:t>
      </w:r>
    </w:p>
    <w:p w14:paraId="16EE3680" w14:textId="77777777" w:rsidR="000075B3" w:rsidRPr="00FD6891" w:rsidRDefault="000075B3" w:rsidP="000075B3">
      <w:pPr>
        <w:spacing w:line="480" w:lineRule="auto"/>
        <w:outlineLvl w:val="0"/>
      </w:pPr>
    </w:p>
    <w:p w14:paraId="4BAD873E" w14:textId="2E609810" w:rsidR="000075B3" w:rsidRDefault="000075B3" w:rsidP="000075B3">
      <w:pPr>
        <w:spacing w:line="480" w:lineRule="auto"/>
        <w:rPr>
          <w:rFonts w:ascii="Verdana" w:hAnsi="Verdana" w:cs="AdvTTd3e3db0f"/>
        </w:rPr>
      </w:pPr>
      <w:r w:rsidRPr="008D2834">
        <w:t xml:space="preserve">At RIVM, </w:t>
      </w:r>
      <w:r w:rsidR="00D667A5">
        <w:t>products</w:t>
      </w:r>
      <w:r w:rsidR="00D667A5" w:rsidRPr="008D2834">
        <w:t xml:space="preserve"> </w:t>
      </w:r>
      <w:r w:rsidRPr="008D2834">
        <w:t xml:space="preserve">were prepared for qualitative analysis in duplicate. A serving size of homogenized powdered bulk product </w:t>
      </w:r>
      <w:r>
        <w:t xml:space="preserve">up to a maximum of 5 g. </w:t>
      </w:r>
      <w:r w:rsidRPr="008D2834">
        <w:t xml:space="preserve">or the contents of 1 capsule were extracted with 50 mL of methanol by shaking for 5 minutes followed by sonication for 15 minutes. Methanol is a common solvent in pharmaceutical sample preparation as small drug molecules dissolve well as a free base or as a salt. The resultant mixture was centrifuged at 3000 g for 15 minutes. The resulting solution was diluted 100x with a mixture of component A: 5 </w:t>
      </w:r>
      <w:proofErr w:type="spellStart"/>
      <w:r w:rsidRPr="008D2834">
        <w:t>mM</w:t>
      </w:r>
      <w:proofErr w:type="spellEnd"/>
      <w:r w:rsidRPr="008D2834">
        <w:t xml:space="preserve"> ammonium </w:t>
      </w:r>
      <w:proofErr w:type="spellStart"/>
      <w:r w:rsidRPr="008D2834">
        <w:t>formate</w:t>
      </w:r>
      <w:proofErr w:type="spellEnd"/>
      <w:r w:rsidRPr="008D2834">
        <w:t xml:space="preserve">, adjusted to pH 3.0 using formic acid and component B: 0.1% formic acid in acetonitrile (87:13).  All samples and solutions were filtered before use over a 0.2 µm filter (Spartan 30, </w:t>
      </w:r>
      <w:proofErr w:type="spellStart"/>
      <w:r w:rsidRPr="008D2834">
        <w:t>Whatman</w:t>
      </w:r>
      <w:proofErr w:type="spellEnd"/>
      <w:r w:rsidRPr="008D2834">
        <w:t xml:space="preserve"> GmbH, Dassel, DE).</w:t>
      </w:r>
      <w:r w:rsidRPr="008D2834">
        <w:rPr>
          <w:rFonts w:ascii="Verdana" w:hAnsi="Verdana" w:cs="AdvTTd3e3db0f"/>
        </w:rPr>
        <w:t xml:space="preserve"> </w:t>
      </w:r>
    </w:p>
    <w:p w14:paraId="5B2A3EF2" w14:textId="77777777" w:rsidR="000075B3" w:rsidRDefault="000075B3" w:rsidP="000075B3">
      <w:pPr>
        <w:spacing w:line="480" w:lineRule="auto"/>
        <w:rPr>
          <w:rFonts w:ascii="Verdana" w:hAnsi="Verdana" w:cs="AdvTTd3e3db0f"/>
        </w:rPr>
      </w:pPr>
    </w:p>
    <w:p w14:paraId="7EBDB98E" w14:textId="77777777" w:rsidR="000075B3" w:rsidRPr="00E47CDB" w:rsidRDefault="000075B3" w:rsidP="000075B3">
      <w:pPr>
        <w:spacing w:line="480" w:lineRule="auto"/>
        <w:outlineLvl w:val="0"/>
        <w:rPr>
          <w:b/>
        </w:rPr>
      </w:pPr>
      <w:r w:rsidRPr="00E47CDB">
        <w:rPr>
          <w:b/>
        </w:rPr>
        <w:t>Method validation</w:t>
      </w:r>
    </w:p>
    <w:p w14:paraId="4F846F27" w14:textId="77777777" w:rsidR="000075B3" w:rsidRPr="00E47CDB" w:rsidRDefault="000075B3" w:rsidP="000075B3">
      <w:pPr>
        <w:spacing w:line="480" w:lineRule="auto"/>
      </w:pPr>
      <w:r w:rsidRPr="00E47CDB">
        <w:lastRenderedPageBreak/>
        <w:t>The method validation study evaluated the method’s suitability for routine use</w:t>
      </w:r>
      <w:r>
        <w:t xml:space="preserve"> and was performed at NSF International</w:t>
      </w:r>
      <w:r w:rsidRPr="00E47CDB">
        <w:t>.</w:t>
      </w:r>
    </w:p>
    <w:p w14:paraId="26A8FAAB" w14:textId="77777777" w:rsidR="000075B3" w:rsidRPr="00E47CDB" w:rsidRDefault="000075B3" w:rsidP="000075B3">
      <w:pPr>
        <w:spacing w:line="480" w:lineRule="auto"/>
      </w:pPr>
    </w:p>
    <w:p w14:paraId="3BA5413F" w14:textId="6454A3E0" w:rsidR="000075B3" w:rsidRPr="00E47CDB" w:rsidRDefault="000075B3" w:rsidP="000075B3">
      <w:pPr>
        <w:spacing w:line="480" w:lineRule="auto"/>
        <w:rPr>
          <w:i/>
        </w:rPr>
      </w:pPr>
      <w:r w:rsidRPr="00E47CDB">
        <w:rPr>
          <w:i/>
        </w:rPr>
        <w:t>Linearity</w:t>
      </w:r>
      <w:r>
        <w:rPr>
          <w:i/>
        </w:rPr>
        <w:t>,</w:t>
      </w:r>
      <w:r w:rsidRPr="00E47CDB">
        <w:rPr>
          <w:i/>
        </w:rPr>
        <w:t xml:space="preserve"> Range</w:t>
      </w:r>
      <w:r w:rsidR="005F556D">
        <w:rPr>
          <w:i/>
        </w:rPr>
        <w:t xml:space="preserve">, </w:t>
      </w:r>
      <w:r w:rsidR="005F556D" w:rsidRPr="00E47CDB">
        <w:rPr>
          <w:i/>
        </w:rPr>
        <w:t xml:space="preserve">Limits of </w:t>
      </w:r>
      <w:r w:rsidR="005F556D">
        <w:rPr>
          <w:i/>
        </w:rPr>
        <w:t>Detection (LOD</w:t>
      </w:r>
      <w:r w:rsidR="005F556D" w:rsidRPr="00E47CDB">
        <w:rPr>
          <w:i/>
        </w:rPr>
        <w:t>)</w:t>
      </w:r>
      <w:r w:rsidRPr="00B30950">
        <w:rPr>
          <w:i/>
        </w:rPr>
        <w:t xml:space="preserve"> </w:t>
      </w:r>
      <w:r w:rsidRPr="00E47CDB">
        <w:rPr>
          <w:i/>
        </w:rPr>
        <w:t>and Limits of Quantification (LOQ)</w:t>
      </w:r>
    </w:p>
    <w:p w14:paraId="4DC4E088" w14:textId="329238F2" w:rsidR="000075B3" w:rsidRDefault="000075B3" w:rsidP="000075B3">
      <w:pPr>
        <w:spacing w:line="480" w:lineRule="auto"/>
      </w:pPr>
      <w:r w:rsidRPr="00E47CDB">
        <w:t xml:space="preserve">Linearity and range were evaluated by </w:t>
      </w:r>
      <w:r w:rsidR="00707FCB">
        <w:t>replicate analysis (n=12) of</w:t>
      </w:r>
      <w:r w:rsidR="00707FCB" w:rsidRPr="00E47CDB">
        <w:t xml:space="preserve"> </w:t>
      </w:r>
      <w:r w:rsidRPr="00E47CDB">
        <w:t xml:space="preserve">solutions of </w:t>
      </w:r>
      <w:r>
        <w:t>higenamine</w:t>
      </w:r>
      <w:r w:rsidRPr="00E47CDB">
        <w:t xml:space="preserve"> </w:t>
      </w:r>
      <w:r w:rsidR="00E46E20">
        <w:t>(0.20, 0.50, 1.0, 2.0, 5.0, 10, 20 and 50)</w:t>
      </w:r>
      <w:r w:rsidRPr="00E47CDB">
        <w:t xml:space="preserve">. </w:t>
      </w:r>
      <w:r>
        <w:t xml:space="preserve"> The </w:t>
      </w:r>
      <w:r w:rsidR="005F556D">
        <w:t xml:space="preserve">LOD </w:t>
      </w:r>
      <w:r>
        <w:t>(</w:t>
      </w:r>
      <w:r w:rsidR="008C5A5E">
        <w:t>80</w:t>
      </w:r>
      <w:r>
        <w:t xml:space="preserve"> ng/g) was determined using the lowest point of the calibration range and calculated as a weight/weight concentration. </w:t>
      </w:r>
      <w:r w:rsidR="005F556D">
        <w:t xml:space="preserve"> The LOQ (5 µg/g) was determined empirically from replicate analysis</w:t>
      </w:r>
      <w:r w:rsidR="00707FCB">
        <w:t xml:space="preserve"> (n=12)</w:t>
      </w:r>
      <w:r w:rsidR="005F556D">
        <w:t xml:space="preserve"> of a sample fortified at 5 µg/g.</w:t>
      </w:r>
    </w:p>
    <w:p w14:paraId="14E6A8A9" w14:textId="77777777" w:rsidR="000075B3" w:rsidRDefault="000075B3" w:rsidP="000075B3">
      <w:pPr>
        <w:spacing w:line="480" w:lineRule="auto"/>
      </w:pPr>
    </w:p>
    <w:p w14:paraId="6FE11A68" w14:textId="77777777" w:rsidR="000075B3" w:rsidRDefault="000075B3" w:rsidP="000075B3">
      <w:pPr>
        <w:spacing w:line="480" w:lineRule="auto"/>
        <w:rPr>
          <w:i/>
        </w:rPr>
      </w:pPr>
      <w:r>
        <w:rPr>
          <w:i/>
        </w:rPr>
        <w:t>Extraction efficiency</w:t>
      </w:r>
    </w:p>
    <w:p w14:paraId="29BEFEC5" w14:textId="77777777" w:rsidR="000075B3" w:rsidRPr="009C2B03" w:rsidRDefault="000075B3" w:rsidP="000075B3">
      <w:pPr>
        <w:spacing w:line="480" w:lineRule="auto"/>
      </w:pPr>
      <w:r>
        <w:t>The effect of volume of methanol on extraction efficiency was assessed.  Eight replicates of a product with incurred higenamine (58 mg/g) were measured. Four replicates used a 10 mL volume of methanol for the extraction and the other four used 20 mL of methanol. The volume of methanol did not impact the measured higenamine concentration (p = 0.98).</w:t>
      </w:r>
    </w:p>
    <w:p w14:paraId="1F409021" w14:textId="77777777" w:rsidR="000075B3" w:rsidRPr="00E47CDB" w:rsidRDefault="000075B3" w:rsidP="000075B3">
      <w:pPr>
        <w:spacing w:line="480" w:lineRule="auto"/>
      </w:pPr>
    </w:p>
    <w:p w14:paraId="0AE5FD2F" w14:textId="77777777" w:rsidR="000075B3" w:rsidRPr="00E47CDB" w:rsidRDefault="000075B3" w:rsidP="000075B3">
      <w:pPr>
        <w:spacing w:line="480" w:lineRule="auto"/>
        <w:rPr>
          <w:i/>
        </w:rPr>
      </w:pPr>
      <w:r w:rsidRPr="00E47CDB">
        <w:rPr>
          <w:i/>
        </w:rPr>
        <w:t>Accuracy and precision</w:t>
      </w:r>
    </w:p>
    <w:p w14:paraId="342EBA95" w14:textId="77777777" w:rsidR="000075B3" w:rsidRDefault="000075B3" w:rsidP="000075B3">
      <w:pPr>
        <w:spacing w:line="480" w:lineRule="auto"/>
      </w:pPr>
      <w:r w:rsidRPr="00E47CDB">
        <w:t xml:space="preserve">The method accuracy and precision were assessed by fortifying a single product with known amounts of </w:t>
      </w:r>
      <w:r>
        <w:t>higenamine</w:t>
      </w:r>
      <w:r w:rsidRPr="00E47CDB">
        <w:t xml:space="preserve">. </w:t>
      </w:r>
      <w:r>
        <w:t>Replicate</w:t>
      </w:r>
      <w:r w:rsidRPr="00E47CDB">
        <w:t xml:space="preserve"> analysis was performed on three different days at three fortification levels (</w:t>
      </w:r>
      <w:r>
        <w:t>5</w:t>
      </w:r>
      <w:r w:rsidRPr="00E47CDB">
        <w:t xml:space="preserve"> µg/g, </w:t>
      </w:r>
      <w:r>
        <w:t>200</w:t>
      </w:r>
      <w:r w:rsidRPr="00E47CDB">
        <w:t xml:space="preserve"> µg/g and </w:t>
      </w:r>
      <w:r>
        <w:t>79</w:t>
      </w:r>
      <w:r w:rsidRPr="00E47CDB">
        <w:t>0 µg/g).</w:t>
      </w:r>
      <w:r>
        <w:t xml:space="preserve"> The accuracy was assessed by determining the average recovery as a percentage at each of the fortified concentrations.  The precision was assessed by determining the coefficient of variation (%CV) at each fortified level. An additional product was assessed for precision using its incurred amount of higenamine (42 mg/g). The average recoveries and %CV at each fortification level are reported in Table S1.</w:t>
      </w:r>
    </w:p>
    <w:p w14:paraId="54B0F2A0" w14:textId="77777777" w:rsidR="00B218F9" w:rsidRDefault="00B218F9" w:rsidP="000075B3">
      <w:pPr>
        <w:spacing w:line="480" w:lineRule="auto"/>
      </w:pPr>
    </w:p>
    <w:p w14:paraId="7FB8BD0B" w14:textId="254B4C0A" w:rsidR="000075B3" w:rsidRDefault="00B218F9" w:rsidP="000075B3">
      <w:pPr>
        <w:spacing w:line="480" w:lineRule="auto"/>
      </w:pPr>
      <w:r>
        <w:t>Table S1. Method validation results</w:t>
      </w:r>
    </w:p>
    <w:tbl>
      <w:tblPr>
        <w:tblStyle w:val="TableGrid"/>
        <w:tblW w:w="4554" w:type="dxa"/>
        <w:jc w:val="center"/>
        <w:tblLook w:val="04A0" w:firstRow="1" w:lastRow="0" w:firstColumn="1" w:lastColumn="0" w:noHBand="0" w:noVBand="1"/>
      </w:tblPr>
      <w:tblGrid>
        <w:gridCol w:w="1917"/>
        <w:gridCol w:w="1084"/>
        <w:gridCol w:w="1553"/>
      </w:tblGrid>
      <w:tr w:rsidR="000075B3" w:rsidRPr="00506D1F" w14:paraId="038D637C" w14:textId="77777777" w:rsidTr="00ED590E">
        <w:trPr>
          <w:jc w:val="center"/>
        </w:trPr>
        <w:tc>
          <w:tcPr>
            <w:tcW w:w="3295" w:type="pct"/>
            <w:gridSpan w:val="2"/>
          </w:tcPr>
          <w:p w14:paraId="6D3943CF" w14:textId="77777777" w:rsidR="000075B3" w:rsidRPr="00506D1F" w:rsidRDefault="000075B3" w:rsidP="00ED590E">
            <w:pPr>
              <w:rPr>
                <w:b/>
                <w:sz w:val="24"/>
                <w:szCs w:val="20"/>
              </w:rPr>
            </w:pPr>
          </w:p>
        </w:tc>
        <w:tc>
          <w:tcPr>
            <w:tcW w:w="1705" w:type="pct"/>
          </w:tcPr>
          <w:p w14:paraId="48EB3CEE" w14:textId="77777777" w:rsidR="000075B3" w:rsidRPr="00506D1F" w:rsidRDefault="000075B3" w:rsidP="00ED590E">
            <w:pPr>
              <w:rPr>
                <w:b/>
                <w:sz w:val="24"/>
                <w:szCs w:val="20"/>
              </w:rPr>
            </w:pPr>
            <w:r>
              <w:rPr>
                <w:b/>
                <w:sz w:val="24"/>
                <w:szCs w:val="20"/>
              </w:rPr>
              <w:t>higenamine</w:t>
            </w:r>
          </w:p>
        </w:tc>
      </w:tr>
      <w:tr w:rsidR="000075B3" w:rsidRPr="00506D1F" w14:paraId="66732903" w14:textId="77777777" w:rsidTr="00ED590E">
        <w:trPr>
          <w:jc w:val="center"/>
        </w:trPr>
        <w:tc>
          <w:tcPr>
            <w:tcW w:w="3295" w:type="pct"/>
            <w:gridSpan w:val="2"/>
          </w:tcPr>
          <w:p w14:paraId="622E4A89" w14:textId="77777777" w:rsidR="000075B3" w:rsidRPr="00506D1F" w:rsidRDefault="000075B3" w:rsidP="00ED590E">
            <w:pPr>
              <w:rPr>
                <w:b/>
                <w:sz w:val="24"/>
                <w:szCs w:val="20"/>
              </w:rPr>
            </w:pPr>
            <w:r w:rsidRPr="00506D1F">
              <w:rPr>
                <w:b/>
                <w:sz w:val="24"/>
                <w:szCs w:val="20"/>
              </w:rPr>
              <w:t>Range</w:t>
            </w:r>
          </w:p>
        </w:tc>
        <w:tc>
          <w:tcPr>
            <w:tcW w:w="1705" w:type="pct"/>
          </w:tcPr>
          <w:p w14:paraId="24EE5658" w14:textId="77777777" w:rsidR="000075B3" w:rsidRPr="00506D1F" w:rsidRDefault="000075B3" w:rsidP="00ED590E">
            <w:pPr>
              <w:rPr>
                <w:sz w:val="24"/>
                <w:szCs w:val="20"/>
              </w:rPr>
            </w:pPr>
            <w:r>
              <w:rPr>
                <w:sz w:val="24"/>
                <w:szCs w:val="20"/>
              </w:rPr>
              <w:t>0.</w:t>
            </w:r>
            <w:r w:rsidRPr="00506D1F">
              <w:rPr>
                <w:sz w:val="24"/>
                <w:szCs w:val="20"/>
              </w:rPr>
              <w:t>2-50</w:t>
            </w:r>
            <w:r>
              <w:rPr>
                <w:sz w:val="24"/>
                <w:szCs w:val="20"/>
              </w:rPr>
              <w:t xml:space="preserve"> </w:t>
            </w:r>
            <w:r w:rsidRPr="00506D1F">
              <w:rPr>
                <w:sz w:val="24"/>
                <w:szCs w:val="20"/>
              </w:rPr>
              <w:t>ng/mL</w:t>
            </w:r>
          </w:p>
        </w:tc>
      </w:tr>
      <w:tr w:rsidR="000075B3" w:rsidRPr="00506D1F" w14:paraId="7E9F9774" w14:textId="77777777" w:rsidTr="00ED590E">
        <w:trPr>
          <w:jc w:val="center"/>
        </w:trPr>
        <w:tc>
          <w:tcPr>
            <w:tcW w:w="3295" w:type="pct"/>
            <w:gridSpan w:val="2"/>
          </w:tcPr>
          <w:p w14:paraId="6AF93706" w14:textId="2E9F5D41" w:rsidR="000075B3" w:rsidRPr="00506D1F" w:rsidRDefault="005F556D" w:rsidP="00ED590E">
            <w:pPr>
              <w:rPr>
                <w:b/>
                <w:sz w:val="24"/>
                <w:szCs w:val="20"/>
              </w:rPr>
            </w:pPr>
            <w:r>
              <w:rPr>
                <w:b/>
                <w:sz w:val="24"/>
                <w:szCs w:val="20"/>
              </w:rPr>
              <w:t>LOD</w:t>
            </w:r>
          </w:p>
        </w:tc>
        <w:tc>
          <w:tcPr>
            <w:tcW w:w="1705" w:type="pct"/>
          </w:tcPr>
          <w:p w14:paraId="75C0C056" w14:textId="77777777" w:rsidR="000075B3" w:rsidRPr="00506D1F" w:rsidRDefault="000075B3" w:rsidP="00ED590E">
            <w:pPr>
              <w:rPr>
                <w:sz w:val="24"/>
                <w:szCs w:val="20"/>
              </w:rPr>
            </w:pPr>
            <w:r>
              <w:rPr>
                <w:sz w:val="24"/>
                <w:szCs w:val="20"/>
              </w:rPr>
              <w:t>0.8 n</w:t>
            </w:r>
            <w:r w:rsidRPr="00506D1F">
              <w:rPr>
                <w:sz w:val="24"/>
                <w:szCs w:val="20"/>
              </w:rPr>
              <w:t>g/g</w:t>
            </w:r>
          </w:p>
        </w:tc>
      </w:tr>
      <w:tr w:rsidR="005F556D" w:rsidRPr="00506D1F" w14:paraId="72D8C2ED" w14:textId="77777777" w:rsidTr="00ED590E">
        <w:trPr>
          <w:jc w:val="center"/>
        </w:trPr>
        <w:tc>
          <w:tcPr>
            <w:tcW w:w="3295" w:type="pct"/>
            <w:gridSpan w:val="2"/>
          </w:tcPr>
          <w:p w14:paraId="303E0720" w14:textId="6FA3728F" w:rsidR="005F556D" w:rsidRPr="00506D1F" w:rsidRDefault="005F556D" w:rsidP="005F556D">
            <w:pPr>
              <w:rPr>
                <w:b/>
                <w:szCs w:val="20"/>
              </w:rPr>
            </w:pPr>
            <w:r>
              <w:rPr>
                <w:b/>
                <w:sz w:val="24"/>
                <w:szCs w:val="20"/>
              </w:rPr>
              <w:t>LOQ</w:t>
            </w:r>
          </w:p>
        </w:tc>
        <w:tc>
          <w:tcPr>
            <w:tcW w:w="1705" w:type="pct"/>
          </w:tcPr>
          <w:p w14:paraId="56A4297F" w14:textId="70C68DD0" w:rsidR="005F556D" w:rsidRDefault="005F556D" w:rsidP="005F556D">
            <w:pPr>
              <w:rPr>
                <w:szCs w:val="20"/>
              </w:rPr>
            </w:pPr>
            <w:r>
              <w:rPr>
                <w:szCs w:val="20"/>
              </w:rPr>
              <w:t>5.0 µg/g</w:t>
            </w:r>
          </w:p>
        </w:tc>
      </w:tr>
      <w:tr w:rsidR="005F556D" w:rsidRPr="00506D1F" w14:paraId="26AD5429" w14:textId="77777777" w:rsidTr="00ED590E">
        <w:trPr>
          <w:jc w:val="center"/>
        </w:trPr>
        <w:tc>
          <w:tcPr>
            <w:tcW w:w="2105" w:type="pct"/>
            <w:vMerge w:val="restart"/>
            <w:vAlign w:val="center"/>
          </w:tcPr>
          <w:p w14:paraId="4B8232DA" w14:textId="77777777" w:rsidR="005F556D" w:rsidRPr="00506D1F" w:rsidRDefault="005F556D" w:rsidP="005F556D">
            <w:pPr>
              <w:rPr>
                <w:b/>
                <w:sz w:val="24"/>
                <w:szCs w:val="20"/>
              </w:rPr>
            </w:pPr>
            <w:r w:rsidRPr="00506D1F">
              <w:rPr>
                <w:b/>
                <w:sz w:val="24"/>
                <w:szCs w:val="20"/>
              </w:rPr>
              <w:t>Accuracy</w:t>
            </w:r>
          </w:p>
          <w:p w14:paraId="5CE5BCD2" w14:textId="77777777" w:rsidR="005F556D" w:rsidRPr="00506D1F" w:rsidRDefault="005F556D" w:rsidP="005F556D">
            <w:pPr>
              <w:rPr>
                <w:b/>
                <w:sz w:val="24"/>
                <w:szCs w:val="20"/>
              </w:rPr>
            </w:pPr>
            <w:r w:rsidRPr="00506D1F">
              <w:rPr>
                <w:b/>
                <w:sz w:val="24"/>
                <w:szCs w:val="20"/>
              </w:rPr>
              <w:t>(Recovery %)</w:t>
            </w:r>
          </w:p>
        </w:tc>
        <w:tc>
          <w:tcPr>
            <w:tcW w:w="1190" w:type="pct"/>
          </w:tcPr>
          <w:p w14:paraId="7489A624" w14:textId="77777777" w:rsidR="005F556D" w:rsidRPr="00506D1F" w:rsidRDefault="005F556D" w:rsidP="005F556D">
            <w:pPr>
              <w:rPr>
                <w:b/>
                <w:sz w:val="24"/>
                <w:szCs w:val="20"/>
              </w:rPr>
            </w:pPr>
            <w:r>
              <w:rPr>
                <w:b/>
                <w:sz w:val="24"/>
                <w:szCs w:val="20"/>
              </w:rPr>
              <w:t xml:space="preserve">5 </w:t>
            </w:r>
            <w:r w:rsidRPr="00506D1F">
              <w:rPr>
                <w:b/>
                <w:sz w:val="24"/>
                <w:szCs w:val="20"/>
              </w:rPr>
              <w:t>µg/g</w:t>
            </w:r>
          </w:p>
        </w:tc>
        <w:tc>
          <w:tcPr>
            <w:tcW w:w="1705" w:type="pct"/>
          </w:tcPr>
          <w:p w14:paraId="5FB7BBD2" w14:textId="77777777" w:rsidR="005F556D" w:rsidRPr="00506D1F" w:rsidRDefault="005F556D" w:rsidP="005F556D">
            <w:pPr>
              <w:rPr>
                <w:sz w:val="24"/>
                <w:szCs w:val="20"/>
              </w:rPr>
            </w:pPr>
            <w:r>
              <w:rPr>
                <w:sz w:val="24"/>
                <w:szCs w:val="20"/>
              </w:rPr>
              <w:t>118.8</w:t>
            </w:r>
          </w:p>
        </w:tc>
      </w:tr>
      <w:tr w:rsidR="005F556D" w:rsidRPr="00506D1F" w14:paraId="4930715D" w14:textId="77777777" w:rsidTr="00ED590E">
        <w:trPr>
          <w:jc w:val="center"/>
        </w:trPr>
        <w:tc>
          <w:tcPr>
            <w:tcW w:w="2105" w:type="pct"/>
            <w:vMerge/>
          </w:tcPr>
          <w:p w14:paraId="62827FCF" w14:textId="77777777" w:rsidR="005F556D" w:rsidRPr="00506D1F" w:rsidRDefault="005F556D" w:rsidP="005F556D">
            <w:pPr>
              <w:rPr>
                <w:b/>
                <w:sz w:val="24"/>
                <w:szCs w:val="20"/>
              </w:rPr>
            </w:pPr>
          </w:p>
        </w:tc>
        <w:tc>
          <w:tcPr>
            <w:tcW w:w="1190" w:type="pct"/>
          </w:tcPr>
          <w:p w14:paraId="436E1D03" w14:textId="77777777" w:rsidR="005F556D" w:rsidRPr="00506D1F" w:rsidRDefault="005F556D" w:rsidP="005F556D">
            <w:pPr>
              <w:rPr>
                <w:b/>
                <w:sz w:val="24"/>
                <w:szCs w:val="20"/>
              </w:rPr>
            </w:pPr>
            <w:r>
              <w:rPr>
                <w:b/>
                <w:sz w:val="24"/>
                <w:szCs w:val="20"/>
              </w:rPr>
              <w:t>20</w:t>
            </w:r>
            <w:r w:rsidRPr="00506D1F">
              <w:rPr>
                <w:b/>
                <w:sz w:val="24"/>
                <w:szCs w:val="20"/>
              </w:rPr>
              <w:t>0</w:t>
            </w:r>
            <w:r>
              <w:rPr>
                <w:b/>
                <w:sz w:val="24"/>
                <w:szCs w:val="20"/>
              </w:rPr>
              <w:t xml:space="preserve"> </w:t>
            </w:r>
            <w:r w:rsidRPr="00506D1F">
              <w:rPr>
                <w:b/>
                <w:sz w:val="24"/>
                <w:szCs w:val="20"/>
              </w:rPr>
              <w:t>µg/g</w:t>
            </w:r>
          </w:p>
        </w:tc>
        <w:tc>
          <w:tcPr>
            <w:tcW w:w="1705" w:type="pct"/>
          </w:tcPr>
          <w:p w14:paraId="725BDCBF" w14:textId="77777777" w:rsidR="005F556D" w:rsidRPr="00506D1F" w:rsidRDefault="005F556D" w:rsidP="005F556D">
            <w:pPr>
              <w:rPr>
                <w:sz w:val="24"/>
                <w:szCs w:val="20"/>
              </w:rPr>
            </w:pPr>
            <w:r>
              <w:rPr>
                <w:sz w:val="24"/>
                <w:szCs w:val="20"/>
              </w:rPr>
              <w:t>118.3</w:t>
            </w:r>
          </w:p>
        </w:tc>
      </w:tr>
      <w:tr w:rsidR="005F556D" w:rsidRPr="00506D1F" w14:paraId="42E5E31B" w14:textId="77777777" w:rsidTr="00ED590E">
        <w:trPr>
          <w:jc w:val="center"/>
        </w:trPr>
        <w:tc>
          <w:tcPr>
            <w:tcW w:w="2105" w:type="pct"/>
            <w:vMerge/>
          </w:tcPr>
          <w:p w14:paraId="6279DEDD" w14:textId="77777777" w:rsidR="005F556D" w:rsidRPr="00506D1F" w:rsidRDefault="005F556D" w:rsidP="005F556D">
            <w:pPr>
              <w:rPr>
                <w:b/>
                <w:sz w:val="24"/>
                <w:szCs w:val="20"/>
              </w:rPr>
            </w:pPr>
          </w:p>
        </w:tc>
        <w:tc>
          <w:tcPr>
            <w:tcW w:w="1190" w:type="pct"/>
          </w:tcPr>
          <w:p w14:paraId="7867BB91" w14:textId="77777777" w:rsidR="005F556D" w:rsidRPr="00506D1F" w:rsidRDefault="005F556D" w:rsidP="005F556D">
            <w:pPr>
              <w:rPr>
                <w:b/>
                <w:sz w:val="24"/>
                <w:szCs w:val="20"/>
              </w:rPr>
            </w:pPr>
            <w:r>
              <w:rPr>
                <w:b/>
                <w:sz w:val="24"/>
                <w:szCs w:val="20"/>
              </w:rPr>
              <w:t>79</w:t>
            </w:r>
            <w:r w:rsidRPr="00506D1F">
              <w:rPr>
                <w:b/>
                <w:sz w:val="24"/>
                <w:szCs w:val="20"/>
              </w:rPr>
              <w:t>0</w:t>
            </w:r>
            <w:r>
              <w:rPr>
                <w:b/>
                <w:sz w:val="24"/>
                <w:szCs w:val="20"/>
              </w:rPr>
              <w:t xml:space="preserve"> </w:t>
            </w:r>
            <w:r w:rsidRPr="00506D1F">
              <w:rPr>
                <w:b/>
                <w:sz w:val="24"/>
                <w:szCs w:val="20"/>
              </w:rPr>
              <w:t>µg/g</w:t>
            </w:r>
          </w:p>
        </w:tc>
        <w:tc>
          <w:tcPr>
            <w:tcW w:w="1705" w:type="pct"/>
          </w:tcPr>
          <w:p w14:paraId="3E93B079" w14:textId="77777777" w:rsidR="005F556D" w:rsidRPr="00506D1F" w:rsidRDefault="005F556D" w:rsidP="005F556D">
            <w:pPr>
              <w:rPr>
                <w:sz w:val="24"/>
                <w:szCs w:val="20"/>
              </w:rPr>
            </w:pPr>
            <w:r>
              <w:rPr>
                <w:sz w:val="24"/>
                <w:szCs w:val="20"/>
              </w:rPr>
              <w:t>95.7</w:t>
            </w:r>
          </w:p>
        </w:tc>
      </w:tr>
      <w:tr w:rsidR="00D53275" w:rsidRPr="00506D1F" w14:paraId="2E4BD35D" w14:textId="77777777" w:rsidTr="00140BD7">
        <w:trPr>
          <w:trHeight w:val="38"/>
          <w:jc w:val="center"/>
        </w:trPr>
        <w:tc>
          <w:tcPr>
            <w:tcW w:w="2105" w:type="pct"/>
            <w:vMerge w:val="restart"/>
            <w:vAlign w:val="center"/>
          </w:tcPr>
          <w:p w14:paraId="4E4386B4" w14:textId="189D47FC" w:rsidR="00D53275" w:rsidRPr="00506D1F" w:rsidRDefault="00D53275" w:rsidP="00D53275">
            <w:pPr>
              <w:rPr>
                <w:b/>
                <w:sz w:val="24"/>
                <w:szCs w:val="20"/>
              </w:rPr>
            </w:pPr>
            <w:r>
              <w:rPr>
                <w:b/>
                <w:sz w:val="24"/>
                <w:szCs w:val="20"/>
              </w:rPr>
              <w:t>Intra-day p</w:t>
            </w:r>
            <w:r w:rsidRPr="00506D1F">
              <w:rPr>
                <w:b/>
                <w:sz w:val="24"/>
                <w:szCs w:val="20"/>
              </w:rPr>
              <w:t>recision</w:t>
            </w:r>
          </w:p>
          <w:p w14:paraId="2C28B45D" w14:textId="0F939251" w:rsidR="00D53275" w:rsidRPr="00506D1F" w:rsidRDefault="00D53275" w:rsidP="00D53275">
            <w:pPr>
              <w:rPr>
                <w:b/>
                <w:szCs w:val="20"/>
              </w:rPr>
            </w:pPr>
            <w:r w:rsidRPr="00506D1F">
              <w:rPr>
                <w:b/>
                <w:sz w:val="24"/>
                <w:szCs w:val="20"/>
              </w:rPr>
              <w:t>(coefficient of variation)</w:t>
            </w:r>
          </w:p>
        </w:tc>
        <w:tc>
          <w:tcPr>
            <w:tcW w:w="1190" w:type="pct"/>
          </w:tcPr>
          <w:p w14:paraId="309C150D" w14:textId="14ACF2D1" w:rsidR="00D53275" w:rsidRDefault="00D53275" w:rsidP="00D53275">
            <w:pPr>
              <w:rPr>
                <w:b/>
                <w:szCs w:val="20"/>
              </w:rPr>
            </w:pPr>
            <w:r>
              <w:rPr>
                <w:b/>
                <w:sz w:val="24"/>
                <w:szCs w:val="20"/>
              </w:rPr>
              <w:t xml:space="preserve">5 </w:t>
            </w:r>
            <w:r w:rsidRPr="00506D1F">
              <w:rPr>
                <w:b/>
                <w:sz w:val="24"/>
                <w:szCs w:val="20"/>
              </w:rPr>
              <w:t>µg/g</w:t>
            </w:r>
          </w:p>
        </w:tc>
        <w:tc>
          <w:tcPr>
            <w:tcW w:w="1705" w:type="pct"/>
          </w:tcPr>
          <w:p w14:paraId="6EE04F37" w14:textId="48C64FA0" w:rsidR="00D53275" w:rsidRDefault="00D53275" w:rsidP="00D53275">
            <w:pPr>
              <w:rPr>
                <w:szCs w:val="20"/>
              </w:rPr>
            </w:pPr>
            <w:r>
              <w:rPr>
                <w:szCs w:val="20"/>
              </w:rPr>
              <w:t>4.7</w:t>
            </w:r>
          </w:p>
        </w:tc>
      </w:tr>
      <w:tr w:rsidR="00D53275" w:rsidRPr="00506D1F" w14:paraId="0F63C9EF" w14:textId="77777777" w:rsidTr="00D53275">
        <w:trPr>
          <w:trHeight w:val="38"/>
          <w:jc w:val="center"/>
        </w:trPr>
        <w:tc>
          <w:tcPr>
            <w:tcW w:w="2105" w:type="pct"/>
            <w:vMerge/>
            <w:vAlign w:val="center"/>
          </w:tcPr>
          <w:p w14:paraId="6FFF611D" w14:textId="77777777" w:rsidR="00D53275" w:rsidRPr="00506D1F" w:rsidRDefault="00D53275" w:rsidP="00D53275">
            <w:pPr>
              <w:rPr>
                <w:b/>
                <w:szCs w:val="20"/>
              </w:rPr>
            </w:pPr>
          </w:p>
        </w:tc>
        <w:tc>
          <w:tcPr>
            <w:tcW w:w="1190" w:type="pct"/>
          </w:tcPr>
          <w:p w14:paraId="333D925E" w14:textId="49EBE8C5" w:rsidR="00D53275" w:rsidRDefault="00D53275" w:rsidP="00D53275">
            <w:pPr>
              <w:rPr>
                <w:b/>
                <w:szCs w:val="20"/>
              </w:rPr>
            </w:pPr>
            <w:r>
              <w:rPr>
                <w:b/>
                <w:sz w:val="24"/>
                <w:szCs w:val="20"/>
              </w:rPr>
              <w:t>20</w:t>
            </w:r>
            <w:r w:rsidRPr="00506D1F">
              <w:rPr>
                <w:b/>
                <w:sz w:val="24"/>
                <w:szCs w:val="20"/>
              </w:rPr>
              <w:t>0</w:t>
            </w:r>
            <w:r>
              <w:rPr>
                <w:b/>
                <w:sz w:val="24"/>
                <w:szCs w:val="20"/>
              </w:rPr>
              <w:t xml:space="preserve"> </w:t>
            </w:r>
            <w:r w:rsidRPr="00506D1F">
              <w:rPr>
                <w:b/>
                <w:sz w:val="24"/>
                <w:szCs w:val="20"/>
              </w:rPr>
              <w:t>µg/g</w:t>
            </w:r>
          </w:p>
        </w:tc>
        <w:tc>
          <w:tcPr>
            <w:tcW w:w="1705" w:type="pct"/>
          </w:tcPr>
          <w:p w14:paraId="5C24EB4D" w14:textId="7881DB53" w:rsidR="00D53275" w:rsidRDefault="00D53275" w:rsidP="00D53275">
            <w:pPr>
              <w:rPr>
                <w:szCs w:val="20"/>
              </w:rPr>
            </w:pPr>
            <w:r>
              <w:rPr>
                <w:szCs w:val="20"/>
              </w:rPr>
              <w:t>2.0</w:t>
            </w:r>
          </w:p>
        </w:tc>
      </w:tr>
      <w:tr w:rsidR="00D53275" w:rsidRPr="00506D1F" w14:paraId="5B2C28CB" w14:textId="77777777" w:rsidTr="00D53275">
        <w:trPr>
          <w:trHeight w:val="38"/>
          <w:jc w:val="center"/>
        </w:trPr>
        <w:tc>
          <w:tcPr>
            <w:tcW w:w="2105" w:type="pct"/>
            <w:vMerge/>
            <w:vAlign w:val="center"/>
          </w:tcPr>
          <w:p w14:paraId="77AA5C26" w14:textId="77777777" w:rsidR="00D53275" w:rsidRPr="00506D1F" w:rsidRDefault="00D53275" w:rsidP="00D53275">
            <w:pPr>
              <w:rPr>
                <w:b/>
                <w:szCs w:val="20"/>
              </w:rPr>
            </w:pPr>
          </w:p>
        </w:tc>
        <w:tc>
          <w:tcPr>
            <w:tcW w:w="1190" w:type="pct"/>
          </w:tcPr>
          <w:p w14:paraId="5D9E2054" w14:textId="7A4DAF88" w:rsidR="00D53275" w:rsidRDefault="00D53275" w:rsidP="00D53275">
            <w:pPr>
              <w:rPr>
                <w:b/>
                <w:szCs w:val="20"/>
              </w:rPr>
            </w:pPr>
            <w:r>
              <w:rPr>
                <w:b/>
                <w:sz w:val="24"/>
                <w:szCs w:val="20"/>
              </w:rPr>
              <w:t>79</w:t>
            </w:r>
            <w:r w:rsidRPr="00506D1F">
              <w:rPr>
                <w:b/>
                <w:sz w:val="24"/>
                <w:szCs w:val="20"/>
              </w:rPr>
              <w:t>0</w:t>
            </w:r>
            <w:r>
              <w:rPr>
                <w:b/>
                <w:sz w:val="24"/>
                <w:szCs w:val="20"/>
              </w:rPr>
              <w:t xml:space="preserve"> </w:t>
            </w:r>
            <w:r w:rsidRPr="00506D1F">
              <w:rPr>
                <w:b/>
                <w:sz w:val="24"/>
                <w:szCs w:val="20"/>
              </w:rPr>
              <w:t>µg/g</w:t>
            </w:r>
          </w:p>
        </w:tc>
        <w:tc>
          <w:tcPr>
            <w:tcW w:w="1705" w:type="pct"/>
          </w:tcPr>
          <w:p w14:paraId="164B208B" w14:textId="28C80114" w:rsidR="00D53275" w:rsidRDefault="00D53275" w:rsidP="00D53275">
            <w:pPr>
              <w:rPr>
                <w:szCs w:val="20"/>
              </w:rPr>
            </w:pPr>
            <w:r>
              <w:rPr>
                <w:szCs w:val="20"/>
              </w:rPr>
              <w:t>2.3</w:t>
            </w:r>
          </w:p>
        </w:tc>
      </w:tr>
      <w:tr w:rsidR="00D53275" w:rsidRPr="00506D1F" w14:paraId="7759BC85" w14:textId="77777777" w:rsidTr="00D53275">
        <w:trPr>
          <w:trHeight w:val="38"/>
          <w:jc w:val="center"/>
        </w:trPr>
        <w:tc>
          <w:tcPr>
            <w:tcW w:w="2105" w:type="pct"/>
            <w:vMerge/>
            <w:vAlign w:val="center"/>
          </w:tcPr>
          <w:p w14:paraId="52C7C71E" w14:textId="77777777" w:rsidR="00D53275" w:rsidRPr="00506D1F" w:rsidRDefault="00D53275" w:rsidP="00D53275">
            <w:pPr>
              <w:rPr>
                <w:b/>
                <w:szCs w:val="20"/>
              </w:rPr>
            </w:pPr>
          </w:p>
        </w:tc>
        <w:tc>
          <w:tcPr>
            <w:tcW w:w="1190" w:type="pct"/>
          </w:tcPr>
          <w:p w14:paraId="552EA9BB" w14:textId="1153F463" w:rsidR="00D53275" w:rsidRDefault="00D53275" w:rsidP="00D53275">
            <w:pPr>
              <w:rPr>
                <w:b/>
                <w:szCs w:val="20"/>
              </w:rPr>
            </w:pPr>
            <w:r>
              <w:rPr>
                <w:b/>
                <w:sz w:val="24"/>
                <w:szCs w:val="20"/>
              </w:rPr>
              <w:t>42 mg/g</w:t>
            </w:r>
          </w:p>
        </w:tc>
        <w:tc>
          <w:tcPr>
            <w:tcW w:w="1705" w:type="pct"/>
          </w:tcPr>
          <w:p w14:paraId="7A3250FC" w14:textId="45FD58D3" w:rsidR="00D53275" w:rsidRDefault="00D53275" w:rsidP="00D53275">
            <w:pPr>
              <w:rPr>
                <w:szCs w:val="20"/>
              </w:rPr>
            </w:pPr>
            <w:r>
              <w:rPr>
                <w:szCs w:val="20"/>
              </w:rPr>
              <w:t>2.5</w:t>
            </w:r>
          </w:p>
        </w:tc>
      </w:tr>
      <w:tr w:rsidR="00D53275" w:rsidRPr="00506D1F" w14:paraId="567B1F00" w14:textId="77777777" w:rsidTr="00D53275">
        <w:trPr>
          <w:trHeight w:val="38"/>
          <w:jc w:val="center"/>
        </w:trPr>
        <w:tc>
          <w:tcPr>
            <w:tcW w:w="2105" w:type="pct"/>
            <w:vMerge w:val="restart"/>
            <w:vAlign w:val="center"/>
          </w:tcPr>
          <w:p w14:paraId="1060FEB7" w14:textId="15919297" w:rsidR="00D53275" w:rsidRPr="00506D1F" w:rsidRDefault="00D53275" w:rsidP="00D53275">
            <w:pPr>
              <w:rPr>
                <w:b/>
                <w:sz w:val="24"/>
                <w:szCs w:val="20"/>
              </w:rPr>
            </w:pPr>
            <w:r>
              <w:rPr>
                <w:b/>
                <w:sz w:val="24"/>
                <w:szCs w:val="20"/>
              </w:rPr>
              <w:t>Inter-day p</w:t>
            </w:r>
            <w:r w:rsidRPr="00506D1F">
              <w:rPr>
                <w:b/>
                <w:sz w:val="24"/>
                <w:szCs w:val="20"/>
              </w:rPr>
              <w:t>recision</w:t>
            </w:r>
          </w:p>
          <w:p w14:paraId="1535BACA" w14:textId="74187C6F" w:rsidR="00D53275" w:rsidRPr="00506D1F" w:rsidRDefault="00D53275" w:rsidP="00D53275">
            <w:pPr>
              <w:rPr>
                <w:b/>
                <w:szCs w:val="20"/>
              </w:rPr>
            </w:pPr>
            <w:r w:rsidRPr="00506D1F">
              <w:rPr>
                <w:b/>
                <w:sz w:val="24"/>
                <w:szCs w:val="20"/>
              </w:rPr>
              <w:t>(coefficient of variation)</w:t>
            </w:r>
          </w:p>
        </w:tc>
        <w:tc>
          <w:tcPr>
            <w:tcW w:w="1190" w:type="pct"/>
          </w:tcPr>
          <w:p w14:paraId="494B9220" w14:textId="148D30B6" w:rsidR="00D53275" w:rsidRDefault="00D53275" w:rsidP="00D53275">
            <w:pPr>
              <w:rPr>
                <w:b/>
                <w:szCs w:val="20"/>
              </w:rPr>
            </w:pPr>
            <w:r>
              <w:rPr>
                <w:b/>
                <w:sz w:val="24"/>
                <w:szCs w:val="20"/>
              </w:rPr>
              <w:t xml:space="preserve">5 </w:t>
            </w:r>
            <w:r w:rsidRPr="00506D1F">
              <w:rPr>
                <w:b/>
                <w:sz w:val="24"/>
                <w:szCs w:val="20"/>
              </w:rPr>
              <w:t>µg/g</w:t>
            </w:r>
          </w:p>
        </w:tc>
        <w:tc>
          <w:tcPr>
            <w:tcW w:w="1705" w:type="pct"/>
          </w:tcPr>
          <w:p w14:paraId="7331BF0C" w14:textId="7AE97F2B" w:rsidR="00D53275" w:rsidRDefault="00D53275" w:rsidP="00D53275">
            <w:pPr>
              <w:rPr>
                <w:szCs w:val="20"/>
              </w:rPr>
            </w:pPr>
            <w:r>
              <w:rPr>
                <w:szCs w:val="20"/>
              </w:rPr>
              <w:t>0.30</w:t>
            </w:r>
          </w:p>
        </w:tc>
      </w:tr>
      <w:tr w:rsidR="00D53275" w:rsidRPr="00506D1F" w14:paraId="6EFF88FE" w14:textId="77777777" w:rsidTr="00D53275">
        <w:trPr>
          <w:trHeight w:val="38"/>
          <w:jc w:val="center"/>
        </w:trPr>
        <w:tc>
          <w:tcPr>
            <w:tcW w:w="2105" w:type="pct"/>
            <w:vMerge/>
            <w:vAlign w:val="center"/>
          </w:tcPr>
          <w:p w14:paraId="2871182B" w14:textId="77777777" w:rsidR="00D53275" w:rsidRPr="00506D1F" w:rsidRDefault="00D53275" w:rsidP="00D53275">
            <w:pPr>
              <w:rPr>
                <w:b/>
                <w:szCs w:val="20"/>
              </w:rPr>
            </w:pPr>
          </w:p>
        </w:tc>
        <w:tc>
          <w:tcPr>
            <w:tcW w:w="1190" w:type="pct"/>
          </w:tcPr>
          <w:p w14:paraId="15B8ED36" w14:textId="07926B18" w:rsidR="00D53275" w:rsidRDefault="00D53275" w:rsidP="00D53275">
            <w:pPr>
              <w:rPr>
                <w:b/>
                <w:szCs w:val="20"/>
              </w:rPr>
            </w:pPr>
            <w:r>
              <w:rPr>
                <w:b/>
                <w:sz w:val="24"/>
                <w:szCs w:val="20"/>
              </w:rPr>
              <w:t>20</w:t>
            </w:r>
            <w:r w:rsidRPr="00506D1F">
              <w:rPr>
                <w:b/>
                <w:sz w:val="24"/>
                <w:szCs w:val="20"/>
              </w:rPr>
              <w:t>0</w:t>
            </w:r>
            <w:r>
              <w:rPr>
                <w:b/>
                <w:sz w:val="24"/>
                <w:szCs w:val="20"/>
              </w:rPr>
              <w:t xml:space="preserve"> </w:t>
            </w:r>
            <w:r w:rsidRPr="00506D1F">
              <w:rPr>
                <w:b/>
                <w:sz w:val="24"/>
                <w:szCs w:val="20"/>
              </w:rPr>
              <w:t>µg/g</w:t>
            </w:r>
          </w:p>
        </w:tc>
        <w:tc>
          <w:tcPr>
            <w:tcW w:w="1705" w:type="pct"/>
          </w:tcPr>
          <w:p w14:paraId="7270DDF2" w14:textId="6AC090DA" w:rsidR="00D53275" w:rsidRDefault="00D53275" w:rsidP="00D53275">
            <w:pPr>
              <w:rPr>
                <w:szCs w:val="20"/>
              </w:rPr>
            </w:pPr>
            <w:r>
              <w:rPr>
                <w:szCs w:val="20"/>
              </w:rPr>
              <w:t>1.9</w:t>
            </w:r>
          </w:p>
        </w:tc>
      </w:tr>
      <w:tr w:rsidR="00D53275" w:rsidRPr="00506D1F" w14:paraId="0570CE36" w14:textId="77777777" w:rsidTr="00D53275">
        <w:trPr>
          <w:trHeight w:val="38"/>
          <w:jc w:val="center"/>
        </w:trPr>
        <w:tc>
          <w:tcPr>
            <w:tcW w:w="2105" w:type="pct"/>
            <w:vMerge/>
            <w:vAlign w:val="center"/>
          </w:tcPr>
          <w:p w14:paraId="3524B756" w14:textId="77777777" w:rsidR="00D53275" w:rsidRPr="00506D1F" w:rsidRDefault="00D53275" w:rsidP="00D53275">
            <w:pPr>
              <w:rPr>
                <w:b/>
                <w:szCs w:val="20"/>
              </w:rPr>
            </w:pPr>
          </w:p>
        </w:tc>
        <w:tc>
          <w:tcPr>
            <w:tcW w:w="1190" w:type="pct"/>
          </w:tcPr>
          <w:p w14:paraId="5C9A3AED" w14:textId="17233B4F" w:rsidR="00D53275" w:rsidRDefault="00D53275" w:rsidP="00D53275">
            <w:pPr>
              <w:rPr>
                <w:b/>
                <w:szCs w:val="20"/>
              </w:rPr>
            </w:pPr>
            <w:r>
              <w:rPr>
                <w:b/>
                <w:sz w:val="24"/>
                <w:szCs w:val="20"/>
              </w:rPr>
              <w:t>79</w:t>
            </w:r>
            <w:r w:rsidRPr="00506D1F">
              <w:rPr>
                <w:b/>
                <w:sz w:val="24"/>
                <w:szCs w:val="20"/>
              </w:rPr>
              <w:t>0</w:t>
            </w:r>
            <w:r>
              <w:rPr>
                <w:b/>
                <w:sz w:val="24"/>
                <w:szCs w:val="20"/>
              </w:rPr>
              <w:t xml:space="preserve"> </w:t>
            </w:r>
            <w:r w:rsidRPr="00506D1F">
              <w:rPr>
                <w:b/>
                <w:sz w:val="24"/>
                <w:szCs w:val="20"/>
              </w:rPr>
              <w:t>µg/g</w:t>
            </w:r>
          </w:p>
        </w:tc>
        <w:tc>
          <w:tcPr>
            <w:tcW w:w="1705" w:type="pct"/>
          </w:tcPr>
          <w:p w14:paraId="23D38A63" w14:textId="1BDE34E9" w:rsidR="00D53275" w:rsidRDefault="00D53275" w:rsidP="00D53275">
            <w:pPr>
              <w:rPr>
                <w:szCs w:val="20"/>
              </w:rPr>
            </w:pPr>
            <w:r>
              <w:rPr>
                <w:szCs w:val="20"/>
              </w:rPr>
              <w:t>1.7</w:t>
            </w:r>
          </w:p>
        </w:tc>
      </w:tr>
      <w:tr w:rsidR="00D53275" w:rsidRPr="00506D1F" w14:paraId="7CCE6004" w14:textId="77777777" w:rsidTr="00ED590E">
        <w:trPr>
          <w:jc w:val="center"/>
        </w:trPr>
        <w:tc>
          <w:tcPr>
            <w:tcW w:w="2105" w:type="pct"/>
            <w:vMerge/>
            <w:vAlign w:val="center"/>
          </w:tcPr>
          <w:p w14:paraId="54FB9A69" w14:textId="77777777" w:rsidR="00D53275" w:rsidRPr="00506D1F" w:rsidRDefault="00D53275" w:rsidP="00D53275">
            <w:pPr>
              <w:rPr>
                <w:b/>
                <w:szCs w:val="20"/>
              </w:rPr>
            </w:pPr>
          </w:p>
        </w:tc>
        <w:tc>
          <w:tcPr>
            <w:tcW w:w="1190" w:type="pct"/>
          </w:tcPr>
          <w:p w14:paraId="535F941F" w14:textId="3DA6F308" w:rsidR="00D53275" w:rsidRDefault="00D53275" w:rsidP="00D53275">
            <w:pPr>
              <w:rPr>
                <w:b/>
                <w:szCs w:val="20"/>
              </w:rPr>
            </w:pPr>
            <w:r>
              <w:rPr>
                <w:b/>
                <w:sz w:val="24"/>
                <w:szCs w:val="20"/>
              </w:rPr>
              <w:t>42 mg/g</w:t>
            </w:r>
          </w:p>
        </w:tc>
        <w:tc>
          <w:tcPr>
            <w:tcW w:w="1705" w:type="pct"/>
          </w:tcPr>
          <w:p w14:paraId="14C24B45" w14:textId="36A07D8D" w:rsidR="00D53275" w:rsidRDefault="00D53275" w:rsidP="00D53275">
            <w:pPr>
              <w:rPr>
                <w:szCs w:val="20"/>
              </w:rPr>
            </w:pPr>
            <w:r>
              <w:rPr>
                <w:szCs w:val="20"/>
              </w:rPr>
              <w:t>3.9</w:t>
            </w:r>
          </w:p>
        </w:tc>
      </w:tr>
      <w:tr w:rsidR="005F556D" w:rsidRPr="00506D1F" w14:paraId="67B2BFB7" w14:textId="77777777" w:rsidTr="00ED590E">
        <w:trPr>
          <w:jc w:val="center"/>
        </w:trPr>
        <w:tc>
          <w:tcPr>
            <w:tcW w:w="2105" w:type="pct"/>
            <w:vMerge w:val="restart"/>
            <w:vAlign w:val="center"/>
          </w:tcPr>
          <w:p w14:paraId="084651C9" w14:textId="32C94913" w:rsidR="005F556D" w:rsidRPr="00506D1F" w:rsidRDefault="00D53275" w:rsidP="005F556D">
            <w:pPr>
              <w:rPr>
                <w:b/>
                <w:sz w:val="24"/>
                <w:szCs w:val="20"/>
              </w:rPr>
            </w:pPr>
            <w:r>
              <w:rPr>
                <w:b/>
                <w:sz w:val="24"/>
                <w:szCs w:val="20"/>
              </w:rPr>
              <w:t>Total p</w:t>
            </w:r>
            <w:r w:rsidR="005F556D" w:rsidRPr="00506D1F">
              <w:rPr>
                <w:b/>
                <w:sz w:val="24"/>
                <w:szCs w:val="20"/>
              </w:rPr>
              <w:t>recision</w:t>
            </w:r>
          </w:p>
          <w:p w14:paraId="0CBC50BB" w14:textId="77777777" w:rsidR="005F556D" w:rsidRPr="00506D1F" w:rsidRDefault="005F556D" w:rsidP="005F556D">
            <w:pPr>
              <w:rPr>
                <w:b/>
                <w:sz w:val="24"/>
                <w:szCs w:val="20"/>
              </w:rPr>
            </w:pPr>
            <w:r w:rsidRPr="00506D1F">
              <w:rPr>
                <w:b/>
                <w:sz w:val="24"/>
                <w:szCs w:val="20"/>
              </w:rPr>
              <w:t>(coefficient of variation)</w:t>
            </w:r>
          </w:p>
        </w:tc>
        <w:tc>
          <w:tcPr>
            <w:tcW w:w="1190" w:type="pct"/>
          </w:tcPr>
          <w:p w14:paraId="2F71DF11" w14:textId="77777777" w:rsidR="005F556D" w:rsidRPr="00506D1F" w:rsidRDefault="005F556D" w:rsidP="005F556D">
            <w:pPr>
              <w:rPr>
                <w:b/>
                <w:sz w:val="24"/>
                <w:szCs w:val="20"/>
              </w:rPr>
            </w:pPr>
            <w:r>
              <w:rPr>
                <w:b/>
                <w:sz w:val="24"/>
                <w:szCs w:val="20"/>
              </w:rPr>
              <w:t xml:space="preserve">5 </w:t>
            </w:r>
            <w:r w:rsidRPr="00506D1F">
              <w:rPr>
                <w:b/>
                <w:sz w:val="24"/>
                <w:szCs w:val="20"/>
              </w:rPr>
              <w:t>µg/g</w:t>
            </w:r>
          </w:p>
        </w:tc>
        <w:tc>
          <w:tcPr>
            <w:tcW w:w="1705" w:type="pct"/>
          </w:tcPr>
          <w:p w14:paraId="3E874D71" w14:textId="77777777" w:rsidR="005F556D" w:rsidRPr="00506D1F" w:rsidRDefault="005F556D" w:rsidP="005F556D">
            <w:pPr>
              <w:rPr>
                <w:sz w:val="24"/>
                <w:szCs w:val="20"/>
              </w:rPr>
            </w:pPr>
            <w:r>
              <w:rPr>
                <w:sz w:val="24"/>
                <w:szCs w:val="20"/>
              </w:rPr>
              <w:t>4.0</w:t>
            </w:r>
          </w:p>
        </w:tc>
      </w:tr>
      <w:tr w:rsidR="005F556D" w:rsidRPr="00506D1F" w14:paraId="038EF024" w14:textId="77777777" w:rsidTr="00ED590E">
        <w:trPr>
          <w:jc w:val="center"/>
        </w:trPr>
        <w:tc>
          <w:tcPr>
            <w:tcW w:w="2105" w:type="pct"/>
            <w:vMerge/>
          </w:tcPr>
          <w:p w14:paraId="4F71BD40" w14:textId="77777777" w:rsidR="005F556D" w:rsidRPr="00506D1F" w:rsidRDefault="005F556D" w:rsidP="005F556D">
            <w:pPr>
              <w:rPr>
                <w:b/>
                <w:sz w:val="24"/>
                <w:szCs w:val="20"/>
              </w:rPr>
            </w:pPr>
          </w:p>
        </w:tc>
        <w:tc>
          <w:tcPr>
            <w:tcW w:w="1190" w:type="pct"/>
          </w:tcPr>
          <w:p w14:paraId="59761E0F" w14:textId="77777777" w:rsidR="005F556D" w:rsidRPr="00506D1F" w:rsidRDefault="005F556D" w:rsidP="005F556D">
            <w:pPr>
              <w:rPr>
                <w:b/>
                <w:sz w:val="24"/>
                <w:szCs w:val="20"/>
              </w:rPr>
            </w:pPr>
            <w:r>
              <w:rPr>
                <w:b/>
                <w:sz w:val="24"/>
                <w:szCs w:val="20"/>
              </w:rPr>
              <w:t>20</w:t>
            </w:r>
            <w:r w:rsidRPr="00506D1F">
              <w:rPr>
                <w:b/>
                <w:sz w:val="24"/>
                <w:szCs w:val="20"/>
              </w:rPr>
              <w:t>0</w:t>
            </w:r>
            <w:r>
              <w:rPr>
                <w:b/>
                <w:sz w:val="24"/>
                <w:szCs w:val="20"/>
              </w:rPr>
              <w:t xml:space="preserve"> </w:t>
            </w:r>
            <w:r w:rsidRPr="00506D1F">
              <w:rPr>
                <w:b/>
                <w:sz w:val="24"/>
                <w:szCs w:val="20"/>
              </w:rPr>
              <w:t>µg/g</w:t>
            </w:r>
          </w:p>
        </w:tc>
        <w:tc>
          <w:tcPr>
            <w:tcW w:w="1705" w:type="pct"/>
          </w:tcPr>
          <w:p w14:paraId="236C0F2D" w14:textId="77777777" w:rsidR="005F556D" w:rsidRPr="00506D1F" w:rsidRDefault="005F556D" w:rsidP="005F556D">
            <w:pPr>
              <w:rPr>
                <w:sz w:val="24"/>
                <w:szCs w:val="20"/>
              </w:rPr>
            </w:pPr>
            <w:r>
              <w:rPr>
                <w:sz w:val="24"/>
                <w:szCs w:val="20"/>
              </w:rPr>
              <w:t>2.3</w:t>
            </w:r>
          </w:p>
        </w:tc>
      </w:tr>
      <w:tr w:rsidR="005F556D" w:rsidRPr="00506D1F" w14:paraId="3ACD0CAE" w14:textId="77777777" w:rsidTr="00ED590E">
        <w:trPr>
          <w:jc w:val="center"/>
        </w:trPr>
        <w:tc>
          <w:tcPr>
            <w:tcW w:w="2105" w:type="pct"/>
            <w:vMerge/>
          </w:tcPr>
          <w:p w14:paraId="1D9F50CC" w14:textId="77777777" w:rsidR="005F556D" w:rsidRPr="00506D1F" w:rsidRDefault="005F556D" w:rsidP="005F556D">
            <w:pPr>
              <w:rPr>
                <w:b/>
                <w:sz w:val="24"/>
                <w:szCs w:val="20"/>
              </w:rPr>
            </w:pPr>
          </w:p>
        </w:tc>
        <w:tc>
          <w:tcPr>
            <w:tcW w:w="1190" w:type="pct"/>
          </w:tcPr>
          <w:p w14:paraId="03EB7309" w14:textId="77777777" w:rsidR="005F556D" w:rsidRPr="00506D1F" w:rsidRDefault="005F556D" w:rsidP="005F556D">
            <w:pPr>
              <w:rPr>
                <w:b/>
                <w:sz w:val="24"/>
                <w:szCs w:val="20"/>
              </w:rPr>
            </w:pPr>
            <w:r>
              <w:rPr>
                <w:b/>
                <w:sz w:val="24"/>
                <w:szCs w:val="20"/>
              </w:rPr>
              <w:t>79</w:t>
            </w:r>
            <w:r w:rsidRPr="00506D1F">
              <w:rPr>
                <w:b/>
                <w:sz w:val="24"/>
                <w:szCs w:val="20"/>
              </w:rPr>
              <w:t>0</w:t>
            </w:r>
            <w:r>
              <w:rPr>
                <w:b/>
                <w:sz w:val="24"/>
                <w:szCs w:val="20"/>
              </w:rPr>
              <w:t xml:space="preserve"> </w:t>
            </w:r>
            <w:r w:rsidRPr="00506D1F">
              <w:rPr>
                <w:b/>
                <w:sz w:val="24"/>
                <w:szCs w:val="20"/>
              </w:rPr>
              <w:t>µg/g</w:t>
            </w:r>
          </w:p>
        </w:tc>
        <w:tc>
          <w:tcPr>
            <w:tcW w:w="1705" w:type="pct"/>
          </w:tcPr>
          <w:p w14:paraId="7AA8DA56" w14:textId="77777777" w:rsidR="005F556D" w:rsidRPr="00506D1F" w:rsidRDefault="005F556D" w:rsidP="005F556D">
            <w:pPr>
              <w:rPr>
                <w:sz w:val="24"/>
                <w:szCs w:val="20"/>
              </w:rPr>
            </w:pPr>
            <w:r>
              <w:rPr>
                <w:sz w:val="24"/>
                <w:szCs w:val="20"/>
              </w:rPr>
              <w:t>3.0</w:t>
            </w:r>
          </w:p>
        </w:tc>
      </w:tr>
      <w:tr w:rsidR="005F556D" w:rsidRPr="00506D1F" w14:paraId="3BB9E100" w14:textId="77777777" w:rsidTr="00ED590E">
        <w:trPr>
          <w:jc w:val="center"/>
        </w:trPr>
        <w:tc>
          <w:tcPr>
            <w:tcW w:w="2105" w:type="pct"/>
            <w:vMerge/>
          </w:tcPr>
          <w:p w14:paraId="676C375D" w14:textId="77777777" w:rsidR="005F556D" w:rsidRPr="00506D1F" w:rsidRDefault="005F556D" w:rsidP="005F556D">
            <w:pPr>
              <w:rPr>
                <w:b/>
                <w:sz w:val="24"/>
                <w:szCs w:val="20"/>
              </w:rPr>
            </w:pPr>
          </w:p>
        </w:tc>
        <w:tc>
          <w:tcPr>
            <w:tcW w:w="1190" w:type="pct"/>
          </w:tcPr>
          <w:p w14:paraId="3D94E7EA" w14:textId="77777777" w:rsidR="005F556D" w:rsidRPr="00506D1F" w:rsidRDefault="005F556D" w:rsidP="005F556D">
            <w:pPr>
              <w:rPr>
                <w:b/>
                <w:sz w:val="24"/>
                <w:szCs w:val="20"/>
              </w:rPr>
            </w:pPr>
            <w:r>
              <w:rPr>
                <w:b/>
                <w:sz w:val="24"/>
                <w:szCs w:val="20"/>
              </w:rPr>
              <w:t>42 mg/g</w:t>
            </w:r>
          </w:p>
        </w:tc>
        <w:tc>
          <w:tcPr>
            <w:tcW w:w="1705" w:type="pct"/>
          </w:tcPr>
          <w:p w14:paraId="1491E2E3" w14:textId="77777777" w:rsidR="005F556D" w:rsidRPr="00506D1F" w:rsidRDefault="005F556D" w:rsidP="005F556D">
            <w:pPr>
              <w:rPr>
                <w:sz w:val="24"/>
                <w:szCs w:val="20"/>
              </w:rPr>
            </w:pPr>
            <w:r>
              <w:rPr>
                <w:sz w:val="24"/>
                <w:szCs w:val="20"/>
              </w:rPr>
              <w:t>4.9</w:t>
            </w:r>
          </w:p>
        </w:tc>
      </w:tr>
    </w:tbl>
    <w:p w14:paraId="2969C49F" w14:textId="77777777" w:rsidR="004A00C6" w:rsidRDefault="0099711A"/>
    <w:sectPr w:rsidR="004A00C6" w:rsidSect="0022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vTTd3e3db0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6AAB"/>
    <w:multiLevelType w:val="hybridMultilevel"/>
    <w:tmpl w:val="F07C6CEE"/>
    <w:lvl w:ilvl="0" w:tplc="694AD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B3"/>
    <w:rsid w:val="000075B3"/>
    <w:rsid w:val="000436E1"/>
    <w:rsid w:val="00206D09"/>
    <w:rsid w:val="00222B5B"/>
    <w:rsid w:val="002475B7"/>
    <w:rsid w:val="002B748B"/>
    <w:rsid w:val="002D0022"/>
    <w:rsid w:val="004F0B84"/>
    <w:rsid w:val="005C5AB8"/>
    <w:rsid w:val="005C68E2"/>
    <w:rsid w:val="005F556D"/>
    <w:rsid w:val="00647FAC"/>
    <w:rsid w:val="006B0066"/>
    <w:rsid w:val="00707FCB"/>
    <w:rsid w:val="008A5A7E"/>
    <w:rsid w:val="008C5A5E"/>
    <w:rsid w:val="0099711A"/>
    <w:rsid w:val="00B218F9"/>
    <w:rsid w:val="00D53275"/>
    <w:rsid w:val="00D667A5"/>
    <w:rsid w:val="00DA6EC0"/>
    <w:rsid w:val="00E147FE"/>
    <w:rsid w:val="00E46E20"/>
    <w:rsid w:val="00F9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FF1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B3"/>
    <w:pPr>
      <w:ind w:left="720"/>
      <w:contextualSpacing/>
    </w:pPr>
    <w:rPr>
      <w:rFonts w:asciiTheme="minorHAnsi" w:hAnsiTheme="minorHAnsi" w:cstheme="minorBidi"/>
    </w:rPr>
  </w:style>
  <w:style w:type="table" w:styleId="TableGrid">
    <w:name w:val="Table Grid"/>
    <w:basedOn w:val="TableNormal"/>
    <w:uiPriority w:val="39"/>
    <w:rsid w:val="000075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AB8"/>
    <w:rPr>
      <w:sz w:val="18"/>
      <w:szCs w:val="18"/>
    </w:rPr>
  </w:style>
  <w:style w:type="character" w:customStyle="1" w:styleId="BalloonTextChar">
    <w:name w:val="Balloon Text Char"/>
    <w:basedOn w:val="DefaultParagraphFont"/>
    <w:link w:val="BalloonText"/>
    <w:uiPriority w:val="99"/>
    <w:semiHidden/>
    <w:rsid w:val="005C5A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NSF INTERNATIONAL</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Cohen</dc:creator>
  <cp:keywords/>
  <dc:description/>
  <cp:lastModifiedBy>gbodenadmin</cp:lastModifiedBy>
  <cp:revision>3</cp:revision>
  <dcterms:created xsi:type="dcterms:W3CDTF">2018-06-27T12:14:00Z</dcterms:created>
  <dcterms:modified xsi:type="dcterms:W3CDTF">2018-06-27T12:15:00Z</dcterms:modified>
</cp:coreProperties>
</file>