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3F" w:rsidRDefault="00AC503F" w:rsidP="0026662C">
      <w:pPr>
        <w:keepNext/>
        <w:keepLines/>
        <w:spacing w:before="0" w:after="0" w:line="480" w:lineRule="auto"/>
        <w:jc w:val="left"/>
        <w:outlineLvl w:val="1"/>
        <w:rPr>
          <w:rFonts w:ascii="Times New Roman" w:eastAsia="Calibri" w:hAnsi="Times New Roman"/>
          <w:b/>
          <w:bCs/>
          <w:sz w:val="24"/>
          <w:lang w:val="en-US" w:eastAsia="en-US"/>
        </w:rPr>
      </w:pPr>
      <w:bookmarkStart w:id="0" w:name="_Toc506394770"/>
      <w:bookmarkStart w:id="1" w:name="_Toc506394778"/>
      <w:bookmarkStart w:id="2" w:name="_GoBack"/>
      <w:bookmarkEnd w:id="2"/>
      <w:r w:rsidRPr="00AC503F">
        <w:rPr>
          <w:rFonts w:ascii="Times New Roman" w:eastAsia="Calibri" w:hAnsi="Times New Roman"/>
          <w:b/>
          <w:bCs/>
          <w:sz w:val="24"/>
          <w:lang w:val="en-US" w:eastAsia="en-US"/>
        </w:rPr>
        <w:t>Figure 1. Patients' Flowchart</w:t>
      </w:r>
      <w:bookmarkEnd w:id="1"/>
    </w:p>
    <w:p w:rsidR="0026662C" w:rsidRPr="00AC503F" w:rsidRDefault="007609DD" w:rsidP="0026662C">
      <w:pPr>
        <w:keepNext/>
        <w:keepLines/>
        <w:spacing w:before="0" w:after="0" w:line="480" w:lineRule="auto"/>
        <w:jc w:val="left"/>
        <w:outlineLvl w:val="1"/>
        <w:rPr>
          <w:rFonts w:ascii="Times New Roman" w:eastAsia="Calibri" w:hAnsi="Times New Roman"/>
          <w:b/>
          <w:bCs/>
          <w:sz w:val="24"/>
          <w:lang w:val="en-US" w:eastAsia="en-US"/>
        </w:rPr>
      </w:pPr>
      <w:r>
        <w:rPr>
          <w:rFonts w:ascii="Times New Roman" w:eastAsia="Calibri" w:hAnsi="Times New Roman"/>
          <w:b/>
          <w:bCs/>
          <w:noProof/>
          <w:sz w:val="24"/>
        </w:rPr>
        <w:drawing>
          <wp:inline distT="0" distB="0" distL="0" distR="0">
            <wp:extent cx="6412447" cy="5501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 CDiezQueved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7" cy="55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74" w:rsidRDefault="006F3874">
      <w:pPr>
        <w:spacing w:before="0" w:after="0"/>
        <w:jc w:val="left"/>
        <w:rPr>
          <w:rFonts w:ascii="Times New Roman" w:hAnsi="Times New Roman"/>
          <w:b/>
          <w:bCs/>
          <w:sz w:val="24"/>
          <w:lang w:val="en-GB" w:eastAsia="en-US"/>
        </w:rPr>
      </w:pPr>
      <w:bookmarkStart w:id="3" w:name="_Toc506394771"/>
      <w:r>
        <w:rPr>
          <w:rFonts w:ascii="Times New Roman" w:hAnsi="Times New Roman"/>
          <w:b/>
          <w:bCs/>
          <w:sz w:val="24"/>
          <w:lang w:val="en-GB" w:eastAsia="en-US"/>
        </w:rPr>
        <w:br w:type="page"/>
      </w:r>
    </w:p>
    <w:p w:rsidR="007609DD" w:rsidRPr="007609DD" w:rsidRDefault="007609DD" w:rsidP="006F3874">
      <w:pPr>
        <w:keepNext/>
        <w:keepLines/>
        <w:jc w:val="left"/>
        <w:outlineLvl w:val="1"/>
        <w:rPr>
          <w:rFonts w:ascii="Times New Roman" w:hAnsi="Times New Roman"/>
          <w:b/>
          <w:bCs/>
          <w:sz w:val="24"/>
          <w:lang w:val="en-GB" w:eastAsia="en-US"/>
        </w:rPr>
      </w:pPr>
      <w:r w:rsidRPr="007609DD">
        <w:rPr>
          <w:rFonts w:ascii="Times New Roman" w:hAnsi="Times New Roman"/>
          <w:b/>
          <w:bCs/>
          <w:sz w:val="24"/>
          <w:lang w:val="en-GB" w:eastAsia="en-US"/>
        </w:rPr>
        <w:lastRenderedPageBreak/>
        <w:t xml:space="preserve">Table 1. Characteristics of patients in the total sample and according to benzodiazepine prescription. </w:t>
      </w:r>
      <w:bookmarkEnd w:id="3"/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76"/>
        <w:gridCol w:w="1030"/>
      </w:tblGrid>
      <w:tr w:rsidR="007609DD" w:rsidRPr="007609DD" w:rsidTr="005B3A5E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Variables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Total sample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Benzodiazepine prescription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P-value</w:t>
            </w:r>
            <w:r w:rsidRPr="007609DD">
              <w:rPr>
                <w:rFonts w:ascii="Times New Roman" w:hAnsi="Times New Roman"/>
                <w:b/>
                <w:sz w:val="24"/>
                <w:vertAlign w:val="superscript"/>
                <w:lang w:val="en-GB" w:eastAsia="en-US"/>
              </w:rPr>
              <w:t>1</w:t>
            </w:r>
          </w:p>
        </w:tc>
      </w:tr>
      <w:tr w:rsidR="007609DD" w:rsidRPr="007609DD" w:rsidTr="005B3A5E">
        <w:trPr>
          <w:trHeight w:val="209"/>
        </w:trPr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b/>
                <w:color w:val="FF0000"/>
                <w:sz w:val="24"/>
                <w:lang w:val="en-GB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YES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NO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b/>
                <w:color w:val="FF0000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color w:val="FF0000"/>
                <w:sz w:val="24"/>
                <w:lang w:val="en-GB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N = 2,139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N = 1,052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N = 1,087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color w:val="FF0000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Time of follow-up, yrs. – median (25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-75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percentile)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7.96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(4.02 – 12.59)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8.23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(4.47 – 12.27)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7.61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(3.41 – 12.99)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0.16</w:t>
            </w:r>
          </w:p>
        </w:tc>
      </w:tr>
      <w:tr w:rsidR="007609DD" w:rsidRPr="007609DD" w:rsidTr="005B3A5E">
        <w:trPr>
          <w:trHeight w:val="58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Sex (females) – n (%)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599 (28.0)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376 (35.7)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223 (20.5)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Age, yrs. – median (25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-75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percentile)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68.49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(58.33 – 76.21)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68.53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(58.33 – 76.20)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68.42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(58.32 – 76.30)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0.76</w:t>
            </w:r>
          </w:p>
        </w:tc>
      </w:tr>
      <w:tr w:rsidR="007609DD" w:rsidRPr="007609DD" w:rsidTr="005B3A5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Clinical HF variables</w:t>
            </w: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Months since HF diagnosis –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median (25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-75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percentile)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 (1 – 42)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 (2 – 43)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 (1 – 41)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0.17</w:t>
            </w: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Ischemic etiology – n (%)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1040 (48.6)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499 (47.4)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541 (49.8)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0.28</w:t>
            </w:r>
          </w:p>
        </w:tc>
      </w:tr>
      <w:tr w:rsidR="007609DD" w:rsidRPr="007609DD" w:rsidTr="005B3A5E">
        <w:trPr>
          <w:trHeight w:val="277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Baseline LVEF (&lt;40 (HFrEF)) – n (%)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1563 (73.1)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761 (72.3)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802 (73.8)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0.45</w:t>
            </w:r>
          </w:p>
        </w:tc>
      </w:tr>
      <w:tr w:rsidR="007609DD" w:rsidRPr="007609DD" w:rsidTr="005B3A5E">
        <w:trPr>
          <w:trHeight w:val="277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Baseline NYHA functional class — n (%)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  <w:tc>
          <w:tcPr>
            <w:tcW w:w="10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0.004</w:t>
            </w: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135 (6.3)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48 (4.6)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87 (8.0)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1409 (65.9)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698 (66.3)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711 (65.4)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571 (26.7)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297 (28.2)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274 (25.2)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24 (1.1)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 (0.9)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15 (1.4)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Baseline NT-proBNP, pg/mL –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median (25th-75th percentile)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(N=1,491)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1680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(702 – 4070)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(N=753)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1706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(725 – 4228)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(N=738)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1623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(626 – 3915)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0.13</w:t>
            </w:r>
          </w:p>
        </w:tc>
      </w:tr>
      <w:tr w:rsidR="007609DD" w:rsidRPr="007609DD" w:rsidTr="005B3A5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Comorbidities</w:t>
            </w:r>
          </w:p>
        </w:tc>
      </w:tr>
      <w:tr w:rsidR="007609DD" w:rsidRPr="007609DD" w:rsidTr="005B3A5E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Depressive symptoms at baseline, GDS≥1 – n (%)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800 (37.4)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507 (48.2)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293 (27.0)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lastRenderedPageBreak/>
              <w:t>History of alcohol consumption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591 (27.6)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248 (23.6)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343 (31.6)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History of nicotine consumption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1348 (63.0)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619 (58.8)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729 (67.1)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trHeight w:val="26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Cancer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373 (17.4)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198 (18.8)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175 (16.1)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0.10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Diabetes mellitus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996 (46.6)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482 (45.8)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514 (47.3)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0.50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Hypertension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1452 (67.9)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716 (68.1)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736 (67.7)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0.86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Hypercholesterolemia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1276 (59.7)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631 (60.0)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645 (59.3)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0.76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Peripheral vasculopathy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540 (25.2)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272 (25.9)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268 (24.7)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0.52</w:t>
            </w:r>
          </w:p>
        </w:tc>
      </w:tr>
      <w:tr w:rsidR="007609DD" w:rsidRPr="007609DD" w:rsidTr="005B3A5E">
        <w:trPr>
          <w:trHeight w:val="11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COPD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466 (21.8)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209 (19.9)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257 (23.6)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0.03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Chronic renal failure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548 (25.6)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278 (26.4)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270 (24.8)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0.40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BMI, kg/m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2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— median (25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–75</w:t>
            </w:r>
            <w:r w:rsidRPr="007609DD">
              <w:rPr>
                <w:rFonts w:ascii="Times New Roman" w:hAnsi="Times New Roman"/>
                <w:sz w:val="24"/>
                <w:vertAlign w:val="superscript"/>
                <w:lang w:val="en-GB" w:eastAsia="en-US"/>
              </w:rPr>
              <w:t>th</w:t>
            </w: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percentile)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26.97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(24.17–30.28)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26.83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(23.92 – 29.94)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27.12 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(24.39 – 30.49)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0.04</w:t>
            </w:r>
          </w:p>
        </w:tc>
      </w:tr>
      <w:tr w:rsidR="007609DD" w:rsidRPr="007609DD" w:rsidTr="005B3A5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Baseline Functionality</w:t>
            </w:r>
          </w:p>
        </w:tc>
      </w:tr>
      <w:tr w:rsidR="007609DD" w:rsidRPr="007609DD" w:rsidTr="005B3A5E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Barthel index — median (25th–75th percentile)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100 (95 – 100)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100 (90 – 100)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100 (95 – 100)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OARS — median (25th–75th percentile)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 (12 –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 (11 – 14)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 (12 – 14)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0.20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Pfeiffer test — median (25th–75th percentile)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 (0 –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 (0 – 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 (0 –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0.69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Frailty syndrome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668 (31.2)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375 (35.6)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293 (27.0)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Medical Treatment</w:t>
            </w:r>
          </w:p>
        </w:tc>
      </w:tr>
      <w:tr w:rsidR="007609DD" w:rsidRPr="007609DD" w:rsidTr="005B3A5E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Antidepressants – n (%)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697 (32.6)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531 (50.5)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166 (15.3)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ACE inhibitors or ARBs–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1824 (85.3)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899 (85.5)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925 (85.1)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0.81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Beta-blockers—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1891 (88.4)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945 (89.8)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946 (87.0)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0.04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Loop diuretics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1910 (89.3)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954 (90.7)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956 (87.9)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0.04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Thiazide diuretics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657 (30.7)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364 (34.6)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293 (27.0)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lastRenderedPageBreak/>
              <w:t>Aldosterone antagonists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1273 (59.5)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678 (64.4)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595 (54.7)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Hydralazine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757 (35.4)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399 (37.9)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358 (32.9)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0.02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Nitrates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1064 (49.7)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556 (52.9)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508 (46.7)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0.005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Digoxin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790 (36.9)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425 (40.4)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365 (33.6)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Calcium antagonists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432 (20.2)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238 (22.6)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194 (17.8)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Ivabradine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366 (17.1)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188 (17.9)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178 (16.4)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0.36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Amiodarone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520 (24.3)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283 (26.9)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237 (21.8)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0.006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Acenocumarol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1014 (47.4)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534 (50.8)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480 (44.2)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0.002</w:t>
            </w:r>
          </w:p>
        </w:tc>
      </w:tr>
      <w:tr w:rsidR="007609DD" w:rsidRPr="007609DD" w:rsidTr="005B3A5E">
        <w:trPr>
          <w:trHeight w:val="6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Antiplatelet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1278 (59.7)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647 (61.5)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631 (58.0)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0.10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Statins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1560 (72.9)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798 (75.9)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762 (70.1)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0.003</w:t>
            </w:r>
          </w:p>
        </w:tc>
      </w:tr>
      <w:tr w:rsidR="007609DD" w:rsidRPr="007609DD" w:rsidTr="005B3A5E">
        <w:trPr>
          <w:trHeight w:val="5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Oral antidiabetics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813 (38.0)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418 (39.7)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395 (36.3)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0.11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Insulin –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604 (28.2)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310 (29.5)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294 (27.0)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0.21</w:t>
            </w:r>
          </w:p>
        </w:tc>
      </w:tr>
      <w:tr w:rsidR="007609DD" w:rsidRPr="0084554B" w:rsidTr="005B3A5E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b/>
                <w:sz w:val="24"/>
                <w:lang w:val="en-GB" w:eastAsia="en-US"/>
              </w:rPr>
              <w:t>Changes during the first year of follow-up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LVEF, % of change between baseline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and 1st year of follow-up —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median (25th–75th percentile)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(N=1,420)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+6 (0 – +15)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(N=755)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+5 (0 - +14)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(N=665)</w:t>
            </w:r>
          </w:p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+6 (0 - +15)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0.44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NYHA functional class, change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between baseline and 1st year of </w:t>
            </w:r>
          </w:p>
          <w:p w:rsidR="007609DD" w:rsidRPr="007609DD" w:rsidRDefault="007609DD" w:rsidP="006F3874">
            <w:pPr>
              <w:jc w:val="lef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follow-up —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(N=1,545)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(N=818)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(N=727)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0.14</w:t>
            </w:r>
          </w:p>
        </w:tc>
      </w:tr>
      <w:tr w:rsidR="007609DD" w:rsidRPr="007609DD" w:rsidTr="005B3A5E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Improvement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329 (21.3)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185 (22.6)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144 (19.8)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Stability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1056 (68.3)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541 (66.1)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515 (70.8)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color w:val="FF0000"/>
                <w:sz w:val="24"/>
                <w:lang w:val="en-GB" w:eastAsia="en-US"/>
              </w:rPr>
            </w:pPr>
          </w:p>
        </w:tc>
      </w:tr>
      <w:tr w:rsidR="007609DD" w:rsidRPr="007609DD" w:rsidTr="005B3A5E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right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 xml:space="preserve">  Worsening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160 (10.4)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92 (11.2)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center"/>
              <w:rPr>
                <w:rFonts w:ascii="Times New Roman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hAnsi="Times New Roman"/>
                <w:sz w:val="24"/>
                <w:lang w:val="en-GB" w:eastAsia="en-US"/>
              </w:rPr>
              <w:t>68 (9.4)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hAnsi="Times New Roman"/>
                <w:color w:val="FF0000"/>
                <w:sz w:val="24"/>
                <w:lang w:val="en-GB" w:eastAsia="en-US"/>
              </w:rPr>
            </w:pPr>
          </w:p>
        </w:tc>
      </w:tr>
    </w:tbl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</w:p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  <w:r w:rsidRPr="007609DD">
        <w:rPr>
          <w:rFonts w:ascii="Times New Roman" w:eastAsia="Calibri" w:hAnsi="Times New Roman"/>
          <w:sz w:val="24"/>
          <w:lang w:val="en-GB" w:eastAsia="en-US"/>
        </w:rPr>
        <w:t xml:space="preserve">Abbreviations: ACE, angiotensin converting enzyme; ARB, angiotensin receptor blocker; BMI, body mass index; CI, confidence interval; COPD, chronic obstructive pulmonary disease; GDS, Geriatric Depression Scale; HF, heart failure; HFrEF, heart failure with reduced ejection fraction; HFmrEF, heart failure with mid-range ejection fraction; HFpEF, heart failure with preserved ejection fraction; LVEF, </w:t>
      </w:r>
      <w:r w:rsidRPr="007609DD">
        <w:rPr>
          <w:rFonts w:ascii="Times New Roman" w:eastAsia="Calibri" w:hAnsi="Times New Roman"/>
          <w:sz w:val="24"/>
          <w:lang w:val="en-GB" w:eastAsia="en-US"/>
        </w:rPr>
        <w:lastRenderedPageBreak/>
        <w:t>left ventricular ejection fraction; NT-proBNP, N-terminal fraction of the B-type Natriuretic Peptide; NYHA, New York Heart Association; OARS, Instrumental Activities Section of the Duke University Scale.</w:t>
      </w:r>
    </w:p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  <w:r w:rsidRPr="007609DD">
        <w:rPr>
          <w:rFonts w:ascii="Times New Roman" w:eastAsia="Calibri" w:hAnsi="Times New Roman"/>
          <w:sz w:val="24"/>
          <w:vertAlign w:val="superscript"/>
          <w:lang w:val="en-GB" w:eastAsia="en-US"/>
        </w:rPr>
        <w:t>1</w:t>
      </w:r>
      <w:r w:rsidRPr="007609DD">
        <w:rPr>
          <w:rFonts w:ascii="Times New Roman" w:eastAsia="Calibri" w:hAnsi="Times New Roman"/>
          <w:sz w:val="24"/>
          <w:lang w:val="en-GB" w:eastAsia="en-US"/>
        </w:rPr>
        <w:t xml:space="preserve"> P-values were determined using Pearson χ2 test for categorical variables and the Mann–Whitney U test for continuous variables, as all of them had a non-normal distribution.</w:t>
      </w:r>
    </w:p>
    <w:p w:rsidR="007609DD" w:rsidRPr="007609DD" w:rsidRDefault="007609DD" w:rsidP="007609DD">
      <w:pPr>
        <w:spacing w:before="0" w:after="200" w:line="276" w:lineRule="auto"/>
        <w:jc w:val="left"/>
        <w:rPr>
          <w:rFonts w:ascii="Calibri" w:eastAsia="Calibri" w:hAnsi="Calibri"/>
          <w:sz w:val="24"/>
          <w:szCs w:val="22"/>
          <w:lang w:val="en-GB" w:eastAsia="en-US"/>
        </w:rPr>
      </w:pPr>
    </w:p>
    <w:p w:rsidR="006F3874" w:rsidRDefault="006F3874">
      <w:pPr>
        <w:spacing w:before="0" w:after="0"/>
        <w:jc w:val="left"/>
        <w:rPr>
          <w:rFonts w:ascii="Times New Roman" w:eastAsia="Calibri" w:hAnsi="Times New Roman"/>
          <w:b/>
          <w:bCs/>
          <w:sz w:val="24"/>
          <w:lang w:val="en-GB" w:eastAsia="en-US"/>
        </w:rPr>
      </w:pPr>
      <w:bookmarkStart w:id="4" w:name="_Toc506394774"/>
      <w:r>
        <w:rPr>
          <w:rFonts w:ascii="Times New Roman" w:eastAsia="Calibri" w:hAnsi="Times New Roman"/>
          <w:b/>
          <w:bCs/>
          <w:sz w:val="24"/>
          <w:lang w:val="en-GB" w:eastAsia="en-US"/>
        </w:rPr>
        <w:br w:type="page"/>
      </w:r>
    </w:p>
    <w:p w:rsidR="007609DD" w:rsidRPr="007609DD" w:rsidRDefault="007609DD" w:rsidP="006F3874">
      <w:pPr>
        <w:jc w:val="left"/>
        <w:rPr>
          <w:rFonts w:ascii="Times New Roman" w:eastAsia="Calibri" w:hAnsi="Times New Roman"/>
          <w:b/>
          <w:bCs/>
          <w:sz w:val="24"/>
          <w:lang w:val="en-GB" w:eastAsia="en-US"/>
        </w:rPr>
      </w:pPr>
      <w:r w:rsidRPr="007609DD">
        <w:rPr>
          <w:rFonts w:ascii="Times New Roman" w:eastAsia="Calibri" w:hAnsi="Times New Roman"/>
          <w:b/>
          <w:bCs/>
          <w:sz w:val="24"/>
          <w:lang w:val="en-GB" w:eastAsia="en-US"/>
        </w:rPr>
        <w:lastRenderedPageBreak/>
        <w:t>Table 2. Variables included in the Cox proportional hazard analysis of mortality in patients with chronic HF.</w:t>
      </w:r>
      <w:bookmarkEnd w:id="4"/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850"/>
        <w:gridCol w:w="1559"/>
        <w:gridCol w:w="993"/>
        <w:gridCol w:w="850"/>
        <w:gridCol w:w="1418"/>
        <w:gridCol w:w="963"/>
      </w:tblGrid>
      <w:tr w:rsidR="007609DD" w:rsidRPr="007609DD" w:rsidTr="007609DD">
        <w:trPr>
          <w:cantSplit/>
          <w:trHeight w:val="5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Univariate analyses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Multivariate analysis</w:t>
            </w:r>
          </w:p>
        </w:tc>
      </w:tr>
      <w:tr w:rsidR="007609DD" w:rsidRPr="007609DD" w:rsidTr="007609DD">
        <w:trPr>
          <w:cantSplit/>
          <w:trHeight w:val="5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95% CI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P value</w:t>
            </w:r>
          </w:p>
        </w:tc>
      </w:tr>
      <w:tr w:rsidR="007609DD" w:rsidRPr="007609DD" w:rsidTr="005B3A5E">
        <w:trPr>
          <w:cantSplit/>
          <w:trHeight w:val="2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Benzodiazepine prescription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0.75 – 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0.75 – 0.97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0.01</w:t>
            </w:r>
          </w:p>
        </w:tc>
      </w:tr>
      <w:tr w:rsidR="007609DD" w:rsidRPr="007609DD" w:rsidTr="007609DD">
        <w:trPr>
          <w:cantSplit/>
          <w:trHeight w:val="23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Demographic variables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Sex (Males)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0.98 – 1.27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1.07 – 1.46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0.006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1.06 – 1.07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1.04 – 1.05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7609DD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Clinical HF variables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Months since HF diagnosis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1.00 – 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1.00 – 1.00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Ischemic </w:t>
            </w:r>
            <w:r w:rsidR="006F3874"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aetiology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1.18 – 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1.30 – 1.72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Baseline LVEF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1.01 – 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Baseline NYHA functional class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1.88 – 2.29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1.23 – 1.56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7609DD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Comorbidities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Depressive symptoms at baseline (GDS-4 ≥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1.13 – 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1.00 – 1.31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0.05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History of alcohol consumption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0.73 – 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1.03 – 1.40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0.02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History of nicotine consumption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0.77 – 0.98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1.06 – 1.44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Diabetes mellitus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1.24 – 1.58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1.19 – 1.68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Hypertension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1.21 – 1.57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Hypercholesterolemia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0.81 – 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Chronic renal failure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1.61 – 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1.07 – 1.45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0.004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COPD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1.52 – 1.99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1.14 – 1.51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lastRenderedPageBreak/>
              <w:t xml:space="preserve">Peripheral vasculopathy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1.50 – 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1.13 – 1.48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BMI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0.96 – 0.98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0.96 – 0.99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7609DD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Baseline functionality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Barthel Index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0.97 – 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0.98 – 0.99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OARS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0.85 – 0.88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Pfeiffer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1.22 – 1.36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Frailty syndrome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1.48 – 1.89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7609DD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b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b/>
                <w:sz w:val="24"/>
                <w:lang w:val="en-GB" w:eastAsia="en-US"/>
              </w:rPr>
              <w:t>Treatments throughout follow-up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Antidepressants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0.85 – 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ACE inhibitors or ARBs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0.30 – 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0.53 – 0.75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Beta-blockers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0.29 – 0.40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0.48 – 0.70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 xml:space="preserve">Loop diuretics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1.63 – 2.76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1.05 – 1.84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0.02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Thiazide diuretics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1.51 – 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1.16 – 1.50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Aldosterone antagonists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0.72 – 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0.74 – 0.96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Hydralazine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1.41 – 1.79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Nitrates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1.44 – 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Digoxin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0.98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Calcium antagonists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0.78 – 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0.74 – 0.99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0.04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Ivabradine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0.48 – 0.71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0.60 – 0.91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0.004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Amiodarone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1.08 – 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Acenocumarol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0.82 – 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Antiplatelet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0.84 – 1.08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---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Statins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0.46 – 0.59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0.48 – 0.66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Oral antidiabetics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0.75 – 0.96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0.62 – 0.85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</w:tr>
      <w:tr w:rsidR="007609DD" w:rsidRPr="007609DD" w:rsidTr="005B3A5E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left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lastRenderedPageBreak/>
              <w:t>Insulin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1.34 – 1.72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1.07 – 1.47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DD" w:rsidRPr="007609DD" w:rsidRDefault="007609DD" w:rsidP="006F3874">
            <w:pPr>
              <w:jc w:val="center"/>
              <w:rPr>
                <w:rFonts w:ascii="Times New Roman" w:eastAsia="Calibri" w:hAnsi="Times New Roman"/>
                <w:sz w:val="24"/>
                <w:lang w:val="en-GB" w:eastAsia="en-US"/>
              </w:rPr>
            </w:pPr>
            <w:r w:rsidRPr="007609DD">
              <w:rPr>
                <w:rFonts w:ascii="Times New Roman" w:eastAsia="Calibri" w:hAnsi="Times New Roman"/>
                <w:sz w:val="24"/>
                <w:lang w:val="en-GB" w:eastAsia="en-US"/>
              </w:rPr>
              <w:t>0.005</w:t>
            </w:r>
          </w:p>
        </w:tc>
      </w:tr>
    </w:tbl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</w:p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  <w:r w:rsidRPr="007609DD">
        <w:rPr>
          <w:rFonts w:ascii="Times New Roman" w:eastAsia="Calibri" w:hAnsi="Times New Roman"/>
          <w:sz w:val="24"/>
          <w:lang w:val="en-GB" w:eastAsia="en-US"/>
        </w:rPr>
        <w:t>Analysis was adjusted in a backward step conditional Cox proportional hazard analysis.</w:t>
      </w:r>
    </w:p>
    <w:p w:rsidR="007609DD" w:rsidRPr="007609DD" w:rsidRDefault="007609DD" w:rsidP="006F3874">
      <w:pPr>
        <w:jc w:val="left"/>
        <w:rPr>
          <w:rFonts w:ascii="Times New Roman" w:eastAsia="Calibri" w:hAnsi="Times New Roman"/>
          <w:sz w:val="24"/>
          <w:lang w:val="en-GB" w:eastAsia="en-US"/>
        </w:rPr>
      </w:pPr>
      <w:r w:rsidRPr="007609DD">
        <w:rPr>
          <w:rFonts w:ascii="Times New Roman" w:eastAsia="Calibri" w:hAnsi="Times New Roman"/>
          <w:sz w:val="24"/>
          <w:lang w:val="en-GB" w:eastAsia="en-US"/>
        </w:rPr>
        <w:t>Abbreviations: ACE, angiotensin converting enzyme; ARB, angiotensin receptor blocker; BMI, body mass index; CI, confidence interval; COPD, chronic obstructive pulmonary disease; GDS, Geriatric Depression Scale; HF, heart failure; HR, Hazard Ratio; LVEF, left ventricular ejection fraction; NYHA, New York Heart Association</w:t>
      </w:r>
    </w:p>
    <w:p w:rsidR="007609DD" w:rsidRPr="007609DD" w:rsidRDefault="007609DD" w:rsidP="007609DD">
      <w:pPr>
        <w:spacing w:before="0" w:after="0" w:line="480" w:lineRule="auto"/>
        <w:jc w:val="left"/>
        <w:rPr>
          <w:rFonts w:ascii="Times New Roman" w:eastAsia="Calibri" w:hAnsi="Times New Roman"/>
          <w:sz w:val="24"/>
          <w:lang w:val="en-GB" w:eastAsia="en-US"/>
        </w:rPr>
      </w:pPr>
    </w:p>
    <w:bookmarkEnd w:id="0"/>
    <w:p w:rsidR="00AC503F" w:rsidRPr="007609DD" w:rsidRDefault="00AC503F" w:rsidP="0026662C">
      <w:pPr>
        <w:spacing w:before="0" w:after="0" w:line="480" w:lineRule="auto"/>
        <w:jc w:val="left"/>
        <w:rPr>
          <w:rFonts w:ascii="Times New Roman" w:eastAsia="Calibri" w:hAnsi="Times New Roman"/>
          <w:noProof/>
          <w:color w:val="FF0000"/>
          <w:sz w:val="24"/>
          <w:lang w:val="en-GB"/>
        </w:rPr>
      </w:pPr>
    </w:p>
    <w:sectPr w:rsidR="00AC503F" w:rsidRPr="007609DD" w:rsidSect="00694E7C">
      <w:head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EBB" w:rsidRDefault="006E7EBB">
      <w:r>
        <w:separator/>
      </w:r>
    </w:p>
  </w:endnote>
  <w:endnote w:type="continuationSeparator" w:id="0">
    <w:p w:rsidR="006E7EBB" w:rsidRDefault="006E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EBB" w:rsidRDefault="006E7EBB">
      <w:r>
        <w:separator/>
      </w:r>
    </w:p>
  </w:footnote>
  <w:footnote w:type="continuationSeparator" w:id="0">
    <w:p w:rsidR="006E7EBB" w:rsidRDefault="006E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329859"/>
      <w:docPartObj>
        <w:docPartGallery w:val="Page Numbers (Top of Page)"/>
        <w:docPartUnique/>
      </w:docPartObj>
    </w:sdtPr>
    <w:sdtEndPr/>
    <w:sdtContent>
      <w:p w:rsidR="005B3A5E" w:rsidRDefault="005B3A5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4B">
          <w:rPr>
            <w:noProof/>
          </w:rPr>
          <w:t>18</w:t>
        </w:r>
        <w:r>
          <w:fldChar w:fldCharType="end"/>
        </w:r>
      </w:p>
    </w:sdtContent>
  </w:sdt>
  <w:p w:rsidR="005B3A5E" w:rsidRDefault="005B3A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87D"/>
    <w:multiLevelType w:val="hybridMultilevel"/>
    <w:tmpl w:val="042A2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D3"/>
    <w:rsid w:val="0002281A"/>
    <w:rsid w:val="00065A0C"/>
    <w:rsid w:val="000D6AA2"/>
    <w:rsid w:val="00152AC0"/>
    <w:rsid w:val="00153D4B"/>
    <w:rsid w:val="0015400C"/>
    <w:rsid w:val="001B627C"/>
    <w:rsid w:val="001F453E"/>
    <w:rsid w:val="001F63CE"/>
    <w:rsid w:val="0021330C"/>
    <w:rsid w:val="00215B1D"/>
    <w:rsid w:val="0026662C"/>
    <w:rsid w:val="002C15AF"/>
    <w:rsid w:val="00334008"/>
    <w:rsid w:val="00364CEC"/>
    <w:rsid w:val="00376DD8"/>
    <w:rsid w:val="00397756"/>
    <w:rsid w:val="003D760A"/>
    <w:rsid w:val="003E45DD"/>
    <w:rsid w:val="0041131A"/>
    <w:rsid w:val="00422231"/>
    <w:rsid w:val="0047134F"/>
    <w:rsid w:val="00477F34"/>
    <w:rsid w:val="004D11B9"/>
    <w:rsid w:val="004D2E70"/>
    <w:rsid w:val="004E007E"/>
    <w:rsid w:val="004E27EE"/>
    <w:rsid w:val="004E62C3"/>
    <w:rsid w:val="00506DF7"/>
    <w:rsid w:val="00525FA3"/>
    <w:rsid w:val="005431BD"/>
    <w:rsid w:val="00576716"/>
    <w:rsid w:val="00581B7B"/>
    <w:rsid w:val="00592647"/>
    <w:rsid w:val="005B3A5E"/>
    <w:rsid w:val="005D1385"/>
    <w:rsid w:val="005D6089"/>
    <w:rsid w:val="005F3168"/>
    <w:rsid w:val="005F4FC6"/>
    <w:rsid w:val="00641A82"/>
    <w:rsid w:val="00677E7D"/>
    <w:rsid w:val="00694E7C"/>
    <w:rsid w:val="006A0364"/>
    <w:rsid w:val="006A1360"/>
    <w:rsid w:val="006A5892"/>
    <w:rsid w:val="006B5D62"/>
    <w:rsid w:val="006E7EBB"/>
    <w:rsid w:val="006F1A86"/>
    <w:rsid w:val="006F3874"/>
    <w:rsid w:val="00720D62"/>
    <w:rsid w:val="007246F0"/>
    <w:rsid w:val="007609DD"/>
    <w:rsid w:val="0076172E"/>
    <w:rsid w:val="00797895"/>
    <w:rsid w:val="007A4BAD"/>
    <w:rsid w:val="007B025E"/>
    <w:rsid w:val="0084554B"/>
    <w:rsid w:val="008A38D3"/>
    <w:rsid w:val="008B5D05"/>
    <w:rsid w:val="008F0AD7"/>
    <w:rsid w:val="009123A9"/>
    <w:rsid w:val="009406A0"/>
    <w:rsid w:val="00947618"/>
    <w:rsid w:val="00984199"/>
    <w:rsid w:val="009B0D2E"/>
    <w:rsid w:val="009B555E"/>
    <w:rsid w:val="009F04A3"/>
    <w:rsid w:val="00A15D4E"/>
    <w:rsid w:val="00A36108"/>
    <w:rsid w:val="00A80F6B"/>
    <w:rsid w:val="00A83424"/>
    <w:rsid w:val="00A930E2"/>
    <w:rsid w:val="00AC503F"/>
    <w:rsid w:val="00B02789"/>
    <w:rsid w:val="00B53BB0"/>
    <w:rsid w:val="00B64C58"/>
    <w:rsid w:val="00B654AC"/>
    <w:rsid w:val="00BA0C75"/>
    <w:rsid w:val="00BD39C1"/>
    <w:rsid w:val="00BF58E7"/>
    <w:rsid w:val="00C31792"/>
    <w:rsid w:val="00C32329"/>
    <w:rsid w:val="00C77918"/>
    <w:rsid w:val="00CB7F5E"/>
    <w:rsid w:val="00CE2721"/>
    <w:rsid w:val="00CF35A4"/>
    <w:rsid w:val="00D071AB"/>
    <w:rsid w:val="00D27962"/>
    <w:rsid w:val="00D47D17"/>
    <w:rsid w:val="00D506DC"/>
    <w:rsid w:val="00D82BBF"/>
    <w:rsid w:val="00D84C0E"/>
    <w:rsid w:val="00DC310E"/>
    <w:rsid w:val="00DD1E13"/>
    <w:rsid w:val="00E00232"/>
    <w:rsid w:val="00E27C4E"/>
    <w:rsid w:val="00E40669"/>
    <w:rsid w:val="00E74532"/>
    <w:rsid w:val="00ED7D74"/>
    <w:rsid w:val="00F476EB"/>
    <w:rsid w:val="00F54DE0"/>
    <w:rsid w:val="00F76A68"/>
    <w:rsid w:val="00F94796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8BB1B"/>
  <w15:chartTrackingRefBased/>
  <w15:docId w15:val="{67AEE57B-6D1D-4510-991B-EBA4057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94E7C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8A38D3"/>
    <w:rPr>
      <w:sz w:val="16"/>
      <w:szCs w:val="16"/>
    </w:rPr>
  </w:style>
  <w:style w:type="paragraph" w:styleId="Testocommento">
    <w:name w:val="annotation text"/>
    <w:basedOn w:val="Normale"/>
    <w:semiHidden/>
    <w:rsid w:val="008A38D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</w:pPr>
    <w:rPr>
      <w:szCs w:val="20"/>
      <w:lang w:val="es-ES_tradnl"/>
    </w:rPr>
  </w:style>
  <w:style w:type="paragraph" w:styleId="Testofumetto">
    <w:name w:val="Balloon Text"/>
    <w:basedOn w:val="Normale"/>
    <w:semiHidden/>
    <w:rsid w:val="008A38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84C0E"/>
    <w:pPr>
      <w:spacing w:before="100" w:beforeAutospacing="1" w:after="100" w:afterAutospacing="1"/>
      <w:jc w:val="left"/>
    </w:pPr>
    <w:rPr>
      <w:rFonts w:ascii="Times New Roman" w:hAnsi="Times New Roman"/>
      <w:sz w:val="24"/>
      <w:lang w:bidi="th-TH"/>
    </w:rPr>
  </w:style>
  <w:style w:type="paragraph" w:styleId="Intestazione">
    <w:name w:val="header"/>
    <w:basedOn w:val="Normale"/>
    <w:link w:val="IntestazioneCarattere"/>
    <w:uiPriority w:val="99"/>
    <w:rsid w:val="004E007E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4E007E"/>
    <w:pPr>
      <w:tabs>
        <w:tab w:val="center" w:pos="4252"/>
        <w:tab w:val="right" w:pos="8504"/>
      </w:tabs>
    </w:pPr>
  </w:style>
  <w:style w:type="character" w:styleId="Collegamentoipertestuale">
    <w:name w:val="Hyperlink"/>
    <w:rsid w:val="007246F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662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36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A86"/>
    <w:rPr>
      <w:rFonts w:ascii="Arial" w:hAnsi="Arial"/>
      <w:szCs w:val="24"/>
      <w:lang w:val="es-ES" w:eastAsia="es-ES"/>
    </w:rPr>
  </w:style>
  <w:style w:type="paragraph" w:styleId="Titolo">
    <w:name w:val="Title"/>
    <w:basedOn w:val="Normale"/>
    <w:next w:val="Normale"/>
    <w:link w:val="TitoloCarattere"/>
    <w:qFormat/>
    <w:rsid w:val="00694E7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94E7C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customStyle="1" w:styleId="Tablaconcuadrcula1">
    <w:name w:val="Tabla con cuadrícula1"/>
    <w:basedOn w:val="Tabellanormale"/>
    <w:next w:val="Grigliatabella"/>
    <w:uiPriority w:val="59"/>
    <w:rsid w:val="007609DD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47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21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478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563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56DC-AD6A-4549-9129-6158205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COVER LETTER</vt:lpstr>
    </vt:vector>
  </TitlesOfParts>
  <Company/>
  <LinksUpToDate>false</LinksUpToDate>
  <CharactersWithSpaces>7715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mailto:cdiezquevedo.germanstrias@gencat.cat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Utente di Microsoft Office</dc:creator>
  <cp:keywords/>
  <dc:description/>
  <cp:lastModifiedBy>Utente di Microsoft Office</cp:lastModifiedBy>
  <cp:revision>1</cp:revision>
  <dcterms:created xsi:type="dcterms:W3CDTF">2018-07-04T13:33:00Z</dcterms:created>
  <dcterms:modified xsi:type="dcterms:W3CDTF">2018-07-04T13:34:00Z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eaafc7e4-0190-3d7b-ac10-db661c179ffe</vt:lpwstr>
  </property>
  <property fmtid="{D5CDD505-2E9C-101B-9397-08002B2CF9AE}" pid="4" name="Mendeley Citation Style_1">
    <vt:lpwstr>http://www.zotero.org/styles/psychotherapy-and-psychosomatics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http://www.zotero.org/styles/annals-of-general-psychiatry</vt:lpwstr>
  </property>
  <property fmtid="{D5CDD505-2E9C-101B-9397-08002B2CF9AE}" pid="8" name="Mendeley Recent Style Name 1_1">
    <vt:lpwstr>Annals of General Psychiatry</vt:lpwstr>
  </property>
  <property fmtid="{D5CDD505-2E9C-101B-9397-08002B2CF9AE}" pid="9" name="Mendeley Recent Style Id 2_1">
    <vt:lpwstr>http://www.zotero.org/styles/annals-of-internal-medicine</vt:lpwstr>
  </property>
  <property fmtid="{D5CDD505-2E9C-101B-9397-08002B2CF9AE}" pid="10" name="Mendeley Recent Style Name 2_1">
    <vt:lpwstr>Annals of Internal Medicine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http://www.zotero.org/styles/psychotherapy-and-psychosomatics</vt:lpwstr>
  </property>
  <property fmtid="{D5CDD505-2E9C-101B-9397-08002B2CF9AE}" pid="20" name="Mendeley Recent Style Name 7_1">
    <vt:lpwstr>Psychotherapy and Psychosomatics</vt:lpwstr>
  </property>
  <property fmtid="{D5CDD505-2E9C-101B-9397-08002B2CF9AE}" pid="21" name="Mendeley Recent Style Id 8_1">
    <vt:lpwstr>http://www.zotero.org/styles/the-american-journal-of-psychiatry</vt:lpwstr>
  </property>
  <property fmtid="{D5CDD505-2E9C-101B-9397-08002B2CF9AE}" pid="22" name="Mendeley Recent Style Name 8_1">
    <vt:lpwstr>The American Journal of Psychiatry</vt:lpwstr>
  </property>
  <property fmtid="{D5CDD505-2E9C-101B-9397-08002B2CF9AE}" pid="23" name="Mendeley Recent Style Id 9_1">
    <vt:lpwstr>http://www.zotero.org/styles/the-new-england-journal-of-medicine</vt:lpwstr>
  </property>
  <property fmtid="{D5CDD505-2E9C-101B-9397-08002B2CF9AE}" pid="24" name="Mendeley Recent Style Name 9_1">
    <vt:lpwstr>The New England Journal of Medicine</vt:lpwstr>
  </property>
</Properties>
</file>