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C2" w:rsidRPr="00AB0457" w:rsidRDefault="00176DC2" w:rsidP="00096481">
      <w:pPr>
        <w:pStyle w:val="Default"/>
        <w:spacing w:afterLines="100"/>
        <w:rPr>
          <w:b/>
          <w:noProof/>
          <w:color w:val="auto"/>
        </w:rPr>
      </w:pPr>
      <w:r w:rsidRPr="00AB0457">
        <w:rPr>
          <w:rFonts w:hint="eastAsia"/>
          <w:b/>
          <w:noProof/>
          <w:color w:val="auto"/>
        </w:rPr>
        <w:t xml:space="preserve">Supplemental Figure </w:t>
      </w:r>
      <w:r w:rsidR="00096481">
        <w:rPr>
          <w:rFonts w:hint="eastAsia"/>
          <w:b/>
          <w:noProof/>
          <w:color w:val="auto"/>
        </w:rPr>
        <w:t>data</w:t>
      </w:r>
    </w:p>
    <w:p w:rsidR="00096481" w:rsidRDefault="00096481" w:rsidP="00096481">
      <w:pPr>
        <w:pStyle w:val="Default"/>
        <w:spacing w:afterLines="100" w:line="480" w:lineRule="auto"/>
        <w:jc w:val="both"/>
        <w:rPr>
          <w:rFonts w:hint="eastAsia"/>
          <w:b/>
          <w:noProof/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</w:rPr>
        <w:drawing>
          <wp:inline distT="0" distB="0" distL="0" distR="0">
            <wp:extent cx="5274310" cy="3015970"/>
            <wp:effectExtent l="19050" t="0" r="2540" b="0"/>
            <wp:docPr id="1" name="图片 1" descr="O:\小RNA敲除\发表的图\第一次投稿\复件 JGG\第二次投稿\Supplemental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小RNA敲除\发表的图\第一次投稿\复件 JGG\第二次投稿\Supplemental Figure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C2" w:rsidRPr="00AB0457" w:rsidRDefault="00176DC2" w:rsidP="00096481">
      <w:pPr>
        <w:pStyle w:val="Default"/>
        <w:spacing w:afterLines="100" w:line="480" w:lineRule="auto"/>
        <w:jc w:val="both"/>
        <w:rPr>
          <w:noProof/>
          <w:color w:val="auto"/>
          <w:sz w:val="22"/>
          <w:szCs w:val="22"/>
        </w:rPr>
      </w:pPr>
      <w:r w:rsidRPr="00AB0457">
        <w:rPr>
          <w:rFonts w:hint="eastAsia"/>
          <w:b/>
          <w:noProof/>
          <w:color w:val="auto"/>
          <w:sz w:val="22"/>
          <w:szCs w:val="22"/>
        </w:rPr>
        <w:t xml:space="preserve">Supplemental Figure 1. No mutations in the seed region </w:t>
      </w:r>
      <w:r w:rsidR="00DF27A9">
        <w:rPr>
          <w:rFonts w:hint="eastAsia"/>
          <w:b/>
          <w:noProof/>
          <w:color w:val="auto"/>
          <w:sz w:val="22"/>
          <w:szCs w:val="22"/>
        </w:rPr>
        <w:t xml:space="preserve">of </w:t>
      </w:r>
      <w:r w:rsidR="00DF27A9" w:rsidRPr="00DF27A9">
        <w:rPr>
          <w:rFonts w:hint="eastAsia"/>
          <w:b/>
          <w:noProof/>
          <w:color w:val="auto"/>
          <w:sz w:val="22"/>
          <w:szCs w:val="22"/>
        </w:rPr>
        <w:t>miRNA200b</w:t>
      </w:r>
      <w:r w:rsidR="00DF27A9">
        <w:rPr>
          <w:rFonts w:hint="eastAsia"/>
          <w:b/>
          <w:noProof/>
          <w:color w:val="auto"/>
          <w:sz w:val="22"/>
          <w:szCs w:val="22"/>
        </w:rPr>
        <w:t>/</w:t>
      </w:r>
      <w:r w:rsidR="00DF27A9" w:rsidRPr="00DF27A9">
        <w:rPr>
          <w:rFonts w:hint="eastAsia"/>
          <w:b/>
          <w:noProof/>
          <w:color w:val="auto"/>
          <w:sz w:val="22"/>
          <w:szCs w:val="22"/>
        </w:rPr>
        <w:t>200a</w:t>
      </w:r>
      <w:r w:rsidR="00DF27A9">
        <w:rPr>
          <w:rFonts w:hint="eastAsia"/>
          <w:b/>
          <w:noProof/>
          <w:color w:val="auto"/>
          <w:sz w:val="22"/>
          <w:szCs w:val="22"/>
        </w:rPr>
        <w:t>/</w:t>
      </w:r>
      <w:r w:rsidR="00DF27A9" w:rsidRPr="00DF27A9">
        <w:rPr>
          <w:rFonts w:hint="eastAsia"/>
          <w:b/>
          <w:noProof/>
          <w:color w:val="auto"/>
          <w:sz w:val="22"/>
          <w:szCs w:val="22"/>
        </w:rPr>
        <w:t xml:space="preserve">429a </w:t>
      </w:r>
      <w:r w:rsidR="00DF27A9" w:rsidRPr="00AB0457">
        <w:rPr>
          <w:rFonts w:hint="eastAsia"/>
          <w:b/>
          <w:noProof/>
          <w:color w:val="auto"/>
          <w:sz w:val="22"/>
          <w:szCs w:val="22"/>
        </w:rPr>
        <w:t>w</w:t>
      </w:r>
      <w:r w:rsidR="00DF27A9">
        <w:rPr>
          <w:rFonts w:hint="eastAsia"/>
          <w:b/>
          <w:noProof/>
          <w:color w:val="auto"/>
          <w:sz w:val="22"/>
          <w:szCs w:val="22"/>
        </w:rPr>
        <w:t>ere</w:t>
      </w:r>
      <w:r w:rsidR="00DF27A9" w:rsidRPr="00AB0457">
        <w:rPr>
          <w:rFonts w:hint="eastAsia"/>
          <w:b/>
          <w:noProof/>
          <w:color w:val="auto"/>
          <w:sz w:val="22"/>
          <w:szCs w:val="22"/>
        </w:rPr>
        <w:t xml:space="preserve"> </w:t>
      </w:r>
      <w:r w:rsidRPr="00AB0457">
        <w:rPr>
          <w:rFonts w:hint="eastAsia"/>
          <w:b/>
          <w:noProof/>
          <w:color w:val="auto"/>
          <w:sz w:val="22"/>
          <w:szCs w:val="22"/>
        </w:rPr>
        <w:t xml:space="preserve">induced by CRISPR/Cas9. A, </w:t>
      </w:r>
      <w:r w:rsidRPr="00AB0457">
        <w:rPr>
          <w:rFonts w:hint="eastAsia"/>
          <w:noProof/>
          <w:color w:val="auto"/>
          <w:sz w:val="22"/>
          <w:szCs w:val="22"/>
        </w:rPr>
        <w:t xml:space="preserve">gRNA1, gRNA2 and gRNA3 were designed in the seed regions of miRNA200b, miRNA200a and miRNA429a. </w:t>
      </w:r>
      <w:r w:rsidRPr="00AB0457">
        <w:rPr>
          <w:i/>
          <w:iCs/>
          <w:noProof/>
          <w:color w:val="auto"/>
          <w:sz w:val="22"/>
          <w:szCs w:val="22"/>
        </w:rPr>
        <w:t xml:space="preserve">Cas9 </w:t>
      </w:r>
      <w:r w:rsidRPr="00AB0457">
        <w:rPr>
          <w:noProof/>
          <w:color w:val="auto"/>
          <w:sz w:val="22"/>
          <w:szCs w:val="22"/>
        </w:rPr>
        <w:t xml:space="preserve">mRNA and gRNA against each of the </w:t>
      </w:r>
      <w:r w:rsidRPr="00AB0457">
        <w:rPr>
          <w:rFonts w:hint="eastAsia"/>
          <w:noProof/>
          <w:color w:val="auto"/>
          <w:sz w:val="22"/>
          <w:szCs w:val="22"/>
        </w:rPr>
        <w:t>miRNA</w:t>
      </w:r>
      <w:r w:rsidRPr="00AB0457">
        <w:rPr>
          <w:noProof/>
          <w:color w:val="auto"/>
          <w:sz w:val="22"/>
          <w:szCs w:val="22"/>
        </w:rPr>
        <w:t xml:space="preserve"> were injected</w:t>
      </w:r>
      <w:r w:rsidRPr="00AB0457">
        <w:rPr>
          <w:rFonts w:hint="eastAsia"/>
          <w:noProof/>
          <w:color w:val="auto"/>
          <w:sz w:val="22"/>
          <w:szCs w:val="22"/>
        </w:rPr>
        <w:t xml:space="preserve"> </w:t>
      </w:r>
      <w:r w:rsidRPr="00AB0457">
        <w:rPr>
          <w:noProof/>
          <w:color w:val="auto"/>
          <w:sz w:val="22"/>
          <w:szCs w:val="22"/>
        </w:rPr>
        <w:t xml:space="preserve">into </w:t>
      </w:r>
      <w:r w:rsidRPr="00AB0457">
        <w:rPr>
          <w:rFonts w:hint="eastAsia"/>
          <w:noProof/>
          <w:color w:val="auto"/>
          <w:sz w:val="22"/>
          <w:szCs w:val="22"/>
        </w:rPr>
        <w:t>tilapia</w:t>
      </w:r>
      <w:r w:rsidRPr="00AB0457">
        <w:rPr>
          <w:noProof/>
          <w:color w:val="auto"/>
          <w:sz w:val="22"/>
          <w:szCs w:val="22"/>
        </w:rPr>
        <w:t xml:space="preserve"> embryos at one-cell stage. </w:t>
      </w:r>
      <w:r w:rsidRPr="00AB0457">
        <w:rPr>
          <w:rFonts w:hint="eastAsia"/>
          <w:noProof/>
          <w:color w:val="auto"/>
          <w:sz w:val="22"/>
          <w:szCs w:val="22"/>
        </w:rPr>
        <w:t xml:space="preserve">B, </w:t>
      </w:r>
      <w:r w:rsidRPr="00AB0457">
        <w:rPr>
          <w:color w:val="auto"/>
          <w:sz w:val="22"/>
          <w:szCs w:val="22"/>
        </w:rPr>
        <w:t>The genomic DNA fragments spanning the target site were amplified using gene specific primers.</w:t>
      </w:r>
      <w:r w:rsidRPr="00AB0457">
        <w:rPr>
          <w:rFonts w:hint="eastAsia"/>
          <w:color w:val="auto"/>
          <w:sz w:val="22"/>
          <w:szCs w:val="22"/>
        </w:rPr>
        <w:t xml:space="preserve"> </w:t>
      </w:r>
      <w:r w:rsidRPr="00AB0457">
        <w:rPr>
          <w:color w:val="auto"/>
          <w:sz w:val="22"/>
          <w:szCs w:val="22"/>
        </w:rPr>
        <w:t>T7 endonuclease I (T7EI) assay was performed</w:t>
      </w:r>
      <w:r w:rsidRPr="00AB0457">
        <w:rPr>
          <w:rFonts w:hint="eastAsia"/>
          <w:color w:val="auto"/>
          <w:sz w:val="22"/>
          <w:szCs w:val="22"/>
        </w:rPr>
        <w:t xml:space="preserve">. </w:t>
      </w:r>
      <w:r w:rsidRPr="00AB0457">
        <w:rPr>
          <w:noProof/>
          <w:color w:val="auto"/>
          <w:sz w:val="22"/>
          <w:szCs w:val="22"/>
        </w:rPr>
        <w:t xml:space="preserve">T7EI assays showed </w:t>
      </w:r>
      <w:r w:rsidRPr="00AB0457">
        <w:rPr>
          <w:rFonts w:hint="eastAsia"/>
          <w:noProof/>
          <w:color w:val="auto"/>
          <w:sz w:val="22"/>
          <w:szCs w:val="22"/>
        </w:rPr>
        <w:t>no</w:t>
      </w:r>
      <w:r w:rsidRPr="00AB0457">
        <w:rPr>
          <w:noProof/>
          <w:color w:val="auto"/>
          <w:sz w:val="22"/>
          <w:szCs w:val="22"/>
        </w:rPr>
        <w:t xml:space="preserve"> mutagenesis </w:t>
      </w:r>
      <w:r w:rsidRPr="00AB0457">
        <w:rPr>
          <w:rFonts w:hint="eastAsia"/>
          <w:noProof/>
          <w:color w:val="auto"/>
          <w:sz w:val="22"/>
          <w:szCs w:val="22"/>
        </w:rPr>
        <w:t>induced</w:t>
      </w:r>
      <w:r w:rsidRPr="00AB0457">
        <w:rPr>
          <w:noProof/>
          <w:color w:val="auto"/>
          <w:sz w:val="22"/>
          <w:szCs w:val="22"/>
        </w:rPr>
        <w:t>. The control embryos (WT) were wild</w:t>
      </w:r>
      <w:r w:rsidRPr="00AB0457">
        <w:rPr>
          <w:rFonts w:hint="eastAsia"/>
          <w:noProof/>
          <w:color w:val="auto"/>
          <w:sz w:val="22"/>
          <w:szCs w:val="22"/>
        </w:rPr>
        <w:t xml:space="preserve"> </w:t>
      </w:r>
      <w:r w:rsidRPr="00AB0457">
        <w:rPr>
          <w:noProof/>
          <w:color w:val="auto"/>
          <w:sz w:val="22"/>
          <w:szCs w:val="22"/>
        </w:rPr>
        <w:t>type.</w:t>
      </w:r>
    </w:p>
    <w:p w:rsidR="00176DC2" w:rsidRPr="00AB0457" w:rsidRDefault="00176DC2">
      <w:pPr>
        <w:widowControl/>
        <w:jc w:val="left"/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</w:pPr>
      <w:r w:rsidRPr="00AB0457">
        <w:rPr>
          <w:b/>
          <w:noProof/>
        </w:rPr>
        <w:br w:type="page"/>
      </w:r>
    </w:p>
    <w:p w:rsidR="005C2D68" w:rsidRPr="00AB0457" w:rsidRDefault="008A4BB1" w:rsidP="00096481">
      <w:pPr>
        <w:pStyle w:val="Default"/>
        <w:spacing w:afterLines="100"/>
        <w:rPr>
          <w:b/>
          <w:noProof/>
          <w:color w:val="auto"/>
        </w:rPr>
      </w:pPr>
      <w:r w:rsidRPr="00AB0457">
        <w:rPr>
          <w:rFonts w:hint="eastAsia"/>
          <w:b/>
          <w:noProof/>
          <w:color w:val="auto"/>
        </w:rPr>
        <w:lastRenderedPageBreak/>
        <w:t xml:space="preserve">Supplemental </w:t>
      </w:r>
      <w:r w:rsidR="005C2D68" w:rsidRPr="00AB0457">
        <w:rPr>
          <w:rFonts w:hint="eastAsia"/>
          <w:b/>
          <w:noProof/>
          <w:color w:val="auto"/>
        </w:rPr>
        <w:t>Table 1 Primers used in the present study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4777"/>
        <w:gridCol w:w="1318"/>
      </w:tblGrid>
      <w:tr w:rsidR="005C2D68" w:rsidRPr="00AB0457" w:rsidTr="005C2D68">
        <w:trPr>
          <w:trHeight w:val="567"/>
        </w:trPr>
        <w:tc>
          <w:tcPr>
            <w:tcW w:w="2235" w:type="dxa"/>
            <w:tcBorders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b/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/>
                <w:bCs/>
                <w:noProof/>
                <w:color w:val="auto"/>
                <w:sz w:val="20"/>
                <w:szCs w:val="20"/>
              </w:rPr>
              <w:t>Primer</w:t>
            </w:r>
          </w:p>
        </w:tc>
        <w:tc>
          <w:tcPr>
            <w:tcW w:w="4777" w:type="dxa"/>
            <w:tcBorders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b/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/>
                <w:bCs/>
                <w:noProof/>
                <w:color w:val="auto"/>
                <w:sz w:val="20"/>
                <w:szCs w:val="20"/>
              </w:rPr>
              <w:t>Sequence (5'-3')</w:t>
            </w:r>
          </w:p>
        </w:tc>
        <w:tc>
          <w:tcPr>
            <w:tcW w:w="1318" w:type="dxa"/>
            <w:tcBorders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b/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/>
                <w:bCs/>
                <w:noProof/>
                <w:color w:val="auto"/>
                <w:sz w:val="20"/>
                <w:szCs w:val="20"/>
              </w:rPr>
              <w:t>Purpose</w:t>
            </w:r>
          </w:p>
        </w:tc>
      </w:tr>
      <w:tr w:rsidR="005C2D68" w:rsidRPr="00AB0457" w:rsidTr="005C2D68">
        <w:trPr>
          <w:trHeight w:val="773"/>
        </w:trPr>
        <w:tc>
          <w:tcPr>
            <w:tcW w:w="22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Cs/>
                <w:noProof/>
                <w:color w:val="auto"/>
                <w:sz w:val="20"/>
                <w:szCs w:val="20"/>
              </w:rPr>
              <w:t>gRNA-miRNA125a</w:t>
            </w:r>
          </w:p>
        </w:tc>
        <w:tc>
          <w:tcPr>
            <w:tcW w:w="47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TAATACGACTCACTATAACCACGCAACCGGCCCTTTGGTTTTAGAGCTAGAAATAGC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miRNA125a targeting</w:t>
            </w:r>
          </w:p>
        </w:tc>
      </w:tr>
      <w:tr w:rsidR="005C2D68" w:rsidRPr="00AB0457" w:rsidTr="00A954CC">
        <w:trPr>
          <w:trHeight w:val="43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Cs/>
                <w:noProof/>
                <w:color w:val="auto"/>
                <w:sz w:val="20"/>
                <w:szCs w:val="20"/>
              </w:rPr>
              <w:t>miRNA125-S-F1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GTTCTCTCATTTAACTCGAATG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miRNA125a mutant screening</w:t>
            </w:r>
          </w:p>
        </w:tc>
      </w:tr>
      <w:tr w:rsidR="005C2D68" w:rsidRPr="00AB0457" w:rsidTr="00A954CC">
        <w:trPr>
          <w:trHeight w:val="41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Cs/>
                <w:noProof/>
                <w:color w:val="auto"/>
                <w:sz w:val="20"/>
                <w:szCs w:val="20"/>
              </w:rPr>
              <w:t>miRNA125-S-R1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AGAAACCACTTTAACTGCAAG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5C2D68" w:rsidRPr="00AB0457" w:rsidTr="00A954CC">
        <w:trPr>
          <w:trHeight w:val="77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Cs/>
                <w:noProof/>
                <w:color w:val="auto"/>
                <w:sz w:val="20"/>
                <w:szCs w:val="20"/>
              </w:rPr>
              <w:t>gRNA1-miRNA200b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TAATACGACTCACTATAGGCTATCATCATCATTACCGTTTTAGAGCTAGAAATAGC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miRNA200a/200b/429a targeting</w:t>
            </w:r>
          </w:p>
        </w:tc>
      </w:tr>
      <w:tr w:rsidR="005C2D68" w:rsidRPr="00AB0457" w:rsidTr="00A954CC">
        <w:trPr>
          <w:trHeight w:val="70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Cs/>
                <w:noProof/>
                <w:color w:val="auto"/>
                <w:sz w:val="20"/>
                <w:szCs w:val="20"/>
              </w:rPr>
              <w:t>gRNA2-miRNA200a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AATACGACTCACTATACTGTTGTTCTAACACTGTCGTTTTAGAGCTAGAAATAGC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5C2D68" w:rsidRPr="00AB0457" w:rsidTr="00A954CC">
        <w:trPr>
          <w:trHeight w:val="71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Cs/>
                <w:noProof/>
                <w:color w:val="auto"/>
                <w:sz w:val="20"/>
                <w:szCs w:val="20"/>
              </w:rPr>
              <w:t>gRNA3-miRNA429a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TAATACGACTCACTATAGAAGGTAATGCCATTTAATGGAGTTTTAGAGCTAGAAATAGC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5C2D68" w:rsidRPr="00AB0457" w:rsidTr="00A954CC">
        <w:trPr>
          <w:trHeight w:val="69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Cs/>
                <w:noProof/>
                <w:color w:val="auto"/>
                <w:sz w:val="20"/>
                <w:szCs w:val="20"/>
              </w:rPr>
              <w:t>gRNA4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TAATACGACTCACTATAGGTTAAGTTCAGGAGTTTAGGTTTTAGAGCTAGAAATAGC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5C2D68" w:rsidRPr="00AB0457" w:rsidTr="00A954CC">
        <w:trPr>
          <w:trHeight w:val="7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Cs/>
                <w:noProof/>
                <w:color w:val="auto"/>
                <w:sz w:val="20"/>
                <w:szCs w:val="20"/>
              </w:rPr>
              <w:t>gRNA5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TAATACGACTCACTATAGACAGAATTCGGTACAGCCTGGTTTTAGAGCTAGAAATAGC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5C2D68" w:rsidRPr="00AB0457" w:rsidTr="00A954CC">
        <w:trPr>
          <w:trHeight w:val="71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Cs/>
                <w:noProof/>
                <w:color w:val="auto"/>
                <w:sz w:val="20"/>
                <w:szCs w:val="20"/>
              </w:rPr>
              <w:t>gRNA6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TAATACGACTCACTATAGAAACTTTGACTCAAGGCACAGTTTTAGAGCTAGAAATAGC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5C2D68" w:rsidRPr="00AB0457" w:rsidTr="00A954CC">
        <w:trPr>
          <w:trHeight w:val="41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7C36CB" w:rsidP="005C2D68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rFonts w:hint="eastAsia"/>
                <w:bCs/>
                <w:noProof/>
                <w:color w:val="auto"/>
                <w:sz w:val="20"/>
                <w:szCs w:val="20"/>
              </w:rPr>
              <w:t>miR200-</w:t>
            </w:r>
            <w:r w:rsidR="005C2D68" w:rsidRPr="00B33A22">
              <w:rPr>
                <w:bCs/>
                <w:noProof/>
                <w:color w:val="auto"/>
                <w:sz w:val="20"/>
                <w:szCs w:val="20"/>
              </w:rPr>
              <w:t>F1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GCCCAGTCTTCTGTGACAGCAAG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miRNA200a/200b/429a mutant screening</w:t>
            </w:r>
          </w:p>
        </w:tc>
      </w:tr>
      <w:tr w:rsidR="005C2D68" w:rsidRPr="00AB0457" w:rsidTr="00A954CC">
        <w:trPr>
          <w:trHeight w:val="43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7C36CB" w:rsidP="005C2D68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rFonts w:hint="eastAsia"/>
                <w:bCs/>
                <w:noProof/>
                <w:color w:val="auto"/>
                <w:sz w:val="20"/>
                <w:szCs w:val="20"/>
              </w:rPr>
              <w:t>miR200-</w:t>
            </w:r>
            <w:r w:rsidR="005C2D68" w:rsidRPr="00B33A22">
              <w:rPr>
                <w:bCs/>
                <w:noProof/>
                <w:color w:val="auto"/>
                <w:sz w:val="20"/>
                <w:szCs w:val="20"/>
              </w:rPr>
              <w:t>R1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GGTTGGCAGATAAGTTAAAGAG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5C2D68" w:rsidRPr="00AB0457" w:rsidTr="00A954CC">
        <w:trPr>
          <w:trHeight w:val="41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7C36CB" w:rsidP="007C36CB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rFonts w:hint="eastAsia"/>
                <w:bCs/>
                <w:noProof/>
                <w:color w:val="auto"/>
                <w:sz w:val="20"/>
                <w:szCs w:val="20"/>
              </w:rPr>
              <w:t>miR429-</w:t>
            </w:r>
            <w:r w:rsidR="005C2D68" w:rsidRPr="00B33A22">
              <w:rPr>
                <w:bCs/>
                <w:noProof/>
                <w:color w:val="auto"/>
                <w:sz w:val="20"/>
                <w:szCs w:val="20"/>
              </w:rPr>
              <w:t>F2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GAACTACTATAGTTCTTAGG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5C2D68" w:rsidRPr="00AB0457" w:rsidTr="00A954CC">
        <w:trPr>
          <w:trHeight w:val="43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7C36CB" w:rsidP="005C2D68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rFonts w:hint="eastAsia"/>
                <w:bCs/>
                <w:noProof/>
                <w:color w:val="auto"/>
                <w:sz w:val="20"/>
                <w:szCs w:val="20"/>
              </w:rPr>
              <w:t>miR429-</w:t>
            </w:r>
            <w:r w:rsidR="005C2D68" w:rsidRPr="00B33A22">
              <w:rPr>
                <w:bCs/>
                <w:noProof/>
                <w:color w:val="auto"/>
                <w:sz w:val="20"/>
                <w:szCs w:val="20"/>
              </w:rPr>
              <w:t>R2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GCGGTAAGAGTAAGAACGCCG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5C2D68" w:rsidRPr="00AB0457" w:rsidTr="00A954CC">
        <w:trPr>
          <w:trHeight w:val="7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Cs/>
                <w:i/>
                <w:noProof/>
                <w:color w:val="auto"/>
                <w:sz w:val="20"/>
                <w:szCs w:val="20"/>
              </w:rPr>
              <w:t>vasa</w:t>
            </w:r>
            <w:r w:rsidRPr="00B33A22">
              <w:rPr>
                <w:bCs/>
                <w:noProof/>
                <w:color w:val="auto"/>
                <w:sz w:val="20"/>
                <w:szCs w:val="20"/>
              </w:rPr>
              <w:t>-3'</w:t>
            </w:r>
            <w:r w:rsidR="00FD2040" w:rsidRPr="00B33A22">
              <w:rPr>
                <w:rFonts w:hint="eastAsia"/>
                <w:bCs/>
                <w:noProof/>
                <w:color w:val="auto"/>
                <w:sz w:val="20"/>
                <w:szCs w:val="20"/>
              </w:rPr>
              <w:t>-</w:t>
            </w:r>
            <w:r w:rsidRPr="00B33A22">
              <w:rPr>
                <w:bCs/>
                <w:noProof/>
                <w:color w:val="auto"/>
                <w:sz w:val="20"/>
                <w:szCs w:val="20"/>
              </w:rPr>
              <w:t>UTR-gRNA1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TAATACGACTCACTATAGGCTGCTGACGATGAAGAATGTTTTAGAGCTAGAAATAGC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i/>
                <w:noProof/>
                <w:color w:val="auto"/>
                <w:sz w:val="20"/>
                <w:szCs w:val="20"/>
              </w:rPr>
              <w:t xml:space="preserve">vasa </w:t>
            </w:r>
            <w:r w:rsidRPr="00B33A22">
              <w:rPr>
                <w:noProof/>
                <w:color w:val="auto"/>
                <w:sz w:val="20"/>
                <w:szCs w:val="20"/>
              </w:rPr>
              <w:t>3'</w:t>
            </w:r>
            <w:r w:rsidR="00FD2040" w:rsidRPr="00B33A22">
              <w:rPr>
                <w:rFonts w:hint="eastAsia"/>
                <w:noProof/>
                <w:color w:val="auto"/>
                <w:sz w:val="20"/>
                <w:szCs w:val="20"/>
              </w:rPr>
              <w:t>-</w:t>
            </w:r>
            <w:r w:rsidRPr="00B33A22">
              <w:rPr>
                <w:noProof/>
                <w:color w:val="auto"/>
                <w:sz w:val="20"/>
                <w:szCs w:val="20"/>
              </w:rPr>
              <w:t>UTR targeting</w:t>
            </w:r>
          </w:p>
        </w:tc>
      </w:tr>
      <w:tr w:rsidR="005C2D68" w:rsidRPr="00AB0457" w:rsidTr="00A954CC">
        <w:trPr>
          <w:trHeight w:val="70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Cs/>
                <w:i/>
                <w:noProof/>
                <w:color w:val="auto"/>
                <w:sz w:val="20"/>
                <w:szCs w:val="20"/>
              </w:rPr>
              <w:t>vasa</w:t>
            </w:r>
            <w:r w:rsidRPr="00B33A22">
              <w:rPr>
                <w:bCs/>
                <w:noProof/>
                <w:color w:val="auto"/>
                <w:sz w:val="20"/>
                <w:szCs w:val="20"/>
              </w:rPr>
              <w:t>-3'</w:t>
            </w:r>
            <w:r w:rsidR="00FD2040" w:rsidRPr="00B33A22">
              <w:rPr>
                <w:rFonts w:hint="eastAsia"/>
                <w:bCs/>
                <w:noProof/>
                <w:color w:val="auto"/>
                <w:sz w:val="20"/>
                <w:szCs w:val="20"/>
              </w:rPr>
              <w:t>-</w:t>
            </w:r>
            <w:r w:rsidRPr="00B33A22">
              <w:rPr>
                <w:bCs/>
                <w:noProof/>
                <w:color w:val="auto"/>
                <w:sz w:val="20"/>
                <w:szCs w:val="20"/>
              </w:rPr>
              <w:t>UTR-gRNA2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TAATACGACTCACTATAGGTGTGTTTGAATCATTCCGTTTTAGAGCTAGAAATAGC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5C2D68" w:rsidRPr="00AB0457" w:rsidTr="00A954CC">
        <w:trPr>
          <w:trHeight w:val="41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Cs/>
                <w:i/>
                <w:noProof/>
                <w:color w:val="auto"/>
                <w:sz w:val="20"/>
                <w:szCs w:val="20"/>
              </w:rPr>
              <w:t>vasa</w:t>
            </w:r>
            <w:r w:rsidRPr="00B33A22">
              <w:rPr>
                <w:bCs/>
                <w:noProof/>
                <w:color w:val="auto"/>
                <w:sz w:val="20"/>
                <w:szCs w:val="20"/>
              </w:rPr>
              <w:t>-3'</w:t>
            </w:r>
            <w:r w:rsidR="00FD2040" w:rsidRPr="00B33A22">
              <w:rPr>
                <w:rFonts w:hint="eastAsia"/>
                <w:bCs/>
                <w:noProof/>
                <w:color w:val="auto"/>
                <w:sz w:val="20"/>
                <w:szCs w:val="20"/>
              </w:rPr>
              <w:t>-</w:t>
            </w:r>
            <w:r w:rsidRPr="00B33A22">
              <w:rPr>
                <w:bCs/>
                <w:noProof/>
                <w:color w:val="auto"/>
                <w:sz w:val="20"/>
                <w:szCs w:val="20"/>
              </w:rPr>
              <w:t>UTR-S-F1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GGTTAAAGTTGTGTTACACTG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i/>
                <w:noProof/>
                <w:color w:val="auto"/>
                <w:sz w:val="20"/>
                <w:szCs w:val="20"/>
              </w:rPr>
              <w:t>vasa</w:t>
            </w:r>
            <w:r w:rsidRPr="00B33A22">
              <w:rPr>
                <w:noProof/>
                <w:color w:val="auto"/>
                <w:sz w:val="20"/>
                <w:szCs w:val="20"/>
              </w:rPr>
              <w:t xml:space="preserve"> 3'</w:t>
            </w:r>
            <w:r w:rsidR="00FD2040" w:rsidRPr="00B33A22">
              <w:rPr>
                <w:rFonts w:hint="eastAsia"/>
                <w:noProof/>
                <w:color w:val="auto"/>
                <w:sz w:val="20"/>
                <w:szCs w:val="20"/>
              </w:rPr>
              <w:t>-</w:t>
            </w:r>
            <w:r w:rsidRPr="00B33A22">
              <w:rPr>
                <w:noProof/>
                <w:color w:val="auto"/>
                <w:sz w:val="20"/>
                <w:szCs w:val="20"/>
              </w:rPr>
              <w:t>UTR mutant screening</w:t>
            </w:r>
          </w:p>
        </w:tc>
      </w:tr>
      <w:tr w:rsidR="005C2D68" w:rsidRPr="00AB0457" w:rsidTr="00833FE0">
        <w:trPr>
          <w:trHeight w:val="42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Cs/>
                <w:i/>
                <w:noProof/>
                <w:color w:val="auto"/>
                <w:sz w:val="20"/>
                <w:szCs w:val="20"/>
              </w:rPr>
              <w:t>vasa</w:t>
            </w:r>
            <w:r w:rsidRPr="00B33A22">
              <w:rPr>
                <w:bCs/>
                <w:noProof/>
                <w:color w:val="auto"/>
                <w:sz w:val="20"/>
                <w:szCs w:val="20"/>
              </w:rPr>
              <w:t>-3'</w:t>
            </w:r>
            <w:r w:rsidR="00FD2040" w:rsidRPr="00B33A22">
              <w:rPr>
                <w:rFonts w:hint="eastAsia"/>
                <w:bCs/>
                <w:noProof/>
                <w:color w:val="auto"/>
                <w:sz w:val="20"/>
                <w:szCs w:val="20"/>
              </w:rPr>
              <w:t>-</w:t>
            </w:r>
            <w:r w:rsidRPr="00B33A22">
              <w:rPr>
                <w:bCs/>
                <w:noProof/>
                <w:color w:val="auto"/>
                <w:sz w:val="20"/>
                <w:szCs w:val="20"/>
              </w:rPr>
              <w:t>UTR-S-R1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C2D68" w:rsidRPr="00B33A22" w:rsidRDefault="005C2D68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CCTTGTGAGGTGCTGGGTCC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C2D68" w:rsidRPr="00B33A22" w:rsidRDefault="005C2D68" w:rsidP="00096481">
            <w:pPr>
              <w:pStyle w:val="Default"/>
              <w:spacing w:afterLines="100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FD2040" w:rsidRPr="00AB0457" w:rsidTr="00790F2F">
        <w:trPr>
          <w:trHeight w:val="42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D2040" w:rsidRPr="00B33A22" w:rsidRDefault="00FD2040" w:rsidP="00FD2040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Cs/>
                <w:i/>
                <w:noProof/>
                <w:color w:val="auto"/>
                <w:sz w:val="20"/>
                <w:szCs w:val="20"/>
              </w:rPr>
              <w:t>vasa</w:t>
            </w:r>
            <w:r w:rsidRPr="00B33A22">
              <w:rPr>
                <w:bCs/>
                <w:noProof/>
                <w:color w:val="auto"/>
                <w:sz w:val="20"/>
                <w:szCs w:val="20"/>
              </w:rPr>
              <w:t>-</w:t>
            </w:r>
            <w:r w:rsidRPr="00B33A22">
              <w:rPr>
                <w:rFonts w:hint="eastAsia"/>
                <w:bCs/>
                <w:noProof/>
                <w:color w:val="auto"/>
                <w:sz w:val="20"/>
                <w:szCs w:val="20"/>
              </w:rPr>
              <w:t>qPCR-F1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D2040" w:rsidRPr="00B33A22" w:rsidRDefault="00EB62BC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AAATCAACAGGATCGGAGCG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FD2040" w:rsidRPr="00B33A22" w:rsidRDefault="00FD2040" w:rsidP="00096481">
            <w:pPr>
              <w:pStyle w:val="Default"/>
              <w:spacing w:afterLines="100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rFonts w:hint="eastAsia"/>
                <w:noProof/>
                <w:color w:val="auto"/>
                <w:sz w:val="20"/>
                <w:szCs w:val="20"/>
              </w:rPr>
              <w:t xml:space="preserve">Real-time PCR </w:t>
            </w:r>
          </w:p>
        </w:tc>
      </w:tr>
      <w:tr w:rsidR="00FD2040" w:rsidRPr="00AB0457" w:rsidTr="00790F2F">
        <w:trPr>
          <w:trHeight w:val="42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D2040" w:rsidRPr="00B33A22" w:rsidRDefault="00FD2040" w:rsidP="00FD2040">
            <w:pPr>
              <w:pStyle w:val="Default"/>
              <w:jc w:val="center"/>
              <w:rPr>
                <w:bCs/>
                <w:noProof/>
                <w:color w:val="auto"/>
                <w:sz w:val="20"/>
                <w:szCs w:val="20"/>
              </w:rPr>
            </w:pPr>
            <w:r w:rsidRPr="00B33A22">
              <w:rPr>
                <w:bCs/>
                <w:i/>
                <w:noProof/>
                <w:color w:val="auto"/>
                <w:sz w:val="20"/>
                <w:szCs w:val="20"/>
              </w:rPr>
              <w:t>vasa</w:t>
            </w:r>
            <w:r w:rsidRPr="00B33A22">
              <w:rPr>
                <w:bCs/>
                <w:noProof/>
                <w:color w:val="auto"/>
                <w:sz w:val="20"/>
                <w:szCs w:val="20"/>
              </w:rPr>
              <w:t>-</w:t>
            </w:r>
            <w:r w:rsidRPr="00B33A22">
              <w:rPr>
                <w:rFonts w:hint="eastAsia"/>
                <w:bCs/>
                <w:noProof/>
                <w:color w:val="auto"/>
                <w:sz w:val="20"/>
                <w:szCs w:val="20"/>
              </w:rPr>
              <w:t>qPCR-R1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D2040" w:rsidRPr="00B33A22" w:rsidRDefault="00EB62BC" w:rsidP="005C2D68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noProof/>
                <w:color w:val="auto"/>
                <w:sz w:val="20"/>
                <w:szCs w:val="20"/>
              </w:rPr>
              <w:t>TGTGGCAATAAAATCAGCCTGTC</w:t>
            </w:r>
          </w:p>
        </w:tc>
        <w:tc>
          <w:tcPr>
            <w:tcW w:w="1318" w:type="dxa"/>
            <w:vMerge/>
            <w:tcBorders>
              <w:left w:val="nil"/>
              <w:bottom w:val="nil"/>
              <w:right w:val="nil"/>
            </w:tcBorders>
            <w:hideMark/>
          </w:tcPr>
          <w:p w:rsidR="00FD2040" w:rsidRPr="00B33A22" w:rsidRDefault="00FD2040" w:rsidP="00096481">
            <w:pPr>
              <w:pStyle w:val="Default"/>
              <w:spacing w:afterLines="100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833FE0" w:rsidRPr="00AB0457" w:rsidTr="00833FE0">
        <w:trPr>
          <w:trHeight w:val="20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3FE0" w:rsidRPr="00B33A22" w:rsidRDefault="00833FE0" w:rsidP="00833FE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β-actin</w:t>
            </w:r>
            <w:r w:rsidRPr="00B33A2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-F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3FE0" w:rsidRPr="00B33A22" w:rsidRDefault="00833FE0" w:rsidP="00833F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GGCATCACACCTTCTACAACGA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833FE0" w:rsidRPr="00B33A22" w:rsidRDefault="00833FE0" w:rsidP="00096481">
            <w:pPr>
              <w:pStyle w:val="Default"/>
              <w:spacing w:afterLines="100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833FE0" w:rsidRPr="00AB0457" w:rsidTr="00EB62BC">
        <w:trPr>
          <w:trHeight w:val="31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3FE0" w:rsidRPr="00B33A22" w:rsidRDefault="00833FE0" w:rsidP="00833FE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  <w:t>β-actin</w:t>
            </w:r>
            <w:r w:rsidRPr="00B33A2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-R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3FE0" w:rsidRPr="00B33A22" w:rsidRDefault="00833FE0" w:rsidP="00833F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ACGCTCTGTCAGGATCTTCA</w:t>
            </w:r>
          </w:p>
        </w:tc>
        <w:tc>
          <w:tcPr>
            <w:tcW w:w="1318" w:type="dxa"/>
            <w:vMerge/>
            <w:tcBorders>
              <w:left w:val="nil"/>
              <w:bottom w:val="nil"/>
              <w:right w:val="nil"/>
            </w:tcBorders>
            <w:hideMark/>
          </w:tcPr>
          <w:p w:rsidR="00833FE0" w:rsidRPr="00B33A22" w:rsidRDefault="00833FE0" w:rsidP="00096481">
            <w:pPr>
              <w:pStyle w:val="Default"/>
              <w:spacing w:afterLines="100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833FE0" w:rsidRPr="00AB0457" w:rsidTr="00EB62BC">
        <w:trPr>
          <w:trHeight w:val="28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3FE0" w:rsidRPr="00B33A22" w:rsidRDefault="00833FE0" w:rsidP="00833F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M13+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33FE0" w:rsidRPr="00B33A22" w:rsidRDefault="00833FE0" w:rsidP="00833FE0">
            <w:pPr>
              <w:widowControl/>
              <w:jc w:val="center"/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noProof/>
                <w:kern w:val="0"/>
                <w:sz w:val="20"/>
                <w:szCs w:val="20"/>
              </w:rPr>
              <w:t>CGCCAGGGTTTTCCCAGTCACGAC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33FE0" w:rsidRPr="00B33A22" w:rsidRDefault="00833FE0" w:rsidP="00833FE0">
            <w:pPr>
              <w:pStyle w:val="Default"/>
              <w:rPr>
                <w:noProof/>
                <w:color w:val="auto"/>
                <w:sz w:val="20"/>
                <w:szCs w:val="20"/>
              </w:rPr>
            </w:pPr>
            <w:r w:rsidRPr="00B33A22">
              <w:rPr>
                <w:rFonts w:hint="eastAsia"/>
                <w:noProof/>
                <w:color w:val="auto"/>
                <w:sz w:val="20"/>
                <w:szCs w:val="20"/>
              </w:rPr>
              <w:t>C</w:t>
            </w:r>
            <w:r w:rsidRPr="00B33A22">
              <w:rPr>
                <w:noProof/>
                <w:color w:val="auto"/>
                <w:sz w:val="20"/>
                <w:szCs w:val="20"/>
              </w:rPr>
              <w:t>lone screening</w:t>
            </w:r>
            <w:r w:rsidR="00FD2040" w:rsidRPr="00B33A22">
              <w:rPr>
                <w:rFonts w:hint="eastAsia"/>
                <w:noProof/>
                <w:color w:val="auto"/>
                <w:sz w:val="20"/>
                <w:szCs w:val="20"/>
              </w:rPr>
              <w:t xml:space="preserve"> and </w:t>
            </w:r>
            <w:r w:rsidR="00FD2040" w:rsidRPr="00B33A22">
              <w:rPr>
                <w:rFonts w:hint="eastAsia"/>
                <w:noProof/>
                <w:color w:val="auto"/>
                <w:sz w:val="20"/>
                <w:szCs w:val="20"/>
              </w:rPr>
              <w:lastRenderedPageBreak/>
              <w:t>sequencing</w:t>
            </w:r>
          </w:p>
        </w:tc>
      </w:tr>
      <w:tr w:rsidR="00833FE0" w:rsidRPr="00AB0457" w:rsidTr="00EB62BC">
        <w:trPr>
          <w:trHeight w:val="37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3FE0" w:rsidRPr="00AB0457" w:rsidRDefault="00833FE0" w:rsidP="00833F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457">
              <w:rPr>
                <w:rFonts w:ascii="Times New Roman" w:eastAsia="宋体" w:hAnsi="Times New Roman" w:cs="Times New Roman"/>
                <w:kern w:val="0"/>
                <w:szCs w:val="21"/>
              </w:rPr>
              <w:t>M13-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3FE0" w:rsidRPr="00AB0457" w:rsidRDefault="00833FE0" w:rsidP="00833F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B0457">
              <w:rPr>
                <w:rFonts w:ascii="Times New Roman" w:eastAsia="宋体" w:hAnsi="Times New Roman" w:cs="Times New Roman"/>
                <w:kern w:val="0"/>
                <w:szCs w:val="21"/>
              </w:rPr>
              <w:t>AGCGGATAACAATTTCACACAGGA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FE0" w:rsidRPr="00AB0457" w:rsidRDefault="00833FE0" w:rsidP="00096481">
            <w:pPr>
              <w:pStyle w:val="Default"/>
              <w:spacing w:afterLines="100"/>
              <w:rPr>
                <w:noProof/>
                <w:color w:val="auto"/>
              </w:rPr>
            </w:pPr>
          </w:p>
        </w:tc>
      </w:tr>
    </w:tbl>
    <w:p w:rsidR="005C2D68" w:rsidRPr="00AB0457" w:rsidRDefault="005C2D68" w:rsidP="00096481">
      <w:pPr>
        <w:pStyle w:val="Default"/>
        <w:spacing w:afterLines="100"/>
        <w:rPr>
          <w:noProof/>
          <w:color w:val="auto"/>
        </w:rPr>
      </w:pPr>
    </w:p>
    <w:p w:rsidR="0052304A" w:rsidRPr="00AB0457" w:rsidRDefault="0052304A" w:rsidP="0052304A">
      <w:pPr>
        <w:spacing w:line="360" w:lineRule="auto"/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</w:pPr>
      <w:r w:rsidRPr="00AB0457">
        <w:rPr>
          <w:rFonts w:ascii="Times New Roman" w:eastAsia="宋体" w:hAnsi="Times New Roman" w:cs="Times New Roman" w:hint="eastAsia"/>
          <w:b/>
          <w:noProof/>
          <w:kern w:val="0"/>
          <w:sz w:val="24"/>
          <w:szCs w:val="24"/>
        </w:rPr>
        <w:t xml:space="preserve">Supplemental Table 2 </w:t>
      </w:r>
      <w:r w:rsidRPr="00AB0457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Mutation rates</w:t>
      </w:r>
      <w:r w:rsidRPr="00AB0457">
        <w:rPr>
          <w:rFonts w:ascii="Times New Roman" w:eastAsia="宋体" w:hAnsi="Times New Roman" w:cs="Times New Roman" w:hint="eastAsia"/>
          <w:b/>
          <w:noProof/>
          <w:kern w:val="0"/>
          <w:sz w:val="24"/>
          <w:szCs w:val="24"/>
        </w:rPr>
        <w:t xml:space="preserve"> </w:t>
      </w:r>
      <w:r w:rsidRPr="00AB0457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 xml:space="preserve">of </w:t>
      </w:r>
      <w:r w:rsidRPr="00AB0457">
        <w:rPr>
          <w:rFonts w:ascii="Times New Roman" w:eastAsia="宋体" w:hAnsi="Times New Roman" w:cs="Times New Roman" w:hint="eastAsia"/>
          <w:b/>
          <w:noProof/>
          <w:kern w:val="0"/>
          <w:sz w:val="24"/>
          <w:szCs w:val="24"/>
        </w:rPr>
        <w:t>miRNA125</w:t>
      </w:r>
      <w:r w:rsidRPr="00AB0457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 xml:space="preserve"> </w:t>
      </w:r>
      <w:r w:rsidRPr="00AB0457">
        <w:rPr>
          <w:rFonts w:ascii="Times New Roman" w:eastAsia="宋体" w:hAnsi="Times New Roman" w:cs="Times New Roman" w:hint="eastAsia"/>
          <w:b/>
          <w:noProof/>
          <w:kern w:val="0"/>
          <w:sz w:val="24"/>
          <w:szCs w:val="24"/>
        </w:rPr>
        <w:t xml:space="preserve">in each mutant </w:t>
      </w:r>
      <w:r w:rsidRPr="00AB0457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 xml:space="preserve">induced by </w:t>
      </w:r>
      <w:r w:rsidRPr="00AB0457">
        <w:rPr>
          <w:rFonts w:ascii="Times New Roman" w:eastAsia="宋体" w:hAnsi="Times New Roman" w:cs="Times New Roman" w:hint="eastAsia"/>
          <w:b/>
          <w:noProof/>
          <w:kern w:val="0"/>
          <w:sz w:val="24"/>
          <w:szCs w:val="24"/>
        </w:rPr>
        <w:t>CRISPR/Cas9</w:t>
      </w:r>
      <w:r w:rsidRPr="00AB0457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.</w:t>
      </w:r>
    </w:p>
    <w:tbl>
      <w:tblPr>
        <w:tblW w:w="8799" w:type="dxa"/>
        <w:tblInd w:w="98" w:type="dxa"/>
        <w:tblLayout w:type="fixed"/>
        <w:tblLook w:val="04A0"/>
      </w:tblPr>
      <w:tblGrid>
        <w:gridCol w:w="1144"/>
        <w:gridCol w:w="993"/>
        <w:gridCol w:w="850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1559"/>
      </w:tblGrid>
      <w:tr w:rsidR="00B43263" w:rsidRPr="00AB0457" w:rsidTr="00B33A22">
        <w:trPr>
          <w:trHeight w:val="551"/>
        </w:trPr>
        <w:tc>
          <w:tcPr>
            <w:tcW w:w="11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Target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263" w:rsidRPr="00B33A22" w:rsidRDefault="00B43263" w:rsidP="00B22E0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Number of </w:t>
            </w:r>
            <w:r w:rsidRPr="00B33A22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F</w:t>
            </w: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0 </w:t>
            </w:r>
            <w:r w:rsidRPr="00B33A22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tested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Mutant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Frequency</w:t>
            </w:r>
            <w:r w:rsidRPr="00B33A22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B4326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Indel frequency</w:t>
            </w:r>
            <w:r w:rsidRPr="00B33A22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43263" w:rsidRPr="00B33A22" w:rsidRDefault="00B43263" w:rsidP="00B4326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Average indel frequency (%)</w:t>
            </w:r>
          </w:p>
        </w:tc>
      </w:tr>
      <w:tr w:rsidR="00B43263" w:rsidRPr="00AB0457" w:rsidTr="00B33A22">
        <w:trPr>
          <w:trHeight w:val="315"/>
        </w:trPr>
        <w:tc>
          <w:tcPr>
            <w:tcW w:w="11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263" w:rsidRPr="00B33A22" w:rsidRDefault="00B43263" w:rsidP="006D7B2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263" w:rsidRPr="00B33A22" w:rsidRDefault="00B43263" w:rsidP="006D7B2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263" w:rsidRPr="00B33A22" w:rsidRDefault="00B43263" w:rsidP="006D7B2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263" w:rsidRPr="00B33A22" w:rsidRDefault="00B43263" w:rsidP="006D7B2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#1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#2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#3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#4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#5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#6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#7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#8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B43263" w:rsidRPr="00AB0457" w:rsidTr="00B33A22">
        <w:trPr>
          <w:trHeight w:val="7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52304A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noProof/>
                <w:kern w:val="0"/>
                <w:sz w:val="20"/>
                <w:szCs w:val="20"/>
              </w:rPr>
              <w:t>miRNA125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5230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5230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5230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5230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Pr="00B33A22"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5230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5230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5230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5230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5230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5230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5230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263" w:rsidRPr="00B33A22" w:rsidRDefault="00B43263" w:rsidP="00B432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41.7</w:t>
            </w:r>
          </w:p>
        </w:tc>
      </w:tr>
    </w:tbl>
    <w:p w:rsidR="00B50FF8" w:rsidRPr="00AB0457" w:rsidRDefault="00BF5414" w:rsidP="00096481">
      <w:pPr>
        <w:pStyle w:val="Default"/>
        <w:spacing w:afterLines="100"/>
        <w:jc w:val="both"/>
        <w:rPr>
          <w:noProof/>
          <w:color w:val="auto"/>
        </w:rPr>
      </w:pPr>
      <w:r w:rsidRPr="00AB0457">
        <w:rPr>
          <w:rFonts w:hint="eastAsia"/>
          <w:noProof/>
          <w:color w:val="auto"/>
        </w:rPr>
        <w:t xml:space="preserve">Note: </w:t>
      </w:r>
      <w:r w:rsidR="00B85D8A" w:rsidRPr="00AB0457">
        <w:rPr>
          <w:rFonts w:hint="eastAsia"/>
          <w:noProof/>
          <w:color w:val="auto"/>
        </w:rPr>
        <w:t xml:space="preserve">Twenty five </w:t>
      </w:r>
      <w:r w:rsidR="00B22E02" w:rsidRPr="00AB0457">
        <w:rPr>
          <w:rFonts w:hint="eastAsia"/>
          <w:noProof/>
          <w:color w:val="auto"/>
        </w:rPr>
        <w:t>F</w:t>
      </w:r>
      <w:r w:rsidRPr="00AB0457">
        <w:rPr>
          <w:rFonts w:hint="eastAsia"/>
          <w:noProof/>
          <w:color w:val="auto"/>
        </w:rPr>
        <w:t>0 fish</w:t>
      </w:r>
      <w:r w:rsidRPr="00AB0457">
        <w:rPr>
          <w:noProof/>
          <w:color w:val="auto"/>
        </w:rPr>
        <w:t xml:space="preserve"> were </w:t>
      </w:r>
      <w:r w:rsidRPr="00AB0457">
        <w:rPr>
          <w:rFonts w:hint="eastAsia"/>
          <w:noProof/>
          <w:color w:val="auto"/>
        </w:rPr>
        <w:t xml:space="preserve">screened by </w:t>
      </w:r>
      <w:r w:rsidR="009E0F90" w:rsidRPr="00AB0457">
        <w:rPr>
          <w:noProof/>
          <w:color w:val="auto"/>
        </w:rPr>
        <w:t>restriction</w:t>
      </w:r>
      <w:r w:rsidR="009E0F90" w:rsidRPr="00AB0457">
        <w:rPr>
          <w:rFonts w:hint="eastAsia"/>
          <w:noProof/>
          <w:color w:val="auto"/>
        </w:rPr>
        <w:t xml:space="preserve"> </w:t>
      </w:r>
      <w:r w:rsidRPr="00AB0457">
        <w:rPr>
          <w:rFonts w:hint="eastAsia"/>
          <w:noProof/>
          <w:color w:val="auto"/>
        </w:rPr>
        <w:t xml:space="preserve">enzyme digestion. </w:t>
      </w:r>
      <w:r w:rsidR="00525248" w:rsidRPr="00AB0457">
        <w:rPr>
          <w:rFonts w:hint="eastAsia"/>
          <w:noProof/>
          <w:color w:val="auto"/>
        </w:rPr>
        <w:t xml:space="preserve">Among the </w:t>
      </w:r>
      <w:r w:rsidR="00B85D8A" w:rsidRPr="00AB0457">
        <w:rPr>
          <w:rFonts w:hint="eastAsia"/>
          <w:noProof/>
          <w:color w:val="auto"/>
        </w:rPr>
        <w:t xml:space="preserve">twelve </w:t>
      </w:r>
      <w:r w:rsidR="00525248" w:rsidRPr="00AB0457">
        <w:rPr>
          <w:rFonts w:hint="eastAsia"/>
          <w:noProof/>
          <w:color w:val="auto"/>
        </w:rPr>
        <w:t>mutants, e</w:t>
      </w:r>
      <w:r w:rsidRPr="00AB0457">
        <w:rPr>
          <w:rFonts w:hint="eastAsia"/>
          <w:noProof/>
          <w:color w:val="auto"/>
        </w:rPr>
        <w:t>ight fish</w:t>
      </w:r>
      <w:r w:rsidR="00B85D8A" w:rsidRPr="00AB0457">
        <w:rPr>
          <w:rFonts w:hint="eastAsia"/>
          <w:noProof/>
          <w:color w:val="auto"/>
        </w:rPr>
        <w:t xml:space="preserve">, which have uncleaved </w:t>
      </w:r>
      <w:r w:rsidR="00451DCC">
        <w:rPr>
          <w:rFonts w:hint="eastAsia"/>
          <w:noProof/>
          <w:color w:val="auto"/>
        </w:rPr>
        <w:t xml:space="preserve">DNA </w:t>
      </w:r>
      <w:r w:rsidR="00B85D8A" w:rsidRPr="00AB0457">
        <w:rPr>
          <w:rFonts w:hint="eastAsia"/>
          <w:noProof/>
          <w:color w:val="auto"/>
        </w:rPr>
        <w:t xml:space="preserve">band </w:t>
      </w:r>
      <w:r w:rsidR="00E64AF6" w:rsidRPr="00AB0457">
        <w:rPr>
          <w:rFonts w:hint="eastAsia"/>
          <w:noProof/>
          <w:color w:val="auto"/>
        </w:rPr>
        <w:t xml:space="preserve">with stronger </w:t>
      </w:r>
      <w:r w:rsidR="00B85D8A" w:rsidRPr="00AB0457">
        <w:rPr>
          <w:rFonts w:hint="eastAsia"/>
          <w:noProof/>
          <w:color w:val="auto"/>
        </w:rPr>
        <w:t xml:space="preserve">intensity compared with other </w:t>
      </w:r>
      <w:r w:rsidR="00451DCC">
        <w:rPr>
          <w:rFonts w:hint="eastAsia"/>
          <w:noProof/>
          <w:color w:val="auto"/>
        </w:rPr>
        <w:t xml:space="preserve">four </w:t>
      </w:r>
      <w:r w:rsidR="00B85D8A" w:rsidRPr="00AB0457">
        <w:rPr>
          <w:rFonts w:hint="eastAsia"/>
          <w:noProof/>
          <w:color w:val="auto"/>
        </w:rPr>
        <w:t xml:space="preserve">fish, </w:t>
      </w:r>
      <w:r w:rsidRPr="00AB0457">
        <w:rPr>
          <w:rFonts w:hint="eastAsia"/>
          <w:noProof/>
          <w:color w:val="auto"/>
        </w:rPr>
        <w:t>was selected to calculate the mutation frequency. T</w:t>
      </w:r>
      <w:r w:rsidRPr="00AB0457">
        <w:rPr>
          <w:noProof/>
          <w:color w:val="auto"/>
        </w:rPr>
        <w:t xml:space="preserve">he indel mutation frequency within each individual was estimated by quantifying the </w:t>
      </w:r>
      <w:r w:rsidR="00525248" w:rsidRPr="00AB0457">
        <w:rPr>
          <w:rFonts w:hint="eastAsia"/>
          <w:noProof/>
          <w:color w:val="auto"/>
        </w:rPr>
        <w:t xml:space="preserve">uncleaved </w:t>
      </w:r>
      <w:r w:rsidR="00451DCC">
        <w:rPr>
          <w:rFonts w:hint="eastAsia"/>
          <w:noProof/>
          <w:color w:val="auto"/>
        </w:rPr>
        <w:t xml:space="preserve">DNA </w:t>
      </w:r>
      <w:r w:rsidRPr="00AB0457">
        <w:rPr>
          <w:noProof/>
          <w:color w:val="auto"/>
        </w:rPr>
        <w:t xml:space="preserve">band intensity </w:t>
      </w:r>
      <w:r w:rsidR="00525248" w:rsidRPr="00AB0457">
        <w:rPr>
          <w:rFonts w:hint="eastAsia"/>
          <w:noProof/>
          <w:color w:val="auto"/>
        </w:rPr>
        <w:t xml:space="preserve">to total </w:t>
      </w:r>
      <w:r w:rsidR="00451DCC">
        <w:rPr>
          <w:rFonts w:hint="eastAsia"/>
          <w:noProof/>
          <w:color w:val="auto"/>
        </w:rPr>
        <w:t xml:space="preserve">DNA </w:t>
      </w:r>
      <w:r w:rsidR="00525248" w:rsidRPr="00AB0457">
        <w:rPr>
          <w:rFonts w:hint="eastAsia"/>
          <w:noProof/>
          <w:color w:val="auto"/>
        </w:rPr>
        <w:t xml:space="preserve">band intensity </w:t>
      </w:r>
      <w:r w:rsidRPr="00AB0457">
        <w:rPr>
          <w:noProof/>
          <w:color w:val="auto"/>
        </w:rPr>
        <w:t>of the restriction enzyme digest</w:t>
      </w:r>
      <w:r w:rsidRPr="00AB0457">
        <w:rPr>
          <w:rFonts w:hint="eastAsia"/>
          <w:noProof/>
          <w:color w:val="auto"/>
        </w:rPr>
        <w:t>ion.</w:t>
      </w:r>
    </w:p>
    <w:p w:rsidR="00B50FF8" w:rsidRPr="00AB0457" w:rsidRDefault="00B50FF8" w:rsidP="005E3D54">
      <w:pPr>
        <w:spacing w:line="360" w:lineRule="auto"/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</w:pPr>
    </w:p>
    <w:p w:rsidR="005E3D54" w:rsidRPr="00AB0457" w:rsidRDefault="005E3D54" w:rsidP="005E3D54">
      <w:pPr>
        <w:spacing w:line="360" w:lineRule="auto"/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</w:pPr>
      <w:r w:rsidRPr="00AB0457">
        <w:rPr>
          <w:rFonts w:ascii="Times New Roman" w:eastAsia="宋体" w:hAnsi="Times New Roman" w:cs="Times New Roman" w:hint="eastAsia"/>
          <w:b/>
          <w:noProof/>
          <w:kern w:val="0"/>
          <w:sz w:val="24"/>
          <w:szCs w:val="24"/>
        </w:rPr>
        <w:t xml:space="preserve">Supplemental Table </w:t>
      </w:r>
      <w:r w:rsidR="00AB0457" w:rsidRPr="00AB0457">
        <w:rPr>
          <w:rFonts w:ascii="Times New Roman" w:eastAsia="宋体" w:hAnsi="Times New Roman" w:cs="Times New Roman" w:hint="eastAsia"/>
          <w:b/>
          <w:noProof/>
          <w:kern w:val="0"/>
          <w:sz w:val="24"/>
          <w:szCs w:val="24"/>
        </w:rPr>
        <w:t>3</w:t>
      </w:r>
      <w:r w:rsidRPr="00AB0457">
        <w:rPr>
          <w:rFonts w:ascii="Times New Roman" w:eastAsia="宋体" w:hAnsi="Times New Roman" w:cs="Times New Roman" w:hint="eastAsia"/>
          <w:b/>
          <w:noProof/>
          <w:kern w:val="0"/>
          <w:sz w:val="24"/>
          <w:szCs w:val="24"/>
        </w:rPr>
        <w:t xml:space="preserve"> </w:t>
      </w:r>
      <w:r w:rsidRPr="00AB0457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Mutation rates</w:t>
      </w:r>
      <w:r w:rsidRPr="00AB0457">
        <w:rPr>
          <w:rFonts w:ascii="Times New Roman" w:eastAsia="宋体" w:hAnsi="Times New Roman" w:cs="Times New Roman" w:hint="eastAsia"/>
          <w:b/>
          <w:noProof/>
          <w:kern w:val="0"/>
          <w:sz w:val="24"/>
          <w:szCs w:val="24"/>
        </w:rPr>
        <w:t xml:space="preserve"> </w:t>
      </w:r>
      <w:r w:rsidRPr="00AB0457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 xml:space="preserve">of </w:t>
      </w:r>
      <w:r w:rsidRPr="00AB0457">
        <w:rPr>
          <w:rFonts w:ascii="Times New Roman" w:eastAsia="宋体" w:hAnsi="Times New Roman" w:cs="Times New Roman" w:hint="eastAsia"/>
          <w:b/>
          <w:i/>
          <w:noProof/>
          <w:kern w:val="0"/>
          <w:sz w:val="24"/>
          <w:szCs w:val="24"/>
        </w:rPr>
        <w:t>vasa</w:t>
      </w:r>
      <w:r w:rsidR="00FA4E03" w:rsidRPr="00AB0457">
        <w:rPr>
          <w:rFonts w:ascii="Times New Roman" w:eastAsia="宋体" w:hAnsi="Times New Roman" w:cs="Times New Roman" w:hint="eastAsia"/>
          <w:b/>
          <w:noProof/>
          <w:kern w:val="0"/>
          <w:sz w:val="24"/>
          <w:szCs w:val="24"/>
        </w:rPr>
        <w:t>-</w:t>
      </w:r>
      <w:r w:rsidRPr="00AB0457">
        <w:rPr>
          <w:rFonts w:ascii="Times New Roman" w:eastAsia="宋体" w:hAnsi="Times New Roman" w:cs="Times New Roman" w:hint="eastAsia"/>
          <w:b/>
          <w:noProof/>
          <w:kern w:val="0"/>
          <w:sz w:val="24"/>
          <w:szCs w:val="24"/>
        </w:rPr>
        <w:t>3</w:t>
      </w:r>
      <w:r w:rsidR="00FA4E03" w:rsidRPr="00AB0457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’</w:t>
      </w:r>
      <w:r w:rsidRPr="00AB0457">
        <w:rPr>
          <w:rFonts w:ascii="Times New Roman" w:eastAsia="宋体" w:hAnsi="Times New Roman" w:cs="Times New Roman" w:hint="eastAsia"/>
          <w:b/>
          <w:noProof/>
          <w:kern w:val="0"/>
          <w:sz w:val="24"/>
          <w:szCs w:val="24"/>
        </w:rPr>
        <w:t>UTR</w:t>
      </w:r>
      <w:r w:rsidRPr="00AB0457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 xml:space="preserve"> </w:t>
      </w:r>
      <w:r w:rsidRPr="00AB0457">
        <w:rPr>
          <w:rFonts w:ascii="Times New Roman" w:eastAsia="宋体" w:hAnsi="Times New Roman" w:cs="Times New Roman" w:hint="eastAsia"/>
          <w:b/>
          <w:noProof/>
          <w:kern w:val="0"/>
          <w:sz w:val="24"/>
          <w:szCs w:val="24"/>
        </w:rPr>
        <w:t xml:space="preserve">in each mutant </w:t>
      </w:r>
      <w:r w:rsidRPr="00AB0457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 xml:space="preserve">induced by </w:t>
      </w:r>
      <w:r w:rsidRPr="00AB0457">
        <w:rPr>
          <w:rFonts w:ascii="Times New Roman" w:eastAsia="宋体" w:hAnsi="Times New Roman" w:cs="Times New Roman" w:hint="eastAsia"/>
          <w:b/>
          <w:noProof/>
          <w:kern w:val="0"/>
          <w:sz w:val="24"/>
          <w:szCs w:val="24"/>
        </w:rPr>
        <w:t>CRISPR/Cas9</w:t>
      </w:r>
      <w:r w:rsidRPr="00AB0457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.</w:t>
      </w:r>
    </w:p>
    <w:tbl>
      <w:tblPr>
        <w:tblW w:w="8232" w:type="dxa"/>
        <w:tblInd w:w="98" w:type="dxa"/>
        <w:tblLayout w:type="fixed"/>
        <w:tblLook w:val="04A0"/>
      </w:tblPr>
      <w:tblGrid>
        <w:gridCol w:w="1003"/>
        <w:gridCol w:w="992"/>
        <w:gridCol w:w="567"/>
        <w:gridCol w:w="992"/>
        <w:gridCol w:w="425"/>
        <w:gridCol w:w="426"/>
        <w:gridCol w:w="425"/>
        <w:gridCol w:w="425"/>
        <w:gridCol w:w="425"/>
        <w:gridCol w:w="426"/>
        <w:gridCol w:w="425"/>
        <w:gridCol w:w="425"/>
        <w:gridCol w:w="1276"/>
      </w:tblGrid>
      <w:tr w:rsidR="00B43263" w:rsidRPr="00AB0457" w:rsidTr="00B33A22">
        <w:trPr>
          <w:trHeight w:val="551"/>
        </w:trPr>
        <w:tc>
          <w:tcPr>
            <w:tcW w:w="10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Target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263" w:rsidRPr="00B33A22" w:rsidRDefault="00B43263" w:rsidP="00B22E0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Number of </w:t>
            </w:r>
            <w:r w:rsidRPr="00B33A22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F</w:t>
            </w: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0 </w:t>
            </w:r>
            <w:r w:rsidRPr="00B33A22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tested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Mutant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Frequency</w:t>
            </w:r>
            <w:r w:rsidRPr="00B33A22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Deletion</w:t>
            </w: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frequency</w:t>
            </w:r>
            <w:r w:rsidRPr="00B33A22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Average deletion frequency (%)</w:t>
            </w:r>
          </w:p>
        </w:tc>
      </w:tr>
      <w:tr w:rsidR="00B43263" w:rsidRPr="00AB0457" w:rsidTr="00B33A22">
        <w:trPr>
          <w:trHeight w:val="315"/>
        </w:trPr>
        <w:tc>
          <w:tcPr>
            <w:tcW w:w="10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263" w:rsidRPr="00B33A22" w:rsidRDefault="00B43263" w:rsidP="006D7B2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263" w:rsidRPr="00B33A22" w:rsidRDefault="00B43263" w:rsidP="006D7B2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263" w:rsidRPr="00B33A22" w:rsidRDefault="00B43263" w:rsidP="006D7B2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3263" w:rsidRPr="00B33A22" w:rsidRDefault="00B43263" w:rsidP="006D7B2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#1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#2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#3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#4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#5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#6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#7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#8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B43263" w:rsidRPr="00AB0457" w:rsidTr="00B33A22">
        <w:trPr>
          <w:trHeight w:val="78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B33A22">
              <w:rPr>
                <w:rFonts w:ascii="Times New Roman" w:eastAsia="宋体" w:hAnsi="Times New Roman" w:cs="Times New Roman"/>
                <w:b/>
                <w:i/>
                <w:noProof/>
                <w:kern w:val="0"/>
                <w:sz w:val="20"/>
                <w:szCs w:val="20"/>
              </w:rPr>
              <w:t>V</w:t>
            </w:r>
            <w:r w:rsidRPr="00B33A22">
              <w:rPr>
                <w:rFonts w:ascii="Times New Roman" w:eastAsia="宋体" w:hAnsi="Times New Roman" w:cs="Times New Roman" w:hint="eastAsia"/>
                <w:b/>
                <w:i/>
                <w:noProof/>
                <w:kern w:val="0"/>
                <w:sz w:val="20"/>
                <w:szCs w:val="20"/>
              </w:rPr>
              <w:t xml:space="preserve">asa </w:t>
            </w:r>
            <w:r w:rsidRPr="00B33A22">
              <w:rPr>
                <w:rFonts w:ascii="Times New Roman" w:eastAsia="宋体" w:hAnsi="Times New Roman" w:cs="Times New Roman" w:hint="eastAsia"/>
                <w:b/>
                <w:noProof/>
                <w:kern w:val="0"/>
                <w:sz w:val="20"/>
                <w:szCs w:val="20"/>
              </w:rPr>
              <w:t>3</w:t>
            </w:r>
            <w:r w:rsidRPr="00B33A22">
              <w:rPr>
                <w:rFonts w:ascii="Times New Roman" w:eastAsia="宋体" w:hAnsi="Times New Roman" w:cs="Times New Roman"/>
                <w:b/>
                <w:noProof/>
                <w:kern w:val="0"/>
                <w:sz w:val="20"/>
                <w:szCs w:val="20"/>
              </w:rPr>
              <w:t>’</w:t>
            </w:r>
            <w:r w:rsidRPr="00B33A22">
              <w:rPr>
                <w:rFonts w:ascii="Times New Roman" w:eastAsia="宋体" w:hAnsi="Times New Roman" w:cs="Times New Roman" w:hint="eastAsia"/>
                <w:b/>
                <w:noProof/>
                <w:kern w:val="0"/>
                <w:sz w:val="20"/>
                <w:szCs w:val="20"/>
              </w:rPr>
              <w:t>-UTR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D464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31.8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C549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63" w:rsidRPr="00B33A22" w:rsidRDefault="00B43263" w:rsidP="006D7B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263" w:rsidRPr="00B33A22" w:rsidRDefault="00B43263" w:rsidP="00B4326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3A2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21.1</w:t>
            </w:r>
          </w:p>
        </w:tc>
      </w:tr>
    </w:tbl>
    <w:p w:rsidR="00543C3D" w:rsidRPr="00AB0457" w:rsidRDefault="00543C3D" w:rsidP="00096481">
      <w:pPr>
        <w:pStyle w:val="Default"/>
        <w:spacing w:afterLines="100"/>
        <w:jc w:val="both"/>
        <w:rPr>
          <w:b/>
          <w:noProof/>
          <w:color w:val="auto"/>
        </w:rPr>
      </w:pPr>
      <w:r w:rsidRPr="00AB0457">
        <w:rPr>
          <w:rFonts w:hint="eastAsia"/>
          <w:b/>
          <w:noProof/>
          <w:color w:val="auto"/>
        </w:rPr>
        <w:t xml:space="preserve">Note: </w:t>
      </w:r>
      <w:r w:rsidRPr="00AB0457">
        <w:rPr>
          <w:rFonts w:hint="eastAsia"/>
          <w:noProof/>
          <w:color w:val="auto"/>
        </w:rPr>
        <w:t>F0 fish</w:t>
      </w:r>
      <w:r w:rsidRPr="00AB0457">
        <w:rPr>
          <w:noProof/>
          <w:color w:val="auto"/>
        </w:rPr>
        <w:t xml:space="preserve"> were </w:t>
      </w:r>
      <w:r w:rsidRPr="00AB0457">
        <w:rPr>
          <w:rFonts w:hint="eastAsia"/>
          <w:noProof/>
          <w:color w:val="auto"/>
        </w:rPr>
        <w:t xml:space="preserve">screened by PCR amplification. </w:t>
      </w:r>
      <w:r w:rsidRPr="00AB0457">
        <w:rPr>
          <w:rFonts w:hint="eastAsia"/>
          <w:color w:val="auto"/>
        </w:rPr>
        <w:t>T</w:t>
      </w:r>
      <w:r w:rsidRPr="00AB0457">
        <w:rPr>
          <w:color w:val="auto"/>
        </w:rPr>
        <w:t xml:space="preserve">he PCR products </w:t>
      </w:r>
      <w:r w:rsidRPr="00AB0457">
        <w:rPr>
          <w:rFonts w:hint="eastAsia"/>
          <w:color w:val="auto"/>
        </w:rPr>
        <w:t xml:space="preserve">with expected size, including wild type and mutated bands, </w:t>
      </w:r>
      <w:r w:rsidRPr="00AB0457">
        <w:rPr>
          <w:color w:val="auto"/>
        </w:rPr>
        <w:t xml:space="preserve">were purified </w:t>
      </w:r>
      <w:r w:rsidRPr="00AB0457">
        <w:rPr>
          <w:rFonts w:hint="eastAsia"/>
          <w:color w:val="auto"/>
        </w:rPr>
        <w:t xml:space="preserve">and </w:t>
      </w:r>
      <w:r w:rsidRPr="00AB0457">
        <w:rPr>
          <w:color w:val="auto"/>
        </w:rPr>
        <w:t xml:space="preserve">cloned into pGEM-T easy vector. Forty single colonies were randomly selected and screened by PCR. </w:t>
      </w:r>
      <w:r w:rsidRPr="00AB0457">
        <w:rPr>
          <w:rFonts w:hint="eastAsia"/>
          <w:color w:val="auto"/>
        </w:rPr>
        <w:t xml:space="preserve">The deletion frequency was determined by </w:t>
      </w:r>
      <w:r w:rsidR="00451DCC">
        <w:rPr>
          <w:rFonts w:hint="eastAsia"/>
          <w:color w:val="auto"/>
        </w:rPr>
        <w:t xml:space="preserve">calculating </w:t>
      </w:r>
      <w:r w:rsidRPr="00AB0457">
        <w:rPr>
          <w:rFonts w:hint="eastAsia"/>
          <w:color w:val="auto"/>
        </w:rPr>
        <w:t>number of mutated clones versus total clones sequenced.</w:t>
      </w:r>
    </w:p>
    <w:p w:rsidR="005E3D54" w:rsidRPr="00451DCC" w:rsidRDefault="005E3D54" w:rsidP="00096481">
      <w:pPr>
        <w:pStyle w:val="Default"/>
        <w:spacing w:afterLines="100"/>
        <w:rPr>
          <w:b/>
          <w:noProof/>
          <w:color w:val="auto"/>
        </w:rPr>
      </w:pPr>
    </w:p>
    <w:p w:rsidR="007A085B" w:rsidRPr="00AB0457" w:rsidRDefault="007A085B" w:rsidP="00EC46F0">
      <w:pPr>
        <w:pStyle w:val="Default"/>
        <w:spacing w:afterLines="100"/>
        <w:rPr>
          <w:b/>
          <w:noProof/>
          <w:color w:val="auto"/>
        </w:rPr>
      </w:pPr>
    </w:p>
    <w:sectPr w:rsidR="007A085B" w:rsidRPr="00AB0457" w:rsidSect="009F3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D3" w:rsidRDefault="005951D3" w:rsidP="00F85DAE">
      <w:r>
        <w:separator/>
      </w:r>
    </w:p>
  </w:endnote>
  <w:endnote w:type="continuationSeparator" w:id="1">
    <w:p w:rsidR="005951D3" w:rsidRDefault="005951D3" w:rsidP="00F8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D3" w:rsidRDefault="005951D3" w:rsidP="00F85DAE">
      <w:r>
        <w:separator/>
      </w:r>
    </w:p>
  </w:footnote>
  <w:footnote w:type="continuationSeparator" w:id="1">
    <w:p w:rsidR="005951D3" w:rsidRDefault="005951D3" w:rsidP="00F85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DAE"/>
    <w:rsid w:val="00002349"/>
    <w:rsid w:val="00006751"/>
    <w:rsid w:val="000311DF"/>
    <w:rsid w:val="00051B32"/>
    <w:rsid w:val="00053B64"/>
    <w:rsid w:val="00061DF3"/>
    <w:rsid w:val="000802F9"/>
    <w:rsid w:val="00084BFD"/>
    <w:rsid w:val="00096481"/>
    <w:rsid w:val="00101643"/>
    <w:rsid w:val="00155BCC"/>
    <w:rsid w:val="00176DC2"/>
    <w:rsid w:val="002C5693"/>
    <w:rsid w:val="003305DD"/>
    <w:rsid w:val="00376387"/>
    <w:rsid w:val="003805C2"/>
    <w:rsid w:val="0038522C"/>
    <w:rsid w:val="00440912"/>
    <w:rsid w:val="004453D3"/>
    <w:rsid w:val="00451DCC"/>
    <w:rsid w:val="004579C2"/>
    <w:rsid w:val="004B49F3"/>
    <w:rsid w:val="004B633B"/>
    <w:rsid w:val="00504BA3"/>
    <w:rsid w:val="0052304A"/>
    <w:rsid w:val="00525248"/>
    <w:rsid w:val="00530517"/>
    <w:rsid w:val="00543C3D"/>
    <w:rsid w:val="005951D3"/>
    <w:rsid w:val="005C2D68"/>
    <w:rsid w:val="005C6FA9"/>
    <w:rsid w:val="005E3D54"/>
    <w:rsid w:val="00604BAE"/>
    <w:rsid w:val="00605822"/>
    <w:rsid w:val="00617DB7"/>
    <w:rsid w:val="0065616F"/>
    <w:rsid w:val="006650BF"/>
    <w:rsid w:val="006A7F82"/>
    <w:rsid w:val="006C360F"/>
    <w:rsid w:val="007073F7"/>
    <w:rsid w:val="007A085B"/>
    <w:rsid w:val="007A4103"/>
    <w:rsid w:val="007C36CB"/>
    <w:rsid w:val="007C4FE4"/>
    <w:rsid w:val="007D102F"/>
    <w:rsid w:val="00833FE0"/>
    <w:rsid w:val="00834356"/>
    <w:rsid w:val="00845496"/>
    <w:rsid w:val="008769E6"/>
    <w:rsid w:val="008940D6"/>
    <w:rsid w:val="00894ED7"/>
    <w:rsid w:val="008A4BB1"/>
    <w:rsid w:val="008D7D92"/>
    <w:rsid w:val="00902677"/>
    <w:rsid w:val="009676CE"/>
    <w:rsid w:val="009A4406"/>
    <w:rsid w:val="009E0699"/>
    <w:rsid w:val="009E0F90"/>
    <w:rsid w:val="00A56592"/>
    <w:rsid w:val="00A954CC"/>
    <w:rsid w:val="00AA5D06"/>
    <w:rsid w:val="00AB0457"/>
    <w:rsid w:val="00AD6B19"/>
    <w:rsid w:val="00AF6325"/>
    <w:rsid w:val="00B22E02"/>
    <w:rsid w:val="00B33A22"/>
    <w:rsid w:val="00B43263"/>
    <w:rsid w:val="00B50FF8"/>
    <w:rsid w:val="00B5268A"/>
    <w:rsid w:val="00B85D8A"/>
    <w:rsid w:val="00BA5D76"/>
    <w:rsid w:val="00BB7D4D"/>
    <w:rsid w:val="00BD04A9"/>
    <w:rsid w:val="00BF5414"/>
    <w:rsid w:val="00C01FA4"/>
    <w:rsid w:val="00C20FF0"/>
    <w:rsid w:val="00C5491F"/>
    <w:rsid w:val="00C56084"/>
    <w:rsid w:val="00C626F8"/>
    <w:rsid w:val="00C85AA4"/>
    <w:rsid w:val="00C94101"/>
    <w:rsid w:val="00CC2B59"/>
    <w:rsid w:val="00CC7741"/>
    <w:rsid w:val="00D36D70"/>
    <w:rsid w:val="00D464B6"/>
    <w:rsid w:val="00D62E71"/>
    <w:rsid w:val="00D706D4"/>
    <w:rsid w:val="00D81868"/>
    <w:rsid w:val="00DA4E5F"/>
    <w:rsid w:val="00DF27A9"/>
    <w:rsid w:val="00DF4D6D"/>
    <w:rsid w:val="00E577DE"/>
    <w:rsid w:val="00E608B2"/>
    <w:rsid w:val="00E64AF6"/>
    <w:rsid w:val="00EB62BC"/>
    <w:rsid w:val="00EC46F0"/>
    <w:rsid w:val="00F1241D"/>
    <w:rsid w:val="00F71B99"/>
    <w:rsid w:val="00F85DAE"/>
    <w:rsid w:val="00FA4E03"/>
    <w:rsid w:val="00FA611F"/>
    <w:rsid w:val="00FD2040"/>
    <w:rsid w:val="00FD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D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DAE"/>
    <w:rPr>
      <w:sz w:val="18"/>
      <w:szCs w:val="18"/>
    </w:rPr>
  </w:style>
  <w:style w:type="paragraph" w:customStyle="1" w:styleId="Default">
    <w:name w:val="Default"/>
    <w:rsid w:val="00F85DAE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5C2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964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64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2018-09-04T01:47:00Z</dcterms:created>
  <dcterms:modified xsi:type="dcterms:W3CDTF">2018-11-13T02:32:00Z</dcterms:modified>
</cp:coreProperties>
</file>