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37" w:rsidRPr="005B60E1" w:rsidRDefault="00E16337" w:rsidP="00E16337">
      <w:pPr>
        <w:rPr>
          <w:rFonts w:asciiTheme="majorBidi" w:hAnsiTheme="majorBidi" w:cstheme="majorBidi"/>
        </w:rPr>
      </w:pPr>
      <w:r w:rsidRPr="005B60E1">
        <w:rPr>
          <w:rFonts w:asciiTheme="majorBidi" w:hAnsiTheme="majorBidi" w:cstheme="majorBidi"/>
        </w:rPr>
        <w:t xml:space="preserve">Supplements for manuscript: </w:t>
      </w:r>
    </w:p>
    <w:p w:rsidR="005B60E1" w:rsidRPr="005B60E1" w:rsidRDefault="005B60E1" w:rsidP="005B60E1">
      <w:pPr>
        <w:spacing w:line="360" w:lineRule="auto"/>
        <w:jc w:val="both"/>
        <w:rPr>
          <w:rFonts w:asciiTheme="majorBidi" w:hAnsiTheme="majorBidi" w:cstheme="majorBidi"/>
        </w:rPr>
      </w:pPr>
    </w:p>
    <w:p w:rsidR="005B60E1" w:rsidRPr="005B60E1" w:rsidRDefault="005B60E1" w:rsidP="005B60E1">
      <w:pPr>
        <w:spacing w:line="360" w:lineRule="auto"/>
        <w:jc w:val="both"/>
        <w:rPr>
          <w:rFonts w:asciiTheme="majorBidi" w:hAnsiTheme="majorBidi" w:cstheme="majorBidi"/>
          <w:b/>
        </w:rPr>
      </w:pPr>
      <w:r w:rsidRPr="005B60E1">
        <w:rPr>
          <w:rFonts w:asciiTheme="majorBidi" w:hAnsiTheme="majorBidi" w:cstheme="majorBidi"/>
          <w:b/>
        </w:rPr>
        <w:t>Tideglusib rescues neurite pathology of SPG11 iPSC derived cortical neurons</w:t>
      </w:r>
    </w:p>
    <w:p w:rsidR="005B60E1" w:rsidRPr="005B60E1" w:rsidRDefault="00E16337" w:rsidP="005B60E1">
      <w:pPr>
        <w:spacing w:line="360" w:lineRule="auto"/>
        <w:jc w:val="both"/>
        <w:rPr>
          <w:rFonts w:asciiTheme="majorBidi" w:hAnsiTheme="majorBidi" w:cstheme="majorBidi"/>
          <w:lang w:val="de-DE"/>
        </w:rPr>
      </w:pPr>
      <w:r w:rsidRPr="005B60E1">
        <w:rPr>
          <w:rFonts w:asciiTheme="majorBidi" w:hAnsiTheme="majorBidi" w:cstheme="majorBidi"/>
          <w:lang w:val="de-DE"/>
        </w:rPr>
        <w:t xml:space="preserve">Authors: </w:t>
      </w:r>
      <w:r w:rsidR="005B60E1" w:rsidRPr="005B60E1">
        <w:rPr>
          <w:rFonts w:asciiTheme="majorBidi" w:hAnsiTheme="majorBidi" w:cstheme="majorBidi"/>
          <w:lang w:val="de-DE"/>
        </w:rPr>
        <w:t>Tatyana Pozner</w:t>
      </w:r>
      <w:r w:rsidR="005B60E1" w:rsidRPr="005B60E1">
        <w:rPr>
          <w:rFonts w:asciiTheme="majorBidi" w:hAnsiTheme="majorBidi" w:cstheme="majorBidi"/>
          <w:vertAlign w:val="superscript"/>
          <w:lang w:val="de-DE"/>
        </w:rPr>
        <w:t>1*</w:t>
      </w:r>
      <w:r w:rsidR="005B60E1" w:rsidRPr="005B60E1">
        <w:rPr>
          <w:rFonts w:asciiTheme="majorBidi" w:hAnsiTheme="majorBidi" w:cstheme="majorBidi"/>
          <w:lang w:val="de-DE"/>
        </w:rPr>
        <w:t>, Annika Schray</w:t>
      </w:r>
      <w:r w:rsidR="005B60E1" w:rsidRPr="005B60E1">
        <w:rPr>
          <w:rFonts w:asciiTheme="majorBidi" w:hAnsiTheme="majorBidi" w:cstheme="majorBidi"/>
          <w:vertAlign w:val="superscript"/>
          <w:lang w:val="de-DE"/>
        </w:rPr>
        <w:t>1</w:t>
      </w:r>
      <w:r w:rsidR="005B60E1" w:rsidRPr="005B60E1">
        <w:rPr>
          <w:rFonts w:asciiTheme="majorBidi" w:hAnsiTheme="majorBidi" w:cstheme="majorBidi"/>
          <w:vertAlign w:val="superscript"/>
          <w:rtl/>
          <w:lang w:val="de-DE"/>
        </w:rPr>
        <w:t>*</w:t>
      </w:r>
      <w:r w:rsidR="005B60E1" w:rsidRPr="005B60E1">
        <w:rPr>
          <w:rFonts w:asciiTheme="majorBidi" w:hAnsiTheme="majorBidi" w:cstheme="majorBidi"/>
          <w:lang w:val="de-DE"/>
        </w:rPr>
        <w:t>, Martin Regensburger</w:t>
      </w:r>
      <w:r w:rsidR="005B60E1" w:rsidRPr="005B60E1">
        <w:rPr>
          <w:rFonts w:asciiTheme="majorBidi" w:hAnsiTheme="majorBidi" w:cstheme="majorBidi"/>
          <w:vertAlign w:val="superscript"/>
          <w:lang w:val="de-DE"/>
        </w:rPr>
        <w:t>1, 2, 3</w:t>
      </w:r>
      <w:r w:rsidR="005B60E1" w:rsidRPr="005B60E1">
        <w:rPr>
          <w:rFonts w:asciiTheme="majorBidi" w:hAnsiTheme="majorBidi" w:cstheme="majorBidi"/>
          <w:lang w:val="de-DE"/>
        </w:rPr>
        <w:t>, D. Chichung Lie</w:t>
      </w:r>
      <w:r w:rsidR="005B60E1" w:rsidRPr="005B60E1">
        <w:rPr>
          <w:rFonts w:asciiTheme="majorBidi" w:hAnsiTheme="majorBidi" w:cstheme="majorBidi"/>
          <w:vertAlign w:val="superscript"/>
          <w:lang w:val="de-DE"/>
        </w:rPr>
        <w:t>4</w:t>
      </w:r>
      <w:r w:rsidR="005B60E1" w:rsidRPr="005B60E1">
        <w:rPr>
          <w:rFonts w:asciiTheme="majorBidi" w:hAnsiTheme="majorBidi" w:cstheme="majorBidi"/>
          <w:lang w:val="de-DE"/>
        </w:rPr>
        <w:t>, Ursula Schlötzer-Schrehardt</w:t>
      </w:r>
      <w:r w:rsidR="005B60E1" w:rsidRPr="005B60E1">
        <w:rPr>
          <w:rFonts w:asciiTheme="majorBidi" w:hAnsiTheme="majorBidi" w:cstheme="majorBidi"/>
          <w:vertAlign w:val="superscript"/>
          <w:lang w:val="de-DE"/>
        </w:rPr>
        <w:t>5</w:t>
      </w:r>
      <w:r w:rsidR="005B60E1" w:rsidRPr="005B60E1">
        <w:rPr>
          <w:rFonts w:asciiTheme="majorBidi" w:hAnsiTheme="majorBidi" w:cstheme="majorBidi"/>
          <w:lang w:val="de-DE"/>
        </w:rPr>
        <w:t>, Jürgen Winkler</w:t>
      </w:r>
      <w:r w:rsidR="005B60E1" w:rsidRPr="005B60E1">
        <w:rPr>
          <w:rFonts w:asciiTheme="majorBidi" w:hAnsiTheme="majorBidi" w:cstheme="majorBidi"/>
          <w:vertAlign w:val="superscript"/>
          <w:lang w:val="de-DE"/>
        </w:rPr>
        <w:t>3, 6</w:t>
      </w:r>
      <w:r w:rsidR="005B60E1" w:rsidRPr="005B60E1">
        <w:rPr>
          <w:rFonts w:asciiTheme="majorBidi" w:hAnsiTheme="majorBidi" w:cstheme="majorBidi"/>
          <w:lang w:val="de-DE"/>
        </w:rPr>
        <w:t>, Soeren Turan</w:t>
      </w:r>
      <w:r w:rsidR="005B60E1" w:rsidRPr="005B60E1">
        <w:rPr>
          <w:rFonts w:asciiTheme="majorBidi" w:hAnsiTheme="majorBidi" w:cstheme="majorBidi"/>
          <w:vertAlign w:val="superscript"/>
          <w:lang w:val="de-DE"/>
        </w:rPr>
        <w:t>1,4</w:t>
      </w:r>
      <w:r w:rsidR="005B60E1" w:rsidRPr="005B60E1">
        <w:rPr>
          <w:rFonts w:asciiTheme="majorBidi" w:hAnsiTheme="majorBidi" w:cstheme="majorBidi"/>
          <w:lang w:val="de-DE"/>
        </w:rPr>
        <w:t>, Beate Winner</w:t>
      </w:r>
      <w:r w:rsidR="005B60E1" w:rsidRPr="005B60E1">
        <w:rPr>
          <w:rFonts w:asciiTheme="majorBidi" w:hAnsiTheme="majorBidi" w:cstheme="majorBidi"/>
          <w:vertAlign w:val="superscript"/>
          <w:lang w:val="de-DE"/>
        </w:rPr>
        <w:t>1,6</w:t>
      </w:r>
    </w:p>
    <w:p w:rsidR="00E16337" w:rsidRPr="00510506" w:rsidRDefault="00E16337" w:rsidP="005B60E1">
      <w:pPr>
        <w:spacing w:line="360" w:lineRule="auto"/>
        <w:jc w:val="both"/>
        <w:rPr>
          <w:rFonts w:asciiTheme="majorBidi" w:hAnsiTheme="majorBidi" w:cstheme="majorBidi"/>
          <w:lang w:val="de-DE"/>
        </w:rPr>
      </w:pPr>
    </w:p>
    <w:p w:rsidR="00E16337" w:rsidRDefault="00E16337" w:rsidP="00E16337"/>
    <w:p w:rsidR="00A21031" w:rsidRDefault="00A21031"/>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FB05EA" w:rsidRDefault="00FB05EA"/>
    <w:p w:rsidR="00E16337" w:rsidRDefault="00E16337"/>
    <w:p w:rsidR="00E16337" w:rsidRDefault="00E16337"/>
    <w:p w:rsidR="00E16337" w:rsidRDefault="00E16337"/>
    <w:p w:rsidR="00E16337" w:rsidRDefault="00E16337"/>
    <w:p w:rsidR="00FB05EA" w:rsidRDefault="00FB05EA">
      <w:r>
        <w:rPr>
          <w:noProof/>
        </w:rPr>
        <w:lastRenderedPageBreak/>
        <w:drawing>
          <wp:inline distT="0" distB="0" distL="0" distR="0" wp14:anchorId="3FB88A53" wp14:editId="259F73DC">
            <wp:extent cx="5943600" cy="1137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37920"/>
                    </a:xfrm>
                    <a:prstGeom prst="rect">
                      <a:avLst/>
                    </a:prstGeom>
                  </pic:spPr>
                </pic:pic>
              </a:graphicData>
            </a:graphic>
          </wp:inline>
        </w:drawing>
      </w:r>
    </w:p>
    <w:p w:rsidR="00FB05EA" w:rsidRPr="005B60E1" w:rsidRDefault="00FB05EA"/>
    <w:p w:rsidR="007D6A18" w:rsidRPr="005B60E1" w:rsidRDefault="007D6A18" w:rsidP="007D6A18">
      <w:pPr>
        <w:spacing w:line="360" w:lineRule="auto"/>
        <w:rPr>
          <w:rFonts w:asciiTheme="majorBidi" w:eastAsia="Times New Roman" w:hAnsiTheme="majorBidi" w:cstheme="majorBidi"/>
          <w:highlight w:val="yellow"/>
        </w:rPr>
      </w:pPr>
      <w:r w:rsidRPr="005B60E1">
        <w:rPr>
          <w:rFonts w:asciiTheme="majorBidi" w:eastAsia="Times New Roman" w:hAnsiTheme="majorBidi" w:cstheme="majorBidi"/>
        </w:rPr>
        <w:t>Fig. S1.</w:t>
      </w:r>
      <w:r w:rsidRPr="005B60E1">
        <w:rPr>
          <w:rFonts w:asciiTheme="majorBidi" w:hAnsiTheme="majorBidi" w:cstheme="majorBidi"/>
        </w:rPr>
        <w:t xml:space="preserve"> </w:t>
      </w:r>
      <w:r w:rsidRPr="005B60E1">
        <w:rPr>
          <w:rFonts w:asciiTheme="majorBidi" w:hAnsiTheme="majorBidi" w:cstheme="majorBidi"/>
          <w:b/>
          <w:bCs/>
        </w:rPr>
        <w:t>Tideglusib treatment paradigm.</w:t>
      </w:r>
      <w:r w:rsidRPr="005B60E1">
        <w:rPr>
          <w:rFonts w:asciiTheme="majorBidi" w:hAnsiTheme="majorBidi" w:cstheme="majorBidi"/>
        </w:rPr>
        <w:t xml:space="preserve"> On d0 NPCs were plated on </w:t>
      </w:r>
      <w:proofErr w:type="spellStart"/>
      <w:r w:rsidRPr="005B60E1">
        <w:rPr>
          <w:rFonts w:asciiTheme="majorBidi" w:hAnsiTheme="majorBidi" w:cstheme="majorBidi"/>
        </w:rPr>
        <w:t>polyornithine</w:t>
      </w:r>
      <w:proofErr w:type="spellEnd"/>
      <w:r w:rsidRPr="005B60E1">
        <w:rPr>
          <w:rFonts w:asciiTheme="majorBidi" w:hAnsiTheme="majorBidi" w:cstheme="majorBidi"/>
        </w:rPr>
        <w:t xml:space="preserve">-laminin coated cover-slips in neuronal differentiation medium. Tideglusib administration was started on d7, and the compound was applied twice a week for a period of 3 weeks, during media changes. The cells were transfected with pEF1-dTomato (indicated by dashed arrow) 48h prior to fixation for further analysis. d - </w:t>
      </w:r>
      <w:proofErr w:type="gramStart"/>
      <w:r w:rsidRPr="005B60E1">
        <w:rPr>
          <w:rFonts w:asciiTheme="majorBidi" w:hAnsiTheme="majorBidi" w:cstheme="majorBidi"/>
        </w:rPr>
        <w:t>day</w:t>
      </w:r>
      <w:proofErr w:type="gramEnd"/>
      <w:r w:rsidRPr="005B60E1">
        <w:rPr>
          <w:rFonts w:asciiTheme="majorBidi" w:hAnsiTheme="majorBidi" w:cstheme="majorBidi"/>
        </w:rPr>
        <w:t>.</w:t>
      </w:r>
    </w:p>
    <w:p w:rsidR="00FB05EA" w:rsidRPr="00A210B2" w:rsidRDefault="00FB05EA" w:rsidP="007D6A18">
      <w:pPr>
        <w:spacing w:line="360" w:lineRule="auto"/>
        <w:rPr>
          <w:rFonts w:asciiTheme="majorBidi" w:eastAsia="Times New Roman" w:hAnsiTheme="majorBidi" w:cstheme="majorBidi"/>
          <w:sz w:val="20"/>
          <w:szCs w:val="20"/>
          <w:highlight w:val="yellow"/>
        </w:rPr>
      </w:pPr>
    </w:p>
    <w:p w:rsidR="00FB05EA" w:rsidRDefault="00FB05EA"/>
    <w:p w:rsidR="00FB05EA" w:rsidRDefault="00FB05EA"/>
    <w:p w:rsidR="00FB05EA" w:rsidRDefault="00FB05EA"/>
    <w:p w:rsidR="00FB05EA" w:rsidRDefault="00FB05EA"/>
    <w:p w:rsidR="00E16337" w:rsidRDefault="00E16337"/>
    <w:p w:rsidR="00E16337" w:rsidRDefault="00E16337"/>
    <w:p w:rsidR="00E16337" w:rsidRDefault="00E16337"/>
    <w:p w:rsidR="00E16337" w:rsidRDefault="00E16337"/>
    <w:p w:rsidR="00FB05EA" w:rsidRDefault="00FB05EA"/>
    <w:p w:rsidR="00FB05EA" w:rsidRDefault="00FB05EA"/>
    <w:p w:rsidR="00A21031" w:rsidRDefault="005063B4">
      <w:r>
        <w:rPr>
          <w:noProof/>
        </w:rPr>
        <w:lastRenderedPageBreak/>
        <w:drawing>
          <wp:inline distT="0" distB="0" distL="0" distR="0" wp14:anchorId="6E7D375B" wp14:editId="27FCBC21">
            <wp:extent cx="5943600" cy="3175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75000"/>
                    </a:xfrm>
                    <a:prstGeom prst="rect">
                      <a:avLst/>
                    </a:prstGeom>
                  </pic:spPr>
                </pic:pic>
              </a:graphicData>
            </a:graphic>
          </wp:inline>
        </w:drawing>
      </w:r>
    </w:p>
    <w:p w:rsidR="00A21031" w:rsidRPr="005B60E1" w:rsidRDefault="00A21031"/>
    <w:p w:rsidR="00A21031" w:rsidRPr="005B60E1" w:rsidRDefault="00A21031"/>
    <w:p w:rsidR="005063B4" w:rsidRPr="005B60E1" w:rsidRDefault="005063B4" w:rsidP="005063B4">
      <w:pPr>
        <w:rPr>
          <w:rFonts w:asciiTheme="majorBidi" w:hAnsiTheme="majorBidi" w:cstheme="majorBidi"/>
        </w:rPr>
      </w:pPr>
      <w:r w:rsidRPr="005B60E1">
        <w:rPr>
          <w:rFonts w:asciiTheme="majorBidi" w:hAnsiTheme="majorBidi" w:cstheme="majorBidi"/>
        </w:rPr>
        <w:t>Fig. S2 Validation of the SPG11 knock out (cSPG11) and respective control (cCTRL) genome edited lines. (A) T7 endonuclease assay for validation of Cas9-mediated SPG11 knockout in clones that were isolated by single cell sorting. (B) Validation of spatacsin protein expression in the genome edited lines. (C) Quantification of percentage of GFAP positive cells in the genome edited lines. Data: mean ± SEM.</w:t>
      </w:r>
    </w:p>
    <w:p w:rsidR="00A21031" w:rsidRDefault="00A21031"/>
    <w:p w:rsidR="00A21031" w:rsidRDefault="00A21031"/>
    <w:p w:rsidR="00A21031" w:rsidRDefault="00A21031"/>
    <w:p w:rsidR="00A21031" w:rsidRDefault="00A21031"/>
    <w:p w:rsidR="00A21031" w:rsidRDefault="00A21031"/>
    <w:p w:rsidR="00E16337" w:rsidRDefault="00E16337"/>
    <w:p w:rsidR="00E16337" w:rsidRDefault="00E16337"/>
    <w:p w:rsidR="00E16337" w:rsidRDefault="00E16337"/>
    <w:p w:rsidR="00A21031" w:rsidRDefault="00A21031"/>
    <w:p w:rsidR="00A21031" w:rsidRDefault="00A21031"/>
    <w:p w:rsidR="00A21031" w:rsidRDefault="00A21031"/>
    <w:p w:rsidR="00E16337" w:rsidRDefault="00E16337"/>
    <w:p w:rsidR="00A21031" w:rsidRDefault="00864ADA">
      <w:r w:rsidRPr="00A21031">
        <w:rPr>
          <w:noProof/>
        </w:rPr>
        <w:lastRenderedPageBreak/>
        <mc:AlternateContent>
          <mc:Choice Requires="wps">
            <w:drawing>
              <wp:anchor distT="0" distB="0" distL="114300" distR="114300" simplePos="0" relativeHeight="251660288" behindDoc="0" locked="0" layoutInCell="1" allowOverlap="1" wp14:anchorId="634FAD00" wp14:editId="02ACC08E">
                <wp:simplePos x="0" y="0"/>
                <wp:positionH relativeFrom="column">
                  <wp:posOffset>-226060</wp:posOffset>
                </wp:positionH>
                <wp:positionV relativeFrom="paragraph">
                  <wp:posOffset>-304800</wp:posOffset>
                </wp:positionV>
                <wp:extent cx="826163" cy="310534"/>
                <wp:effectExtent l="0" t="0" r="0" b="0"/>
                <wp:wrapNone/>
                <wp:docPr id="107" name="TextBox 106"/>
                <wp:cNvGraphicFramePr/>
                <a:graphic xmlns:a="http://schemas.openxmlformats.org/drawingml/2006/main">
                  <a:graphicData uri="http://schemas.microsoft.com/office/word/2010/wordprocessingShape">
                    <wps:wsp>
                      <wps:cNvSpPr txBox="1"/>
                      <wps:spPr>
                        <a:xfrm>
                          <a:off x="0" y="0"/>
                          <a:ext cx="826163" cy="310534"/>
                        </a:xfrm>
                        <a:prstGeom prst="rect">
                          <a:avLst/>
                        </a:prstGeom>
                        <a:noFill/>
                      </wps:spPr>
                      <wps:txbx>
                        <w:txbxContent>
                          <w:p w:rsidR="00A21031" w:rsidRDefault="00A21031" w:rsidP="00A21031">
                            <w:pPr>
                              <w:pStyle w:val="NormalWeb"/>
                              <w:spacing w:before="0" w:beforeAutospacing="0" w:after="0" w:afterAutospacing="0"/>
                            </w:pPr>
                            <w:r>
                              <w:rPr>
                                <w:rFonts w:asciiTheme="minorHAnsi" w:hAnsi="Calibri" w:cstheme="minorBidi"/>
                                <w:b/>
                                <w:bCs/>
                                <w:color w:val="000000" w:themeColor="text1"/>
                                <w:kern w:val="24"/>
                                <w:sz w:val="28"/>
                                <w:szCs w:val="28"/>
                              </w:rPr>
                              <w:t>A</w:t>
                            </w:r>
                          </w:p>
                        </w:txbxContent>
                      </wps:txbx>
                      <wps:bodyPr wrap="square" rtlCol="0">
                        <a:spAutoFit/>
                      </wps:bodyPr>
                    </wps:wsp>
                  </a:graphicData>
                </a:graphic>
              </wp:anchor>
            </w:drawing>
          </mc:Choice>
          <mc:Fallback xmlns:mo="http://schemas.microsoft.com/office/mac/office/2008/main" xmlns:mv="urn:schemas-microsoft-com:mac:vml">
            <w:pict>
              <v:shapetype w14:anchorId="634FAD00" id="_x0000_t202" coordsize="21600,21600" o:spt="202" path="m0,0l0,21600,21600,21600,21600,0xe">
                <v:stroke joinstyle="miter"/>
                <v:path gradientshapeok="t" o:connecttype="rect"/>
              </v:shapetype>
              <v:shape id="TextBox 106" o:spid="_x0000_s1026" type="#_x0000_t202" style="position:absolute;margin-left:-17.8pt;margin-top:-23.95pt;width:65.05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" filled="f" stroked="f">
                <v:textbox style="mso-fit-shape-to-text:t">
                  <w:txbxContent>
                    <w:p w:rsidR="00A21031" w:rsidRDefault="00A21031" w:rsidP="00A21031">
                      <w:pPr>
                        <w:pStyle w:val="NormalWeb"/>
                        <w:spacing w:before="0" w:beforeAutospacing="0" w:after="0" w:afterAutospacing="0"/>
                      </w:pPr>
                      <w:r>
                        <w:rPr>
                          <w:rFonts w:asciiTheme="minorHAnsi" w:hAnsi="Calibri" w:cstheme="minorBidi"/>
                          <w:b/>
                          <w:bCs/>
                          <w:color w:val="000000" w:themeColor="text1"/>
                          <w:kern w:val="24"/>
                          <w:sz w:val="28"/>
                          <w:szCs w:val="28"/>
                        </w:rPr>
                        <w:t>A</w:t>
                      </w:r>
                    </w:p>
                  </w:txbxContent>
                </v:textbox>
              </v:shape>
            </w:pict>
          </mc:Fallback>
        </mc:AlternateContent>
      </w:r>
      <w:r w:rsidRPr="00A21031">
        <w:rPr>
          <w:noProof/>
        </w:rPr>
        <w:drawing>
          <wp:anchor distT="0" distB="0" distL="114300" distR="114300" simplePos="0" relativeHeight="251659264" behindDoc="0" locked="0" layoutInCell="1" allowOverlap="1" wp14:anchorId="3863BC1D" wp14:editId="653464AD">
            <wp:simplePos x="0" y="0"/>
            <wp:positionH relativeFrom="column">
              <wp:posOffset>597535</wp:posOffset>
            </wp:positionH>
            <wp:positionV relativeFrom="paragraph">
              <wp:posOffset>-109855</wp:posOffset>
            </wp:positionV>
            <wp:extent cx="4551076" cy="2692403"/>
            <wp:effectExtent l="0" t="0" r="190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551076" cy="2692403"/>
                    </a:xfrm>
                    <a:prstGeom prst="rect">
                      <a:avLst/>
                    </a:prstGeom>
                  </pic:spPr>
                </pic:pic>
              </a:graphicData>
            </a:graphic>
          </wp:anchor>
        </w:drawing>
      </w:r>
    </w:p>
    <w:p w:rsidR="00A21031" w:rsidRDefault="00A21031"/>
    <w:p w:rsidR="00A21031" w:rsidRDefault="00A21031" w:rsidP="00A21031"/>
    <w:p w:rsidR="00A21031" w:rsidRDefault="00A21031"/>
    <w:p w:rsidR="00A21031" w:rsidRDefault="00A21031"/>
    <w:p w:rsidR="00A21031" w:rsidRDefault="00A21031"/>
    <w:p w:rsidR="00A21031" w:rsidRDefault="00A21031"/>
    <w:p w:rsidR="00A21031" w:rsidRDefault="00A21031"/>
    <w:p w:rsidR="00A21031" w:rsidRDefault="00A21031"/>
    <w:p w:rsidR="00A21031" w:rsidRDefault="000A0F72" w:rsidP="000A0F72">
      <w:r>
        <w:rPr>
          <w:noProof/>
        </w:rPr>
        <w:drawing>
          <wp:anchor distT="0" distB="0" distL="114300" distR="114300" simplePos="0" relativeHeight="251662336" behindDoc="0" locked="0" layoutInCell="1" allowOverlap="1" wp14:anchorId="26071DE9" wp14:editId="7A133E0C">
            <wp:simplePos x="0" y="0"/>
            <wp:positionH relativeFrom="column">
              <wp:posOffset>-304800</wp:posOffset>
            </wp:positionH>
            <wp:positionV relativeFrom="paragraph">
              <wp:posOffset>2379345</wp:posOffset>
            </wp:positionV>
            <wp:extent cx="5943600" cy="2200910"/>
            <wp:effectExtent l="0" t="0" r="0" b="8890"/>
            <wp:wrapThrough wrapText="bothSides">
              <wp:wrapPolygon edited="0">
                <wp:start x="0" y="0"/>
                <wp:lineTo x="0" y="21500"/>
                <wp:lineTo x="21531" y="21500"/>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200910"/>
                    </a:xfrm>
                    <a:prstGeom prst="rect">
                      <a:avLst/>
                    </a:prstGeom>
                  </pic:spPr>
                </pic:pic>
              </a:graphicData>
            </a:graphic>
          </wp:anchor>
        </w:drawing>
      </w:r>
      <w:r w:rsidR="00A21031">
        <w:rPr>
          <w:noProof/>
        </w:rPr>
        <w:drawing>
          <wp:anchor distT="0" distB="0" distL="114300" distR="114300" simplePos="0" relativeHeight="251661312" behindDoc="0" locked="0" layoutInCell="1" allowOverlap="1" wp14:anchorId="4F403A5C" wp14:editId="6E0BB9C1">
            <wp:simplePos x="0" y="0"/>
            <wp:positionH relativeFrom="column">
              <wp:posOffset>-276225</wp:posOffset>
            </wp:positionH>
            <wp:positionV relativeFrom="paragraph">
              <wp:posOffset>248285</wp:posOffset>
            </wp:positionV>
            <wp:extent cx="5943600" cy="2120265"/>
            <wp:effectExtent l="0" t="0" r="0" b="0"/>
            <wp:wrapThrough wrapText="bothSides">
              <wp:wrapPolygon edited="0">
                <wp:start x="0" y="0"/>
                <wp:lineTo x="0" y="21348"/>
                <wp:lineTo x="21531" y="21348"/>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120265"/>
                    </a:xfrm>
                    <a:prstGeom prst="rect">
                      <a:avLst/>
                    </a:prstGeom>
                  </pic:spPr>
                </pic:pic>
              </a:graphicData>
            </a:graphic>
          </wp:anchor>
        </w:drawing>
      </w:r>
    </w:p>
    <w:p w:rsidR="005063B4" w:rsidRPr="005B60E1" w:rsidRDefault="005063B4" w:rsidP="005063B4">
      <w:pPr>
        <w:rPr>
          <w:rFonts w:asciiTheme="majorBidi" w:hAnsiTheme="majorBidi" w:cstheme="majorBidi"/>
        </w:rPr>
      </w:pPr>
      <w:r w:rsidRPr="005B60E1">
        <w:rPr>
          <w:rFonts w:asciiTheme="majorBidi" w:hAnsiTheme="majorBidi" w:cstheme="majorBidi"/>
        </w:rPr>
        <w:t xml:space="preserve">Fig. S3 Off-target analysis of the sgRNA92 used in the genome editing process. (A) Table containing the sgRNA sequence used for exon1 targeting and the potential off-target sequences at </w:t>
      </w:r>
      <w:proofErr w:type="spellStart"/>
      <w:r w:rsidRPr="005B60E1">
        <w:rPr>
          <w:rFonts w:asciiTheme="majorBidi" w:hAnsiTheme="majorBidi" w:cstheme="majorBidi"/>
        </w:rPr>
        <w:t>exonic</w:t>
      </w:r>
      <w:proofErr w:type="spellEnd"/>
      <w:r w:rsidRPr="005B60E1">
        <w:rPr>
          <w:rFonts w:asciiTheme="majorBidi" w:hAnsiTheme="majorBidi" w:cstheme="majorBidi"/>
        </w:rPr>
        <w:t xml:space="preserve"> regions as determined by CRISPOR web-tool (</w:t>
      </w:r>
      <w:hyperlink r:id="rId9" w:history="1">
        <w:r w:rsidRPr="005B60E1">
          <w:rPr>
            <w:rStyle w:val="Hyperlink"/>
            <w:rFonts w:asciiTheme="majorBidi" w:hAnsiTheme="majorBidi" w:cstheme="majorBidi"/>
          </w:rPr>
          <w:t>http://crispor.tefor.net/</w:t>
        </w:r>
      </w:hyperlink>
      <w:r w:rsidRPr="005B60E1">
        <w:rPr>
          <w:rFonts w:asciiTheme="majorBidi" w:hAnsiTheme="majorBidi" w:cstheme="majorBidi"/>
        </w:rPr>
        <w:t>). (B) Sequences of on-target (OnT) and off-target (</w:t>
      </w:r>
      <w:proofErr w:type="spellStart"/>
      <w:r w:rsidRPr="005B60E1">
        <w:rPr>
          <w:rFonts w:asciiTheme="majorBidi" w:hAnsiTheme="majorBidi" w:cstheme="majorBidi"/>
        </w:rPr>
        <w:t>OffT</w:t>
      </w:r>
      <w:proofErr w:type="spellEnd"/>
      <w:r w:rsidRPr="005B60E1">
        <w:rPr>
          <w:rFonts w:asciiTheme="majorBidi" w:hAnsiTheme="majorBidi" w:cstheme="majorBidi"/>
        </w:rPr>
        <w:t xml:space="preserve">) regions acquired by </w:t>
      </w:r>
      <w:proofErr w:type="spellStart"/>
      <w:r w:rsidRPr="005B60E1">
        <w:rPr>
          <w:rFonts w:asciiTheme="majorBidi" w:hAnsiTheme="majorBidi" w:cstheme="majorBidi"/>
        </w:rPr>
        <w:t>Chromas</w:t>
      </w:r>
      <w:proofErr w:type="spellEnd"/>
      <w:r w:rsidRPr="005B60E1">
        <w:rPr>
          <w:rFonts w:asciiTheme="majorBidi" w:hAnsiTheme="majorBidi" w:cstheme="majorBidi"/>
        </w:rPr>
        <w:t xml:space="preserve"> software (</w:t>
      </w:r>
      <w:hyperlink r:id="rId10" w:history="1">
        <w:r w:rsidRPr="005B60E1">
          <w:rPr>
            <w:rStyle w:val="Hyperlink"/>
            <w:rFonts w:asciiTheme="majorBidi" w:hAnsiTheme="majorBidi" w:cstheme="majorBidi"/>
          </w:rPr>
          <w:t>https://technelysium.com.au/wp/chromas/</w:t>
        </w:r>
      </w:hyperlink>
      <w:r w:rsidRPr="005B60E1">
        <w:rPr>
          <w:rFonts w:asciiTheme="majorBidi" w:hAnsiTheme="majorBidi" w:cstheme="majorBidi"/>
        </w:rPr>
        <w:t xml:space="preserve">) following genomic DNA sequencing of cSPG11 and cCTRL. </w:t>
      </w:r>
    </w:p>
    <w:p w:rsidR="004A6F6A" w:rsidRDefault="004A6F6A" w:rsidP="00CE22C6">
      <w:r>
        <w:lastRenderedPageBreak/>
        <w:t xml:space="preserve">Table </w:t>
      </w:r>
      <w:proofErr w:type="gramStart"/>
      <w:r>
        <w:t>S1  -</w:t>
      </w:r>
      <w:proofErr w:type="gramEnd"/>
      <w:r>
        <w:t xml:space="preserve"> primer list </w:t>
      </w:r>
    </w:p>
    <w:tbl>
      <w:tblPr>
        <w:tblStyle w:val="TableGrid"/>
        <w:tblW w:w="0" w:type="auto"/>
        <w:tblLook w:val="04A0" w:firstRow="1" w:lastRow="0" w:firstColumn="1" w:lastColumn="0" w:noHBand="0" w:noVBand="1"/>
      </w:tblPr>
      <w:tblGrid>
        <w:gridCol w:w="3116"/>
        <w:gridCol w:w="3117"/>
        <w:gridCol w:w="3117"/>
      </w:tblGrid>
      <w:tr w:rsidR="004A6F6A" w:rsidTr="004A6F6A">
        <w:tc>
          <w:tcPr>
            <w:tcW w:w="3116" w:type="dxa"/>
          </w:tcPr>
          <w:p w:rsidR="004A6F6A" w:rsidRDefault="004A6F6A" w:rsidP="00CE22C6">
            <w:r>
              <w:t>Primer</w:t>
            </w:r>
          </w:p>
        </w:tc>
        <w:tc>
          <w:tcPr>
            <w:tcW w:w="3117" w:type="dxa"/>
          </w:tcPr>
          <w:p w:rsidR="004A6F6A" w:rsidRDefault="004A6F6A" w:rsidP="00CE22C6">
            <w:r>
              <w:t>Primer sequence 5’</w:t>
            </w:r>
            <w:r>
              <w:sym w:font="Wingdings" w:char="F0E0"/>
            </w:r>
            <w:r>
              <w:t xml:space="preserve"> 3’</w:t>
            </w:r>
          </w:p>
        </w:tc>
        <w:tc>
          <w:tcPr>
            <w:tcW w:w="3117" w:type="dxa"/>
          </w:tcPr>
          <w:p w:rsidR="004A6F6A" w:rsidRDefault="004A6F6A" w:rsidP="00CE22C6">
            <w:r>
              <w:t>Application</w:t>
            </w:r>
          </w:p>
        </w:tc>
      </w:tr>
      <w:tr w:rsidR="004A6F6A" w:rsidTr="004A6F6A">
        <w:tc>
          <w:tcPr>
            <w:tcW w:w="3116" w:type="dxa"/>
          </w:tcPr>
          <w:p w:rsidR="004A6F6A" w:rsidRDefault="004A6F6A" w:rsidP="00CE22C6">
            <w:r>
              <w:t xml:space="preserve">Ctip2 </w:t>
            </w:r>
            <w:proofErr w:type="spellStart"/>
            <w:r>
              <w:t>Fw</w:t>
            </w:r>
            <w:proofErr w:type="spellEnd"/>
          </w:p>
        </w:tc>
        <w:tc>
          <w:tcPr>
            <w:tcW w:w="3117" w:type="dxa"/>
          </w:tcPr>
          <w:p w:rsidR="004A6F6A" w:rsidRDefault="000A13E5" w:rsidP="00CE22C6">
            <w:r>
              <w:t>GAGTACTGCGGCAAGGTGTT</w:t>
            </w:r>
          </w:p>
        </w:tc>
        <w:tc>
          <w:tcPr>
            <w:tcW w:w="3117" w:type="dxa"/>
          </w:tcPr>
          <w:p w:rsidR="004A6F6A" w:rsidRDefault="00623408" w:rsidP="00CE22C6">
            <w:r>
              <w:t>q</w:t>
            </w:r>
            <w:r w:rsidR="004A6F6A">
              <w:t>PCR</w:t>
            </w:r>
          </w:p>
        </w:tc>
      </w:tr>
      <w:tr w:rsidR="004A6F6A" w:rsidTr="004A6F6A">
        <w:tc>
          <w:tcPr>
            <w:tcW w:w="3116" w:type="dxa"/>
          </w:tcPr>
          <w:p w:rsidR="004A6F6A" w:rsidRDefault="004A6F6A" w:rsidP="00CE22C6">
            <w:r>
              <w:t xml:space="preserve">Ctip2 </w:t>
            </w:r>
            <w:proofErr w:type="spellStart"/>
            <w:r>
              <w:t>Rw</w:t>
            </w:r>
            <w:proofErr w:type="spellEnd"/>
          </w:p>
        </w:tc>
        <w:tc>
          <w:tcPr>
            <w:tcW w:w="3117" w:type="dxa"/>
          </w:tcPr>
          <w:p w:rsidR="004A6F6A" w:rsidRDefault="000A13E5" w:rsidP="00CE22C6">
            <w:r>
              <w:t>TAGTTGCACAGCTCGCACTT</w:t>
            </w:r>
          </w:p>
        </w:tc>
        <w:tc>
          <w:tcPr>
            <w:tcW w:w="3117" w:type="dxa"/>
          </w:tcPr>
          <w:p w:rsidR="004A6F6A" w:rsidRDefault="00623408" w:rsidP="00CE22C6">
            <w:r>
              <w:t>q</w:t>
            </w:r>
            <w:r w:rsidR="004A6F6A">
              <w:t>PCR</w:t>
            </w:r>
          </w:p>
        </w:tc>
      </w:tr>
      <w:tr w:rsidR="004A6F6A" w:rsidTr="004A6F6A">
        <w:tc>
          <w:tcPr>
            <w:tcW w:w="3116" w:type="dxa"/>
          </w:tcPr>
          <w:p w:rsidR="004A6F6A" w:rsidRDefault="004A6F6A" w:rsidP="00CE22C6">
            <w:r>
              <w:t xml:space="preserve">VGLUT1 </w:t>
            </w:r>
            <w:proofErr w:type="spellStart"/>
            <w:r>
              <w:t>Fw</w:t>
            </w:r>
            <w:proofErr w:type="spellEnd"/>
          </w:p>
        </w:tc>
        <w:tc>
          <w:tcPr>
            <w:tcW w:w="3117" w:type="dxa"/>
          </w:tcPr>
          <w:p w:rsidR="004A6F6A" w:rsidRDefault="000A13E5" w:rsidP="00CE22C6">
            <w:r>
              <w:t>TTTTCTGGGGCTACATTGTCAC</w:t>
            </w:r>
          </w:p>
        </w:tc>
        <w:tc>
          <w:tcPr>
            <w:tcW w:w="3117" w:type="dxa"/>
          </w:tcPr>
          <w:p w:rsidR="004A6F6A" w:rsidRDefault="00623408" w:rsidP="00CE22C6">
            <w:r>
              <w:t>q</w:t>
            </w:r>
            <w:r w:rsidR="004A6F6A">
              <w:t>PCR</w:t>
            </w:r>
          </w:p>
        </w:tc>
      </w:tr>
      <w:tr w:rsidR="004A6F6A" w:rsidTr="004A6F6A">
        <w:tc>
          <w:tcPr>
            <w:tcW w:w="3116" w:type="dxa"/>
          </w:tcPr>
          <w:p w:rsidR="004A6F6A" w:rsidRDefault="004A6F6A" w:rsidP="00CE22C6">
            <w:r>
              <w:t xml:space="preserve">VGLUT1 </w:t>
            </w:r>
            <w:proofErr w:type="spellStart"/>
            <w:r>
              <w:t>Rv</w:t>
            </w:r>
            <w:proofErr w:type="spellEnd"/>
          </w:p>
        </w:tc>
        <w:tc>
          <w:tcPr>
            <w:tcW w:w="3117" w:type="dxa"/>
          </w:tcPr>
          <w:p w:rsidR="004A6F6A" w:rsidRDefault="000A13E5" w:rsidP="00CE22C6">
            <w:r>
              <w:t>ACTCCGTTCTAAGGGTGGGG</w:t>
            </w:r>
          </w:p>
        </w:tc>
        <w:tc>
          <w:tcPr>
            <w:tcW w:w="3117" w:type="dxa"/>
          </w:tcPr>
          <w:p w:rsidR="004A6F6A" w:rsidRDefault="00623408" w:rsidP="00CE22C6">
            <w:r>
              <w:t>q</w:t>
            </w:r>
            <w:r w:rsidR="004A6F6A">
              <w:t>PCR</w:t>
            </w:r>
          </w:p>
        </w:tc>
      </w:tr>
      <w:tr w:rsidR="004A6F6A" w:rsidTr="004A6F6A">
        <w:tc>
          <w:tcPr>
            <w:tcW w:w="3116" w:type="dxa"/>
          </w:tcPr>
          <w:p w:rsidR="004A6F6A" w:rsidRDefault="004A6F6A" w:rsidP="00CE22C6">
            <w:r>
              <w:t xml:space="preserve">OnT (SPG11 exon1) </w:t>
            </w:r>
            <w:proofErr w:type="spellStart"/>
            <w:r>
              <w:t>Fw</w:t>
            </w:r>
            <w:proofErr w:type="spellEnd"/>
          </w:p>
        </w:tc>
        <w:tc>
          <w:tcPr>
            <w:tcW w:w="3117" w:type="dxa"/>
          </w:tcPr>
          <w:p w:rsidR="004A6F6A" w:rsidRDefault="00B7432D" w:rsidP="00CE22C6">
            <w:r w:rsidRPr="00B7432D">
              <w:t>AGCTGGACCAAGAAGGCAAA</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4A6F6A" w:rsidP="00CE22C6">
            <w:r>
              <w:t xml:space="preserve">OnT (SPG11 exon1) </w:t>
            </w:r>
            <w:proofErr w:type="spellStart"/>
            <w:r>
              <w:t>Rv</w:t>
            </w:r>
            <w:proofErr w:type="spellEnd"/>
          </w:p>
        </w:tc>
        <w:tc>
          <w:tcPr>
            <w:tcW w:w="3117" w:type="dxa"/>
          </w:tcPr>
          <w:p w:rsidR="004A6F6A" w:rsidRDefault="00B7432D" w:rsidP="00CE22C6">
            <w:r w:rsidRPr="00B7432D">
              <w:t>GAAAGAATCAGCGCCTCAGC</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4A6F6A" w:rsidP="00CE22C6">
            <w:r>
              <w:t>OffT1</w:t>
            </w:r>
            <w:r w:rsidR="00B7432D">
              <w:t xml:space="preserve"> </w:t>
            </w:r>
            <w:r>
              <w:t>(</w:t>
            </w:r>
            <w:r w:rsidR="00B7432D">
              <w:t>VWA2</w:t>
            </w:r>
            <w:r>
              <w:t xml:space="preserve">) </w:t>
            </w:r>
            <w:proofErr w:type="spellStart"/>
            <w:r>
              <w:t>Fw</w:t>
            </w:r>
            <w:proofErr w:type="spellEnd"/>
          </w:p>
        </w:tc>
        <w:tc>
          <w:tcPr>
            <w:tcW w:w="3117" w:type="dxa"/>
          </w:tcPr>
          <w:p w:rsidR="004A6F6A" w:rsidRDefault="00B7432D" w:rsidP="00CE22C6">
            <w:r w:rsidRPr="00B7432D">
              <w:t>ATGGCATTCCCTTCCGTGG</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4A6F6A" w:rsidP="00CE22C6">
            <w:r>
              <w:t>OffT1</w:t>
            </w:r>
            <w:r w:rsidR="00B7432D">
              <w:t xml:space="preserve"> </w:t>
            </w:r>
            <w:r>
              <w:t>(</w:t>
            </w:r>
            <w:r w:rsidR="00B7432D">
              <w:t>VWA2</w:t>
            </w:r>
            <w:r>
              <w:t xml:space="preserve">) </w:t>
            </w:r>
            <w:proofErr w:type="spellStart"/>
            <w:r>
              <w:t>Rv</w:t>
            </w:r>
            <w:proofErr w:type="spellEnd"/>
          </w:p>
        </w:tc>
        <w:tc>
          <w:tcPr>
            <w:tcW w:w="3117" w:type="dxa"/>
          </w:tcPr>
          <w:p w:rsidR="004A6F6A" w:rsidRDefault="00B7432D" w:rsidP="00CE22C6">
            <w:r w:rsidRPr="00B7432D">
              <w:t>CTGGTGCCTGAAAGAGTGGG</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OffT2 </w:t>
            </w:r>
            <w:r w:rsidR="004A6F6A">
              <w:t>(</w:t>
            </w:r>
            <w:r>
              <w:t>ZKSCAN2</w:t>
            </w:r>
            <w:r w:rsidR="004A6F6A">
              <w:t xml:space="preserve">) </w:t>
            </w:r>
            <w:proofErr w:type="spellStart"/>
            <w:r w:rsidR="004A6F6A">
              <w:t>Fw</w:t>
            </w:r>
            <w:proofErr w:type="spellEnd"/>
          </w:p>
        </w:tc>
        <w:tc>
          <w:tcPr>
            <w:tcW w:w="3117" w:type="dxa"/>
          </w:tcPr>
          <w:p w:rsidR="004A6F6A" w:rsidRDefault="00B7432D" w:rsidP="00CE22C6">
            <w:r w:rsidRPr="00B7432D">
              <w:t>GCACCTTACCATTTGGGCTCTG</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OffT2 </w:t>
            </w:r>
            <w:r w:rsidR="004A6F6A">
              <w:t>(</w:t>
            </w:r>
            <w:r>
              <w:t>ZKSCAN2</w:t>
            </w:r>
            <w:r w:rsidR="004A6F6A">
              <w:t xml:space="preserve">) </w:t>
            </w:r>
            <w:proofErr w:type="spellStart"/>
            <w:r w:rsidR="004A6F6A">
              <w:t>Rv</w:t>
            </w:r>
            <w:proofErr w:type="spellEnd"/>
          </w:p>
        </w:tc>
        <w:tc>
          <w:tcPr>
            <w:tcW w:w="3117" w:type="dxa"/>
          </w:tcPr>
          <w:p w:rsidR="004A6F6A" w:rsidRDefault="00B7432D" w:rsidP="00CE22C6">
            <w:r w:rsidRPr="00B7432D">
              <w:t>CAAGCCTGTCATCGGAAGAGC</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OffT3 </w:t>
            </w:r>
            <w:r w:rsidR="004A6F6A">
              <w:t>(</w:t>
            </w:r>
            <w:r>
              <w:t>CYP27A1</w:t>
            </w:r>
            <w:r w:rsidR="004A6F6A">
              <w:t xml:space="preserve">) </w:t>
            </w:r>
            <w:proofErr w:type="spellStart"/>
            <w:r w:rsidR="004A6F6A">
              <w:t>Fw</w:t>
            </w:r>
            <w:proofErr w:type="spellEnd"/>
          </w:p>
        </w:tc>
        <w:tc>
          <w:tcPr>
            <w:tcW w:w="3117" w:type="dxa"/>
          </w:tcPr>
          <w:p w:rsidR="004A6F6A" w:rsidRDefault="00B7432D" w:rsidP="00CE22C6">
            <w:r w:rsidRPr="00B7432D">
              <w:t>AAGGGAAACTGAGGCACAC</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OffT3 </w:t>
            </w:r>
            <w:r w:rsidR="004A6F6A">
              <w:t>(</w:t>
            </w:r>
            <w:r>
              <w:t>CYP27A1</w:t>
            </w:r>
            <w:r w:rsidR="004A6F6A">
              <w:t xml:space="preserve">) </w:t>
            </w:r>
            <w:proofErr w:type="spellStart"/>
            <w:r w:rsidR="004A6F6A">
              <w:t>Rv</w:t>
            </w:r>
            <w:proofErr w:type="spellEnd"/>
          </w:p>
        </w:tc>
        <w:tc>
          <w:tcPr>
            <w:tcW w:w="3117" w:type="dxa"/>
          </w:tcPr>
          <w:p w:rsidR="004A6F6A" w:rsidRDefault="00B7432D" w:rsidP="00CE22C6">
            <w:r w:rsidRPr="00B7432D">
              <w:t>GAGGAGAGGGAGCACAACCT</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OffT4 </w:t>
            </w:r>
            <w:r w:rsidR="004A6F6A">
              <w:t>(</w:t>
            </w:r>
            <w:r>
              <w:t>PLEKHG4</w:t>
            </w:r>
            <w:r w:rsidR="004A6F6A">
              <w:t xml:space="preserve">) </w:t>
            </w:r>
            <w:proofErr w:type="spellStart"/>
            <w:r w:rsidR="004A6F6A">
              <w:t>Fw</w:t>
            </w:r>
            <w:proofErr w:type="spellEnd"/>
          </w:p>
        </w:tc>
        <w:tc>
          <w:tcPr>
            <w:tcW w:w="3117" w:type="dxa"/>
          </w:tcPr>
          <w:p w:rsidR="004A6F6A" w:rsidRDefault="00B7432D" w:rsidP="00CE22C6">
            <w:r w:rsidRPr="00B7432D">
              <w:t>CCAGCGAGGAAGCCATCAAC</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OffT4 </w:t>
            </w:r>
            <w:r w:rsidR="004A6F6A">
              <w:t>(</w:t>
            </w:r>
            <w:r>
              <w:t>PLEKHG4</w:t>
            </w:r>
            <w:r w:rsidR="004A6F6A">
              <w:t xml:space="preserve">) </w:t>
            </w:r>
            <w:proofErr w:type="spellStart"/>
            <w:r w:rsidR="004A6F6A">
              <w:t>Rv</w:t>
            </w:r>
            <w:proofErr w:type="spellEnd"/>
          </w:p>
        </w:tc>
        <w:tc>
          <w:tcPr>
            <w:tcW w:w="3117" w:type="dxa"/>
          </w:tcPr>
          <w:p w:rsidR="004A6F6A" w:rsidRDefault="00B7432D" w:rsidP="00CE22C6">
            <w:r w:rsidRPr="00B7432D">
              <w:t>CAAATGGCACTCACACAGGGT</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OffT5 </w:t>
            </w:r>
            <w:r w:rsidR="004A6F6A">
              <w:t>(</w:t>
            </w:r>
            <w:r>
              <w:t>ATXN7</w:t>
            </w:r>
            <w:r w:rsidR="004A6F6A">
              <w:t xml:space="preserve">) </w:t>
            </w:r>
            <w:proofErr w:type="spellStart"/>
            <w:r w:rsidR="004A6F6A">
              <w:t>Fw</w:t>
            </w:r>
            <w:proofErr w:type="spellEnd"/>
          </w:p>
        </w:tc>
        <w:tc>
          <w:tcPr>
            <w:tcW w:w="3117" w:type="dxa"/>
          </w:tcPr>
          <w:p w:rsidR="004A6F6A" w:rsidRDefault="00B7432D" w:rsidP="00CE22C6">
            <w:r w:rsidRPr="00B7432D">
              <w:t>GCGGGAGTCGAAAGCGAAAG</w:t>
            </w:r>
          </w:p>
        </w:tc>
        <w:tc>
          <w:tcPr>
            <w:tcW w:w="3117" w:type="dxa"/>
          </w:tcPr>
          <w:p w:rsidR="004A6F6A" w:rsidRDefault="005063B4" w:rsidP="00CE22C6">
            <w:r>
              <w:t xml:space="preserve">genotyping </w:t>
            </w:r>
            <w:r w:rsidR="004A6F6A">
              <w:t>PCR</w:t>
            </w:r>
          </w:p>
        </w:tc>
      </w:tr>
      <w:tr w:rsidR="004A6F6A" w:rsidTr="004A6F6A">
        <w:tc>
          <w:tcPr>
            <w:tcW w:w="3116" w:type="dxa"/>
          </w:tcPr>
          <w:p w:rsidR="004A6F6A" w:rsidRDefault="00B7432D" w:rsidP="00CE22C6">
            <w:r>
              <w:t xml:space="preserve">OffT5 </w:t>
            </w:r>
            <w:r w:rsidR="004A6F6A">
              <w:t>(</w:t>
            </w:r>
            <w:r>
              <w:t>ATXN7</w:t>
            </w:r>
            <w:r w:rsidR="004A6F6A">
              <w:t xml:space="preserve">) </w:t>
            </w:r>
            <w:proofErr w:type="spellStart"/>
            <w:r w:rsidR="004A6F6A">
              <w:t>Rv</w:t>
            </w:r>
            <w:proofErr w:type="spellEnd"/>
          </w:p>
        </w:tc>
        <w:tc>
          <w:tcPr>
            <w:tcW w:w="3117" w:type="dxa"/>
          </w:tcPr>
          <w:p w:rsidR="004A6F6A" w:rsidRDefault="00B7432D" w:rsidP="00CE22C6">
            <w:r w:rsidRPr="00B7432D">
              <w:t>CTCAACCCACAGATTCCACGAC</w:t>
            </w:r>
          </w:p>
        </w:tc>
        <w:tc>
          <w:tcPr>
            <w:tcW w:w="3117" w:type="dxa"/>
          </w:tcPr>
          <w:p w:rsidR="004A6F6A" w:rsidRDefault="005063B4" w:rsidP="00CE22C6">
            <w:r>
              <w:t xml:space="preserve">genotyping </w:t>
            </w:r>
            <w:r w:rsidR="004A6F6A">
              <w:t>PCR</w:t>
            </w:r>
          </w:p>
        </w:tc>
      </w:tr>
    </w:tbl>
    <w:p w:rsidR="004A6F6A" w:rsidRDefault="004A6F6A" w:rsidP="00CE22C6"/>
    <w:p w:rsidR="004A6F6A" w:rsidRDefault="004A6F6A" w:rsidP="00CE22C6"/>
    <w:p w:rsidR="002E6E58" w:rsidRPr="005B60E1" w:rsidRDefault="002E6E58" w:rsidP="002E6E58">
      <w:pPr>
        <w:autoSpaceDE w:val="0"/>
        <w:autoSpaceDN w:val="0"/>
        <w:adjustRightInd w:val="0"/>
        <w:spacing w:line="276" w:lineRule="auto"/>
        <w:jc w:val="both"/>
        <w:rPr>
          <w:rFonts w:asciiTheme="majorBidi" w:hAnsiTheme="majorBidi" w:cstheme="majorBidi"/>
          <w:b/>
          <w:i/>
        </w:rPr>
      </w:pPr>
      <w:bookmarkStart w:id="0" w:name="_GoBack"/>
      <w:r w:rsidRPr="005B60E1">
        <w:rPr>
          <w:rFonts w:asciiTheme="majorBidi" w:hAnsiTheme="majorBidi" w:cstheme="majorBidi"/>
          <w:b/>
          <w:i/>
        </w:rPr>
        <w:t>Supplemental experimental procedures</w:t>
      </w:r>
    </w:p>
    <w:p w:rsidR="004A6F6A" w:rsidRPr="005B60E1" w:rsidRDefault="002E6E58" w:rsidP="00CE22C6">
      <w:pPr>
        <w:rPr>
          <w:rFonts w:asciiTheme="majorBidi" w:hAnsiTheme="majorBidi" w:cstheme="majorBidi"/>
        </w:rPr>
      </w:pPr>
      <w:r w:rsidRPr="005B60E1">
        <w:rPr>
          <w:rFonts w:asciiTheme="majorBidi" w:hAnsiTheme="majorBidi" w:cstheme="majorBidi"/>
        </w:rPr>
        <w:t>Western blot</w:t>
      </w:r>
    </w:p>
    <w:p w:rsidR="002E6E58" w:rsidRPr="005B60E1" w:rsidRDefault="002E6E58" w:rsidP="002E6E58">
      <w:pPr>
        <w:spacing w:line="276" w:lineRule="auto"/>
        <w:jc w:val="both"/>
        <w:outlineLvl w:val="0"/>
        <w:rPr>
          <w:rFonts w:asciiTheme="majorBidi" w:hAnsiTheme="majorBidi" w:cstheme="majorBidi"/>
          <w:i/>
        </w:rPr>
      </w:pPr>
      <w:r w:rsidRPr="005B60E1">
        <w:rPr>
          <w:rFonts w:asciiTheme="majorBidi" w:hAnsiTheme="majorBidi" w:cstheme="majorBidi"/>
          <w:i/>
        </w:rPr>
        <w:t>Protein sample preparation</w:t>
      </w:r>
    </w:p>
    <w:p w:rsidR="002E6E58" w:rsidRPr="005B60E1" w:rsidRDefault="002E6E58" w:rsidP="00C15578">
      <w:pPr>
        <w:spacing w:line="276" w:lineRule="auto"/>
        <w:jc w:val="both"/>
        <w:rPr>
          <w:rFonts w:asciiTheme="majorBidi" w:hAnsiTheme="majorBidi" w:cstheme="majorBidi"/>
        </w:rPr>
      </w:pPr>
      <w:r w:rsidRPr="005B60E1">
        <w:rPr>
          <w:rFonts w:asciiTheme="majorBidi" w:hAnsiTheme="majorBidi" w:cstheme="majorBidi"/>
        </w:rPr>
        <w:t xml:space="preserve">The cells were harvested on ice and </w:t>
      </w:r>
      <w:proofErr w:type="spellStart"/>
      <w:r w:rsidRPr="005B60E1">
        <w:rPr>
          <w:rFonts w:asciiTheme="majorBidi" w:hAnsiTheme="majorBidi" w:cstheme="majorBidi"/>
        </w:rPr>
        <w:t>resuspended</w:t>
      </w:r>
      <w:proofErr w:type="spellEnd"/>
      <w:r w:rsidRPr="005B60E1">
        <w:rPr>
          <w:rFonts w:asciiTheme="majorBidi" w:hAnsiTheme="majorBidi" w:cstheme="majorBidi"/>
        </w:rPr>
        <w:t xml:space="preserve"> in TSE buffer (</w:t>
      </w:r>
      <w:proofErr w:type="spellStart"/>
      <w:r w:rsidR="002048D4" w:rsidRPr="005B60E1">
        <w:rPr>
          <w:rFonts w:asciiTheme="majorBidi" w:hAnsiTheme="majorBidi" w:cstheme="majorBidi"/>
        </w:rPr>
        <w:t>Tris</w:t>
      </w:r>
      <w:proofErr w:type="spellEnd"/>
      <w:r w:rsidR="002048D4" w:rsidRPr="005B60E1">
        <w:rPr>
          <w:rFonts w:asciiTheme="majorBidi" w:hAnsiTheme="majorBidi" w:cstheme="majorBidi"/>
        </w:rPr>
        <w:t xml:space="preserve"> 1M </w:t>
      </w:r>
      <w:proofErr w:type="spellStart"/>
      <w:r w:rsidR="002048D4" w:rsidRPr="005B60E1">
        <w:rPr>
          <w:rFonts w:asciiTheme="majorBidi" w:hAnsiTheme="majorBidi" w:cstheme="majorBidi"/>
        </w:rPr>
        <w:t>Tris</w:t>
      </w:r>
      <w:proofErr w:type="spellEnd"/>
      <w:proofErr w:type="gramStart"/>
      <w:r w:rsidR="002048D4" w:rsidRPr="005B60E1">
        <w:rPr>
          <w:rFonts w:asciiTheme="majorBidi" w:hAnsiTheme="majorBidi" w:cstheme="majorBidi"/>
        </w:rPr>
        <w:t>,  EDTA</w:t>
      </w:r>
      <w:proofErr w:type="gramEnd"/>
      <w:r w:rsidR="002048D4" w:rsidRPr="005B60E1">
        <w:rPr>
          <w:rFonts w:asciiTheme="majorBidi" w:hAnsiTheme="majorBidi" w:cstheme="majorBidi"/>
        </w:rPr>
        <w:t xml:space="preserve"> 0.5M,  </w:t>
      </w:r>
      <w:proofErr w:type="spellStart"/>
      <w:r w:rsidR="002048D4" w:rsidRPr="005B60E1">
        <w:rPr>
          <w:rFonts w:asciiTheme="majorBidi" w:hAnsiTheme="majorBidi" w:cstheme="majorBidi"/>
        </w:rPr>
        <w:t>NaCl</w:t>
      </w:r>
      <w:proofErr w:type="spellEnd"/>
      <w:r w:rsidR="002048D4" w:rsidRPr="005B60E1">
        <w:rPr>
          <w:rFonts w:asciiTheme="majorBidi" w:hAnsiTheme="majorBidi" w:cstheme="majorBidi"/>
        </w:rPr>
        <w:t xml:space="preserve"> 2M</w:t>
      </w:r>
      <w:r w:rsidRPr="005B60E1">
        <w:rPr>
          <w:rFonts w:asciiTheme="majorBidi" w:hAnsiTheme="majorBidi" w:cstheme="majorBidi"/>
          <w:vertAlign w:val="subscript"/>
        </w:rPr>
        <w:t xml:space="preserve"> </w:t>
      </w:r>
      <w:r w:rsidRPr="005B60E1">
        <w:rPr>
          <w:rFonts w:asciiTheme="majorBidi" w:hAnsiTheme="majorBidi" w:cstheme="majorBidi"/>
        </w:rPr>
        <w:t xml:space="preserve">) supplemented with phosphatase and protease </w:t>
      </w:r>
      <w:r w:rsidR="002048D4" w:rsidRPr="005B60E1">
        <w:rPr>
          <w:rFonts w:asciiTheme="majorBidi" w:hAnsiTheme="majorBidi" w:cstheme="majorBidi"/>
        </w:rPr>
        <w:t>inhibitors), the cells were sonicated at 65%</w:t>
      </w:r>
      <w:r w:rsidR="00C15578" w:rsidRPr="005B60E1">
        <w:rPr>
          <w:rFonts w:asciiTheme="majorBidi" w:hAnsiTheme="majorBidi" w:cstheme="majorBidi"/>
        </w:rPr>
        <w:t xml:space="preserve"> amplitud</w:t>
      </w:r>
      <w:r w:rsidR="00D440A1" w:rsidRPr="005B60E1">
        <w:rPr>
          <w:rFonts w:asciiTheme="majorBidi" w:hAnsiTheme="majorBidi" w:cstheme="majorBidi"/>
        </w:rPr>
        <w:t xml:space="preserve">e </w:t>
      </w:r>
      <w:r w:rsidR="00C15578" w:rsidRPr="005B60E1">
        <w:rPr>
          <w:rFonts w:asciiTheme="majorBidi" w:hAnsiTheme="majorBidi" w:cstheme="majorBidi"/>
        </w:rPr>
        <w:t xml:space="preserve">5 cycles of 30 seconds. Following an addition of Triton to an end concentration of 1%, the cells were incubated on ice for 30 minutes. Afterwards, the homogenates were </w:t>
      </w:r>
      <w:proofErr w:type="spellStart"/>
      <w:r w:rsidR="00C15578" w:rsidRPr="005B60E1">
        <w:rPr>
          <w:rFonts w:asciiTheme="majorBidi" w:hAnsiTheme="majorBidi" w:cstheme="majorBidi"/>
        </w:rPr>
        <w:t>centrifugated</w:t>
      </w:r>
      <w:proofErr w:type="spellEnd"/>
      <w:r w:rsidR="00C15578" w:rsidRPr="005B60E1">
        <w:rPr>
          <w:rFonts w:asciiTheme="majorBidi" w:hAnsiTheme="majorBidi" w:cstheme="majorBidi"/>
        </w:rPr>
        <w:t xml:space="preserve"> at 14,000 rpm for 10 minutes at 4</w:t>
      </w:r>
      <w:r w:rsidR="00C15578" w:rsidRPr="005B60E1">
        <w:rPr>
          <w:rFonts w:asciiTheme="majorBidi" w:hAnsiTheme="majorBidi" w:cstheme="majorBidi"/>
          <w:vertAlign w:val="superscript"/>
        </w:rPr>
        <w:t>0</w:t>
      </w:r>
      <w:r w:rsidR="00C15578" w:rsidRPr="005B60E1">
        <w:rPr>
          <w:rFonts w:asciiTheme="majorBidi" w:hAnsiTheme="majorBidi" w:cstheme="majorBidi"/>
        </w:rPr>
        <w:t xml:space="preserve">C.  For immunoblotting, </w:t>
      </w:r>
      <w:r w:rsidRPr="005B60E1">
        <w:rPr>
          <w:rFonts w:asciiTheme="majorBidi" w:hAnsiTheme="majorBidi" w:cstheme="majorBidi"/>
        </w:rPr>
        <w:t>30 µg to protein was separated by SDS-PAGE and blotted on PVDF membrane</w:t>
      </w:r>
      <w:r w:rsidR="00C15578" w:rsidRPr="005B60E1">
        <w:rPr>
          <w:rFonts w:asciiTheme="majorBidi" w:hAnsiTheme="majorBidi" w:cstheme="majorBidi"/>
        </w:rPr>
        <w:t xml:space="preserve">. Primary anti-SPG11 antibody (1:500, </w:t>
      </w:r>
      <w:proofErr w:type="spellStart"/>
      <w:r w:rsidR="00C15578" w:rsidRPr="005B60E1">
        <w:rPr>
          <w:rFonts w:asciiTheme="majorBidi" w:hAnsiTheme="majorBidi" w:cstheme="majorBidi"/>
        </w:rPr>
        <w:t>Proteintech</w:t>
      </w:r>
      <w:proofErr w:type="spellEnd"/>
      <w:r w:rsidR="00C15578" w:rsidRPr="005B60E1">
        <w:rPr>
          <w:rFonts w:asciiTheme="majorBidi" w:hAnsiTheme="majorBidi" w:cstheme="majorBidi"/>
        </w:rPr>
        <w:t>)</w:t>
      </w:r>
      <w:r w:rsidRPr="005B60E1">
        <w:rPr>
          <w:rFonts w:asciiTheme="majorBidi" w:hAnsiTheme="majorBidi" w:cstheme="majorBidi"/>
        </w:rPr>
        <w:t xml:space="preserve"> </w:t>
      </w:r>
      <w:r w:rsidR="00C15578" w:rsidRPr="005B60E1">
        <w:rPr>
          <w:rFonts w:asciiTheme="majorBidi" w:hAnsiTheme="majorBidi" w:cstheme="majorBidi"/>
        </w:rPr>
        <w:t xml:space="preserve">was incubated at 4ºC over-night </w:t>
      </w:r>
      <w:r w:rsidRPr="005B60E1">
        <w:rPr>
          <w:rFonts w:asciiTheme="majorBidi" w:hAnsiTheme="majorBidi" w:cstheme="majorBidi"/>
        </w:rPr>
        <w:t xml:space="preserve">in </w:t>
      </w:r>
      <w:proofErr w:type="spellStart"/>
      <w:r w:rsidRPr="005B60E1">
        <w:rPr>
          <w:rFonts w:asciiTheme="majorBidi" w:hAnsiTheme="majorBidi" w:cstheme="majorBidi"/>
        </w:rPr>
        <w:t>Tris</w:t>
      </w:r>
      <w:proofErr w:type="spellEnd"/>
      <w:r w:rsidRPr="005B60E1">
        <w:rPr>
          <w:rFonts w:asciiTheme="majorBidi" w:hAnsiTheme="majorBidi" w:cstheme="majorBidi"/>
        </w:rPr>
        <w:t xml:space="preserve"> buffered saline and 0.1 % Tween-20 supplemented with</w:t>
      </w:r>
      <w:r w:rsidR="00C15578" w:rsidRPr="005B60E1">
        <w:rPr>
          <w:rFonts w:asciiTheme="majorBidi" w:hAnsiTheme="majorBidi" w:cstheme="majorBidi"/>
        </w:rPr>
        <w:t xml:space="preserve"> 3 % bovine serum albumin. The</w:t>
      </w:r>
      <w:r w:rsidR="005063B4" w:rsidRPr="005B60E1">
        <w:rPr>
          <w:rFonts w:asciiTheme="majorBidi" w:hAnsiTheme="majorBidi" w:cstheme="majorBidi"/>
        </w:rPr>
        <w:t xml:space="preserve"> blots were then incubated with</w:t>
      </w:r>
      <w:r w:rsidRPr="005B60E1">
        <w:rPr>
          <w:rFonts w:asciiTheme="majorBidi" w:hAnsiTheme="majorBidi" w:cstheme="majorBidi"/>
        </w:rPr>
        <w:t xml:space="preserve"> secondary antibodies conjugated to horseradish peroxidase and </w:t>
      </w:r>
      <w:r w:rsidR="00C15578" w:rsidRPr="005B60E1">
        <w:rPr>
          <w:rFonts w:asciiTheme="majorBidi" w:hAnsiTheme="majorBidi" w:cstheme="majorBidi"/>
        </w:rPr>
        <w:t xml:space="preserve">subsequently </w:t>
      </w:r>
      <w:r w:rsidRPr="005B60E1">
        <w:rPr>
          <w:rFonts w:asciiTheme="majorBidi" w:hAnsiTheme="majorBidi" w:cstheme="majorBidi"/>
        </w:rPr>
        <w:t>developed by chemical luminescence.</w:t>
      </w:r>
    </w:p>
    <w:p w:rsidR="002E6E58" w:rsidRPr="005B60E1" w:rsidRDefault="002E6E58" w:rsidP="00CE22C6">
      <w:pPr>
        <w:rPr>
          <w:rFonts w:asciiTheme="majorBidi" w:hAnsiTheme="majorBidi" w:cstheme="majorBidi"/>
        </w:rPr>
      </w:pPr>
    </w:p>
    <w:bookmarkEnd w:id="0"/>
    <w:p w:rsidR="004A6F6A" w:rsidRDefault="004A6F6A" w:rsidP="00CE22C6"/>
    <w:p w:rsidR="004A6F6A" w:rsidRDefault="004A6F6A" w:rsidP="00CE22C6"/>
    <w:p w:rsidR="004A6F6A" w:rsidRDefault="004A6F6A" w:rsidP="00CE22C6"/>
    <w:p w:rsidR="004A6F6A" w:rsidRDefault="004A6F6A" w:rsidP="00CE22C6"/>
    <w:p w:rsidR="004A6F6A" w:rsidRDefault="004A6F6A" w:rsidP="00CE22C6"/>
    <w:sectPr w:rsidR="004A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31"/>
    <w:rsid w:val="000A0F72"/>
    <w:rsid w:val="000A13E5"/>
    <w:rsid w:val="001F4051"/>
    <w:rsid w:val="002048D4"/>
    <w:rsid w:val="002E6E58"/>
    <w:rsid w:val="004A6F6A"/>
    <w:rsid w:val="005063B4"/>
    <w:rsid w:val="005B60E1"/>
    <w:rsid w:val="00623408"/>
    <w:rsid w:val="00630EE6"/>
    <w:rsid w:val="006760CB"/>
    <w:rsid w:val="0074768B"/>
    <w:rsid w:val="007D6A18"/>
    <w:rsid w:val="00864ADA"/>
    <w:rsid w:val="009958B9"/>
    <w:rsid w:val="009965EF"/>
    <w:rsid w:val="00A21031"/>
    <w:rsid w:val="00A62EB6"/>
    <w:rsid w:val="00A73A9B"/>
    <w:rsid w:val="00AA4F64"/>
    <w:rsid w:val="00AB52E2"/>
    <w:rsid w:val="00B40C24"/>
    <w:rsid w:val="00B7432D"/>
    <w:rsid w:val="00B81726"/>
    <w:rsid w:val="00B93AE7"/>
    <w:rsid w:val="00C15578"/>
    <w:rsid w:val="00CE22C6"/>
    <w:rsid w:val="00CE34C7"/>
    <w:rsid w:val="00D04405"/>
    <w:rsid w:val="00D440A1"/>
    <w:rsid w:val="00DA4A75"/>
    <w:rsid w:val="00E16337"/>
    <w:rsid w:val="00F56AD7"/>
    <w:rsid w:val="00FB05EA"/>
    <w:rsid w:val="00FE2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CFEF-EAD1-4514-8EDD-CB97B64F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3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B52E2"/>
    <w:rPr>
      <w:color w:val="0563C1" w:themeColor="hyperlink"/>
      <w:u w:val="single"/>
    </w:rPr>
  </w:style>
  <w:style w:type="table" w:styleId="TableGrid">
    <w:name w:val="Table Grid"/>
    <w:basedOn w:val="TableNormal"/>
    <w:uiPriority w:val="39"/>
    <w:rsid w:val="004A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technelysium.com.au/wp/chromas/" TargetMode="External"/><Relationship Id="rId4" Type="http://schemas.openxmlformats.org/officeDocument/2006/relationships/image" Target="media/image1.png"/><Relationship Id="rId9" Type="http://schemas.openxmlformats.org/officeDocument/2006/relationships/hyperlink" Target="http://crispor.tef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Pk</dc:creator>
  <cp:keywords/>
  <dc:description/>
  <cp:lastModifiedBy>Tanya Pk</cp:lastModifiedBy>
  <cp:revision>3</cp:revision>
  <dcterms:created xsi:type="dcterms:W3CDTF">2018-10-25T16:49:00Z</dcterms:created>
  <dcterms:modified xsi:type="dcterms:W3CDTF">2018-10-30T06:10:00Z</dcterms:modified>
</cp:coreProperties>
</file>