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D69" w:rsidRDefault="002B0D69" w:rsidP="00A900D9">
      <w:pPr>
        <w:pStyle w:val="MDPI11articletype"/>
      </w:pPr>
    </w:p>
    <w:p w:rsidR="002B0D69" w:rsidRPr="002B0D69" w:rsidRDefault="002B0D69" w:rsidP="002B0D69">
      <w:pPr>
        <w:pStyle w:val="MDPI11articletype"/>
        <w:pBdr>
          <w:top w:val="single" w:sz="4" w:space="1" w:color="auto"/>
          <w:bottom w:val="single" w:sz="4" w:space="1" w:color="auto"/>
        </w:pBdr>
        <w:jc w:val="center"/>
        <w:rPr>
          <w:b/>
          <w:i w:val="0"/>
          <w:sz w:val="32"/>
          <w:szCs w:val="32"/>
        </w:rPr>
      </w:pPr>
      <w:r w:rsidRPr="002B0D69">
        <w:rPr>
          <w:b/>
          <w:i w:val="0"/>
          <w:sz w:val="32"/>
          <w:szCs w:val="32"/>
        </w:rPr>
        <w:t>This is a written version of a keynote talk delivered at PRISEAL, Research and Practice: Moving Forward</w:t>
      </w:r>
      <w:r w:rsidRPr="002B0D69">
        <w:rPr>
          <w:sz w:val="32"/>
          <w:szCs w:val="32"/>
        </w:rPr>
        <w:t xml:space="preserve"> </w:t>
      </w:r>
    </w:p>
    <w:p w:rsidR="002B0D69" w:rsidRPr="002B0D69" w:rsidRDefault="002B0D69" w:rsidP="002B0D69">
      <w:pPr>
        <w:pStyle w:val="MDPI11articletype"/>
        <w:pBdr>
          <w:top w:val="single" w:sz="4" w:space="1" w:color="auto"/>
          <w:bottom w:val="single" w:sz="4" w:space="1" w:color="auto"/>
        </w:pBdr>
        <w:jc w:val="center"/>
        <w:rPr>
          <w:b/>
          <w:i w:val="0"/>
          <w:sz w:val="32"/>
          <w:szCs w:val="32"/>
        </w:rPr>
      </w:pPr>
      <w:r w:rsidRPr="002B0D69">
        <w:rPr>
          <w:b/>
          <w:i w:val="0"/>
          <w:sz w:val="32"/>
          <w:szCs w:val="32"/>
        </w:rPr>
        <w:t>Reykjavik, Iceland, 14 - 16 September, 2018</w:t>
      </w:r>
    </w:p>
    <w:p w:rsidR="002B0D69" w:rsidRDefault="002B0D69" w:rsidP="002B0D69">
      <w:pPr>
        <w:pStyle w:val="MDPI12title"/>
        <w:pBdr>
          <w:top w:val="single" w:sz="4" w:space="1" w:color="auto"/>
          <w:bottom w:val="single" w:sz="4" w:space="1" w:color="auto"/>
        </w:pBdr>
      </w:pPr>
    </w:p>
    <w:p w:rsidR="002B0D69" w:rsidRPr="002B0D69" w:rsidRDefault="002B0D69" w:rsidP="002B0D69">
      <w:pPr>
        <w:pStyle w:val="MDPI12title"/>
        <w:pBdr>
          <w:top w:val="single" w:sz="4" w:space="1" w:color="auto"/>
          <w:bottom w:val="single" w:sz="4" w:space="1" w:color="auto"/>
        </w:pBdr>
        <w:jc w:val="center"/>
        <w:rPr>
          <w:sz w:val="32"/>
          <w:szCs w:val="32"/>
        </w:rPr>
      </w:pPr>
      <w:bookmarkStart w:id="0" w:name="_GoBack"/>
      <w:bookmarkEnd w:id="0"/>
      <w:r w:rsidRPr="002B0D69">
        <w:rPr>
          <w:sz w:val="32"/>
          <w:szCs w:val="32"/>
        </w:rPr>
        <w:t>Comments welcome</w:t>
      </w:r>
    </w:p>
    <w:p w:rsidR="002B0D69" w:rsidRDefault="002B0D69" w:rsidP="00A900D9">
      <w:pPr>
        <w:pStyle w:val="MDPI11articletype"/>
      </w:pPr>
    </w:p>
    <w:p w:rsidR="00A900D9" w:rsidRPr="00501982" w:rsidRDefault="00742050" w:rsidP="00742050">
      <w:pPr>
        <w:pStyle w:val="MDPI12title"/>
        <w:tabs>
          <w:tab w:val="left" w:pos="2687"/>
        </w:tabs>
        <w:spacing w:line="240" w:lineRule="atLeast"/>
      </w:pPr>
      <w:r>
        <w:t xml:space="preserve">On equity, disadvantage and </w:t>
      </w:r>
      <w:r w:rsidR="008F4269">
        <w:t>‘</w:t>
      </w:r>
      <w:r>
        <w:t xml:space="preserve">non-nativeness’ as a </w:t>
      </w:r>
      <w:r w:rsidR="00B941C2">
        <w:t>red herring.</w:t>
      </w:r>
    </w:p>
    <w:p w:rsidR="00A900D9" w:rsidRPr="00501982" w:rsidRDefault="00742050" w:rsidP="00A900D9">
      <w:pPr>
        <w:pStyle w:val="MDPI13authornames"/>
      </w:pPr>
      <w:r>
        <w:t>Anna Kristina Hultgren</w:t>
      </w:r>
      <w:r w:rsidR="00A900D9" w:rsidRPr="00501982">
        <w:t xml:space="preserve"> </w:t>
      </w:r>
      <w:r w:rsidR="00A900D9" w:rsidRPr="00501982">
        <w:rPr>
          <w:vertAlign w:val="superscript"/>
        </w:rPr>
        <w:t>1</w:t>
      </w:r>
    </w:p>
    <w:p w:rsidR="00A900D9" w:rsidRPr="00501982" w:rsidRDefault="00A900D9" w:rsidP="00742050">
      <w:pPr>
        <w:pStyle w:val="MDPI16affiliation"/>
      </w:pPr>
      <w:r w:rsidRPr="00501982">
        <w:rPr>
          <w:vertAlign w:val="superscript"/>
        </w:rPr>
        <w:t>1</w:t>
      </w:r>
      <w:r w:rsidRPr="00501982">
        <w:tab/>
      </w:r>
      <w:r w:rsidR="00742050">
        <w:t>The Open University; kristina.hultgren@e-mail.com</w:t>
      </w:r>
    </w:p>
    <w:p w:rsidR="00A900D9" w:rsidRPr="00501982" w:rsidRDefault="00A900D9" w:rsidP="00A900D9">
      <w:pPr>
        <w:pStyle w:val="MDPI14history"/>
        <w:spacing w:before="0"/>
        <w:ind w:left="311" w:hanging="198"/>
      </w:pPr>
      <w:r w:rsidRPr="00501982">
        <w:rPr>
          <w:b/>
        </w:rPr>
        <w:t>*</w:t>
      </w:r>
      <w:r w:rsidRPr="00501982">
        <w:tab/>
        <w:t xml:space="preserve">Correspondence: </w:t>
      </w:r>
      <w:r w:rsidR="00742050">
        <w:t>kristina.hultgren@</w:t>
      </w:r>
      <w:r w:rsidR="000675C0">
        <w:t>open.ac.uk</w:t>
      </w:r>
    </w:p>
    <w:p w:rsidR="00A900D9" w:rsidRPr="00501982" w:rsidRDefault="00A900D9" w:rsidP="00A900D9">
      <w:pPr>
        <w:pStyle w:val="MDPI14history"/>
      </w:pPr>
      <w:r w:rsidRPr="00501982">
        <w:t>Received: date; Accepted: date; Published: date</w:t>
      </w:r>
    </w:p>
    <w:p w:rsidR="00A900D9" w:rsidRPr="00501982" w:rsidRDefault="00A900D9" w:rsidP="00A900D9">
      <w:pPr>
        <w:pStyle w:val="MDPI17abstract"/>
        <w:rPr>
          <w:color w:val="auto"/>
        </w:rPr>
      </w:pPr>
      <w:r w:rsidRPr="00501982">
        <w:rPr>
          <w:b/>
        </w:rPr>
        <w:t xml:space="preserve">Abstract: </w:t>
      </w:r>
      <w:r w:rsidR="00742050">
        <w:t xml:space="preserve">Within the fields of English for Academic Purposes (EAP) and English for Research Publication Purposes (ERPP), there is an unquestioned orthodoxy that scholars with English as an Additional Language (EAL) are particularly disadvantaged by the pressure to publish in English (though see Kuteeva 2015 and debate between Hyland 2016a, 2016b and Politzer-Ahlesa et al. 2016). In this paper, </w:t>
      </w:r>
      <w:r w:rsidR="00482D2A">
        <w:t xml:space="preserve">I </w:t>
      </w:r>
      <w:r w:rsidR="00742050">
        <w:t>challenge this orthodoxy, raising questions about the evidence upon which it is based. Within a framework o</w:t>
      </w:r>
      <w:r w:rsidR="008D0422">
        <w:t>f ‘verbal hygiene’ (Cameron 1995</w:t>
      </w:r>
      <w:r w:rsidR="00742050">
        <w:t>, 2012), I will argue that the attention accorded to ‘non-nativeness’ may be disproportionate to its significance for publication success. I conclude by proposing some reorientations for researchers and practitioners in the field</w:t>
      </w:r>
      <w:r w:rsidR="00D415B1">
        <w:t xml:space="preserve"> that centre on broadening the scope to encompass non-linguistic structures of inequity</w:t>
      </w:r>
      <w:r w:rsidR="00742050">
        <w:t xml:space="preserve">. </w:t>
      </w:r>
    </w:p>
    <w:p w:rsidR="00A900D9" w:rsidRPr="00501982" w:rsidRDefault="00A900D9" w:rsidP="00A900D9">
      <w:pPr>
        <w:pStyle w:val="MDPI18keywords"/>
      </w:pPr>
      <w:r w:rsidRPr="00501982">
        <w:rPr>
          <w:b/>
        </w:rPr>
        <w:t xml:space="preserve">Keywords: </w:t>
      </w:r>
      <w:r w:rsidR="00742050">
        <w:t>EAL disadvantage</w:t>
      </w:r>
      <w:r w:rsidR="00482D2A">
        <w:t>; non-nativeness as a red herring; verbal hygiene; field reorientations</w:t>
      </w:r>
    </w:p>
    <w:p w:rsidR="00A900D9" w:rsidRPr="00501982" w:rsidRDefault="00A900D9" w:rsidP="00A900D9">
      <w:pPr>
        <w:pStyle w:val="MDPI19line"/>
      </w:pPr>
    </w:p>
    <w:p w:rsidR="00A900D9" w:rsidRPr="00501982" w:rsidRDefault="00A900D9" w:rsidP="00A900D9">
      <w:pPr>
        <w:pStyle w:val="MDPI31text"/>
        <w:rPr>
          <w:lang w:eastAsia="zh-CN"/>
        </w:rPr>
      </w:pPr>
    </w:p>
    <w:p w:rsidR="00A900D9" w:rsidRPr="00501982" w:rsidRDefault="00A900D9" w:rsidP="00A900D9">
      <w:pPr>
        <w:pStyle w:val="MDPI21heading1"/>
      </w:pPr>
      <w:r w:rsidRPr="00501982">
        <w:rPr>
          <w:lang w:eastAsia="zh-CN"/>
        </w:rPr>
        <w:t xml:space="preserve">1. </w:t>
      </w:r>
      <w:r w:rsidRPr="00501982">
        <w:t>Introduction</w:t>
      </w:r>
    </w:p>
    <w:p w:rsidR="00D415B1" w:rsidRDefault="00987A54" w:rsidP="00177700">
      <w:pPr>
        <w:pStyle w:val="MDPI31text"/>
      </w:pPr>
      <w:bookmarkStart w:id="1" w:name="OLE_LINK1"/>
      <w:bookmarkStart w:id="2" w:name="OLE_LINK2"/>
      <w:r>
        <w:t xml:space="preserve">The ubiquity of </w:t>
      </w:r>
      <w:r w:rsidR="008F4269">
        <w:t xml:space="preserve">English </w:t>
      </w:r>
      <w:r>
        <w:t>as</w:t>
      </w:r>
      <w:r w:rsidR="008F4269">
        <w:t xml:space="preserve"> the language of science and academia</w:t>
      </w:r>
      <w:r>
        <w:t xml:space="preserve"> </w:t>
      </w:r>
      <w:r w:rsidR="008D0422">
        <w:t>is</w:t>
      </w:r>
      <w:r>
        <w:t xml:space="preserve"> indisputable</w:t>
      </w:r>
      <w:r w:rsidR="008F4269">
        <w:t xml:space="preserve">. But to what extent are those who don’t have English as </w:t>
      </w:r>
      <w:r w:rsidR="008D0422">
        <w:t>their</w:t>
      </w:r>
      <w:r w:rsidR="008F4269">
        <w:t xml:space="preserve"> ‘mother tongue’ (and I use this word advisedly) disadvantaged by this? This is a question that has preoccupied researchers and practitioners in EAP (English for Academic Purposes) and ERPP (English for Research Publication Purposes) for some time. </w:t>
      </w:r>
      <w:r>
        <w:t xml:space="preserve">As Kuteeva and Mauranen put it: ‘To date, most of the research has focused on the “centre” versus “periphery” dichotomy […] and the challenges that non-anglophone researchers face when they try to publish their research </w:t>
      </w:r>
      <w:r w:rsidR="008D0422">
        <w:t>in English-medium journals (2013</w:t>
      </w:r>
      <w:r>
        <w:t xml:space="preserve">: 1). </w:t>
      </w:r>
      <w:r w:rsidR="008F4269">
        <w:t xml:space="preserve">Indeed, the acronym </w:t>
      </w:r>
      <w:r w:rsidR="009032E6">
        <w:t xml:space="preserve">behind </w:t>
      </w:r>
      <w:r w:rsidR="008F4269">
        <w:t>‘PRISEAL’</w:t>
      </w:r>
      <w:r w:rsidR="009032E6">
        <w:t xml:space="preserve"> (Publishing and Presenting Research Internationally: Issues for Speakers of English as an Additional Language)</w:t>
      </w:r>
      <w:r w:rsidR="008F4269">
        <w:t>,</w:t>
      </w:r>
      <w:r w:rsidR="009032E6">
        <w:t xml:space="preserve"> the conference which hosted many of the papers collected in these proceedings, </w:t>
      </w:r>
      <w:r w:rsidR="00752547">
        <w:t>rests on</w:t>
      </w:r>
      <w:r w:rsidR="008F4269">
        <w:t xml:space="preserve"> an assumption that there are certain issues with publishing and presenting research internationally that are specific to speakers of Eng</w:t>
      </w:r>
      <w:r w:rsidR="009032E6">
        <w:t>lis</w:t>
      </w:r>
      <w:r w:rsidR="00D415B1">
        <w:t>h as an additional language.</w:t>
      </w:r>
    </w:p>
    <w:p w:rsidR="008F4269" w:rsidRDefault="00DE5FC9" w:rsidP="00177700">
      <w:pPr>
        <w:pStyle w:val="MDPI31text"/>
      </w:pPr>
      <w:r>
        <w:lastRenderedPageBreak/>
        <w:t>Although the field has made a deliberate attempt to move away from a deficit view of non-native</w:t>
      </w:r>
      <w:r w:rsidR="00987A54">
        <w:t xml:space="preserve"> English</w:t>
      </w:r>
      <w:r>
        <w:t xml:space="preserve"> </w:t>
      </w:r>
      <w:r w:rsidR="00987A54">
        <w:t>research writers</w:t>
      </w:r>
      <w:r>
        <w:t>, signaled</w:t>
      </w:r>
      <w:r w:rsidR="00987A54">
        <w:t xml:space="preserve"> partly</w:t>
      </w:r>
      <w:r>
        <w:t xml:space="preserve"> </w:t>
      </w:r>
      <w:r w:rsidR="00987A54">
        <w:t>through</w:t>
      </w:r>
      <w:r>
        <w:t xml:space="preserve"> a </w:t>
      </w:r>
      <w:r w:rsidR="00987A54">
        <w:t>broadening of terms used to refer to this</w:t>
      </w:r>
      <w:r w:rsidR="008D0422">
        <w:t xml:space="preserve"> group of individuals, such as ‘</w:t>
      </w:r>
      <w:r>
        <w:t>EAL writers</w:t>
      </w:r>
      <w:r w:rsidR="008D0422">
        <w:t>’</w:t>
      </w:r>
      <w:r>
        <w:t>,</w:t>
      </w:r>
      <w:r w:rsidR="00987A54">
        <w:t xml:space="preserve"> </w:t>
      </w:r>
      <w:r w:rsidR="008D0422">
        <w:t>‘</w:t>
      </w:r>
      <w:r w:rsidR="00987A54">
        <w:t>non-anglophone scholars</w:t>
      </w:r>
      <w:r w:rsidR="008D0422">
        <w:t>’</w:t>
      </w:r>
      <w:r w:rsidR="00987A54">
        <w:t>,</w:t>
      </w:r>
      <w:r>
        <w:t xml:space="preserve"> </w:t>
      </w:r>
      <w:r w:rsidR="008D0422">
        <w:t>‘</w:t>
      </w:r>
      <w:r w:rsidR="00987A54">
        <w:t>second language research writers</w:t>
      </w:r>
      <w:r w:rsidR="008D0422">
        <w:t>’</w:t>
      </w:r>
      <w:r w:rsidR="00987A54">
        <w:t xml:space="preserve"> and</w:t>
      </w:r>
      <w:r>
        <w:t xml:space="preserve"> </w:t>
      </w:r>
      <w:r w:rsidR="008D0422">
        <w:t>‘</w:t>
      </w:r>
      <w:r>
        <w:t>m</w:t>
      </w:r>
      <w:r w:rsidR="00987A54">
        <w:t>ultilingual scholars</w:t>
      </w:r>
      <w:r w:rsidR="008D0422">
        <w:t>’</w:t>
      </w:r>
      <w:r w:rsidR="00987A54">
        <w:t xml:space="preserve">, the extent to which the field has truly managed to </w:t>
      </w:r>
      <w:r w:rsidR="00A34F1C">
        <w:t xml:space="preserve">shed its </w:t>
      </w:r>
      <w:r w:rsidR="00987A54">
        <w:t>deficit heritage can arguably be calle</w:t>
      </w:r>
      <w:r w:rsidR="00D415B1">
        <w:t>d into question. As Hyland recently noted</w:t>
      </w:r>
      <w:r w:rsidR="00987A54">
        <w:t>, the</w:t>
      </w:r>
      <w:r w:rsidR="00A34F1C">
        <w:t xml:space="preserve"> field is characterized by </w:t>
      </w:r>
      <w:r w:rsidR="00987A54">
        <w:t>a ‘pervasive view which asserts that EAL [English as an Additional Language] scholars are disadvantaged in the cut-throat competitive world of academic publishing by virtue of their status as</w:t>
      </w:r>
      <w:r w:rsidR="00D415B1">
        <w:t xml:space="preserve"> second language writers’ (</w:t>
      </w:r>
      <w:r w:rsidR="00987A54">
        <w:t>2016</w:t>
      </w:r>
      <w:r w:rsidR="008D0422">
        <w:t>a</w:t>
      </w:r>
      <w:r w:rsidR="00987A54">
        <w:t xml:space="preserve">: 66). </w:t>
      </w:r>
      <w:r w:rsidR="008F4269">
        <w:t xml:space="preserve">The question of non-native English users’ purported disadvantage has recently resurfaced more explicitly in Ken Hyland’s paper published in 2016 with the perhaps </w:t>
      </w:r>
      <w:r w:rsidR="006E583D">
        <w:t>deliberately provocative title:</w:t>
      </w:r>
      <w:r w:rsidR="008F4269">
        <w:t xml:space="preserve"> Academic publishing and the myth of linguistic injustice, which prompted rebuttals and debates (</w:t>
      </w:r>
      <w:r w:rsidR="009032E6">
        <w:t>Hyland 2016a, 2016b and Politzer-Ahlesa et al. 2016</w:t>
      </w:r>
      <w:r w:rsidR="008F4269">
        <w:t>).</w:t>
      </w:r>
      <w:r w:rsidR="007D07A7">
        <w:t xml:space="preserve"> </w:t>
      </w:r>
    </w:p>
    <w:p w:rsidR="008F4269" w:rsidRDefault="008F4269" w:rsidP="007D07A7">
      <w:pPr>
        <w:pStyle w:val="MDPI31text"/>
      </w:pPr>
      <w:r>
        <w:t xml:space="preserve">In this paper, I revisit this important question, that is, whether non-native users of English are disadvantaged in the field of academic publishing. </w:t>
      </w:r>
      <w:r w:rsidR="005F2BCE">
        <w:t xml:space="preserve">Although this is </w:t>
      </w:r>
      <w:r w:rsidR="007D07A7">
        <w:t xml:space="preserve">not the only issue of concern that has been raised in the context of </w:t>
      </w:r>
      <w:r w:rsidR="005F2BCE">
        <w:t xml:space="preserve">the hegemony of </w:t>
      </w:r>
      <w:r w:rsidR="007D07A7">
        <w:t>English as an academic language</w:t>
      </w:r>
      <w:r w:rsidR="005F2BCE">
        <w:t>; see</w:t>
      </w:r>
      <w:r w:rsidR="008D0BC6">
        <w:t>,</w:t>
      </w:r>
      <w:r w:rsidR="005F2BCE">
        <w:t xml:space="preserve"> e. g</w:t>
      </w:r>
      <w:r w:rsidR="007D07A7">
        <w:t>.</w:t>
      </w:r>
      <w:r w:rsidR="008D0BC6">
        <w:t>,</w:t>
      </w:r>
      <w:r w:rsidR="00466D98">
        <w:t xml:space="preserve"> Amano et al. 201</w:t>
      </w:r>
      <w:r w:rsidR="005F2BCE">
        <w:t xml:space="preserve">6 and </w:t>
      </w:r>
      <w:r w:rsidR="007D07A7">
        <w:t>Bennett</w:t>
      </w:r>
      <w:r w:rsidR="005F2BCE">
        <w:t xml:space="preserve"> 2007 on epistemicide, it will be </w:t>
      </w:r>
      <w:r w:rsidR="00466D98">
        <w:t>the</w:t>
      </w:r>
      <w:r w:rsidR="005F2BCE">
        <w:t xml:space="preserve"> focus in this paper.</w:t>
      </w:r>
      <w:r w:rsidR="007D07A7">
        <w:t xml:space="preserve"> </w:t>
      </w:r>
      <w:r>
        <w:t>However, rather than ventu</w:t>
      </w:r>
      <w:r w:rsidR="00752547">
        <w:t>ring a definitive answer to the</w:t>
      </w:r>
      <w:r>
        <w:t xml:space="preserve"> que</w:t>
      </w:r>
      <w:r w:rsidR="00CE76E7">
        <w:t>stion</w:t>
      </w:r>
      <w:r w:rsidR="00752547">
        <w:t xml:space="preserve"> (</w:t>
      </w:r>
      <w:r w:rsidR="005F2BCE">
        <w:t xml:space="preserve">and here is a spoiler alert: </w:t>
      </w:r>
      <w:r w:rsidR="00752547">
        <w:t>I don’t think there is one!)</w:t>
      </w:r>
      <w:r>
        <w:t>, I will approach it from a</w:t>
      </w:r>
      <w:r w:rsidR="009032E6">
        <w:t xml:space="preserve"> slightly different perspective</w:t>
      </w:r>
      <w:r w:rsidR="00752547">
        <w:t>. M</w:t>
      </w:r>
      <w:r w:rsidR="009032E6">
        <w:t>ore specifically,</w:t>
      </w:r>
      <w:r w:rsidR="00752547">
        <w:t xml:space="preserve"> I will analyse it – and the discourses that surround it –</w:t>
      </w:r>
      <w:r>
        <w:t xml:space="preserve"> within a framework of ‘verbal hygien</w:t>
      </w:r>
      <w:r w:rsidR="008D0422">
        <w:t>e’ (Cameron 1995</w:t>
      </w:r>
      <w:r w:rsidR="00752547">
        <w:t>, 2012). Before</w:t>
      </w:r>
      <w:r>
        <w:t xml:space="preserve"> I go on to explain what ‘verbal hygiene’ entails in more detail, it’s worth noting that the debate about whether the </w:t>
      </w:r>
      <w:r w:rsidR="00752547">
        <w:t xml:space="preserve">increasing global dominance </w:t>
      </w:r>
      <w:r>
        <w:t>of English causes inequalities is of course not a new one. Nor is it unique to the specific fields</w:t>
      </w:r>
      <w:r w:rsidR="00466D98">
        <w:t xml:space="preserve"> of</w:t>
      </w:r>
      <w:r>
        <w:t xml:space="preserve"> EAP or ERPP. In the wider field of Applied Linguistics, English has </w:t>
      </w:r>
      <w:r w:rsidR="00752547">
        <w:t xml:space="preserve">for several decades now </w:t>
      </w:r>
      <w:r>
        <w:t>been described variably as a Tyrannosaurus Rex, a Trojan Horse, a Hydra, a Cuckoo</w:t>
      </w:r>
      <w:r w:rsidR="008069B3">
        <w:t>,</w:t>
      </w:r>
      <w:r>
        <w:t xml:space="preserve"> </w:t>
      </w:r>
      <w:r w:rsidR="002F19B7">
        <w:t xml:space="preserve">a Killer Language </w:t>
      </w:r>
      <w:r>
        <w:t xml:space="preserve">and as causing Linguistic Imperialism </w:t>
      </w:r>
      <w:r w:rsidR="00466D98">
        <w:t>and Lingui</w:t>
      </w:r>
      <w:r w:rsidR="009032E6">
        <w:t>cide (</w:t>
      </w:r>
      <w:r w:rsidR="008069B3" w:rsidRPr="008069B3">
        <w:t>Rapatahana and Bunce 2012; Skutnabb-Kangas 2003; Swales 1997, Phillipson 2006; Cooke 1988</w:t>
      </w:r>
      <w:r w:rsidR="00466D98">
        <w:t xml:space="preserve">; </w:t>
      </w:r>
      <w:r w:rsidR="00466D98" w:rsidRPr="00466D98">
        <w:t>Skutnabb-Kangas</w:t>
      </w:r>
      <w:r w:rsidR="00466D98">
        <w:t xml:space="preserve"> </w:t>
      </w:r>
      <w:r w:rsidR="00466D98" w:rsidRPr="00466D98">
        <w:t>and Phillipson</w:t>
      </w:r>
      <w:r w:rsidR="00466D98">
        <w:t xml:space="preserve"> 1994)</w:t>
      </w:r>
      <w:r w:rsidR="009032E6">
        <w:t>.</w:t>
      </w:r>
      <w:r w:rsidR="008069B3">
        <w:t xml:space="preserve"> </w:t>
      </w:r>
      <w:r>
        <w:t xml:space="preserve">So while tapping into EAP and ERPP-specific debates about whether or not non-native users of English are disadvantaged, I will also question broader disciplinary axioms about the nature of </w:t>
      </w:r>
      <w:r w:rsidR="00752547">
        <w:t>disadvantage</w:t>
      </w:r>
      <w:r>
        <w:t xml:space="preserve"> and its assumed linguistic basis.</w:t>
      </w:r>
    </w:p>
    <w:p w:rsidR="00D415B1" w:rsidRDefault="00752547" w:rsidP="00DE5FC9">
      <w:pPr>
        <w:pStyle w:val="MDPI31text"/>
      </w:pPr>
      <w:r>
        <w:t xml:space="preserve">First of all, however, I </w:t>
      </w:r>
      <w:r w:rsidR="00C163C1">
        <w:t>wish</w:t>
      </w:r>
      <w:r>
        <w:t xml:space="preserve"> to make it abundantly clear that i</w:t>
      </w:r>
      <w:r w:rsidR="00CE76E7">
        <w:t xml:space="preserve">n questioning </w:t>
      </w:r>
      <w:r w:rsidR="00F515AB" w:rsidRPr="00F515AB">
        <w:t xml:space="preserve">non-nativeness </w:t>
      </w:r>
      <w:r w:rsidR="00F515AB">
        <w:t xml:space="preserve">as consequential for </w:t>
      </w:r>
      <w:r w:rsidR="00CE76E7">
        <w:t>academic publishing</w:t>
      </w:r>
      <w:r w:rsidR="00F515AB">
        <w:t xml:space="preserve"> success</w:t>
      </w:r>
      <w:r w:rsidR="00CE76E7">
        <w:t xml:space="preserve">, I am not denying that there </w:t>
      </w:r>
      <w:r w:rsidR="00CE76E7" w:rsidRPr="00752547">
        <w:rPr>
          <w:i/>
        </w:rPr>
        <w:t>are</w:t>
      </w:r>
      <w:r w:rsidR="00CE76E7">
        <w:t xml:space="preserve"> gross inequities and disadvantages in the field. Nor am I denying that the current system of global knowledge production and academic publishing is deeply flawed in many ways. Rather, I am going to raise the possibility that inequity, disadvantage and </w:t>
      </w:r>
      <w:r w:rsidR="00CE76E7" w:rsidRPr="00680AF9">
        <w:t>flaws exist not primarily in the linguistic realm, but elsewhere</w:t>
      </w:r>
      <w:r w:rsidR="00F515AB" w:rsidRPr="00680AF9">
        <w:t>,</w:t>
      </w:r>
      <w:r w:rsidR="00CE76E7" w:rsidRPr="00680AF9">
        <w:t xml:space="preserve"> and that </w:t>
      </w:r>
      <w:r w:rsidR="00F515AB" w:rsidRPr="00680AF9">
        <w:t xml:space="preserve">conflating the issues </w:t>
      </w:r>
      <w:r w:rsidR="00CE76E7" w:rsidRPr="00680AF9">
        <w:t xml:space="preserve">risks </w:t>
      </w:r>
      <w:r w:rsidR="00F515AB" w:rsidRPr="00680AF9">
        <w:t xml:space="preserve">misdiagnosing the problem and proposing the wrong solutions. </w:t>
      </w:r>
      <w:r w:rsidR="00466D98">
        <w:t>The</w:t>
      </w:r>
      <w:r w:rsidR="00F515AB" w:rsidRPr="00680AF9">
        <w:t xml:space="preserve"> </w:t>
      </w:r>
      <w:r w:rsidR="00305B24" w:rsidRPr="00680AF9">
        <w:t>gross</w:t>
      </w:r>
      <w:r w:rsidR="00F515AB" w:rsidRPr="00680AF9">
        <w:t xml:space="preserve"> disadvantage</w:t>
      </w:r>
      <w:r w:rsidR="00305B24" w:rsidRPr="00680AF9">
        <w:t xml:space="preserve"> and inequity</w:t>
      </w:r>
      <w:r w:rsidR="00466D98">
        <w:t xml:space="preserve"> that exists</w:t>
      </w:r>
      <w:r w:rsidR="00305B24" w:rsidRPr="00680AF9">
        <w:t xml:space="preserve"> in global academic publishing </w:t>
      </w:r>
      <w:r w:rsidR="00466D98">
        <w:t>is an indisputable fact</w:t>
      </w:r>
      <w:r w:rsidR="00466D98" w:rsidRPr="00680AF9">
        <w:t xml:space="preserve"> that </w:t>
      </w:r>
      <w:r w:rsidR="00305B24" w:rsidRPr="00680AF9">
        <w:t>(O’Neil 2018); however,</w:t>
      </w:r>
      <w:r w:rsidR="00F46EA3" w:rsidRPr="00680AF9">
        <w:t xml:space="preserve"> </w:t>
      </w:r>
      <w:r w:rsidR="00305B24" w:rsidRPr="00680AF9">
        <w:t xml:space="preserve">as </w:t>
      </w:r>
      <w:r w:rsidR="00F46EA3" w:rsidRPr="00680AF9">
        <w:t xml:space="preserve">I </w:t>
      </w:r>
      <w:r w:rsidR="00305B24" w:rsidRPr="00680AF9">
        <w:t>will show, the overriding factor explaining this inequ</w:t>
      </w:r>
      <w:r w:rsidR="00D415B1">
        <w:t>ity</w:t>
      </w:r>
      <w:r w:rsidR="00305B24" w:rsidRPr="00680AF9">
        <w:t xml:space="preserve"> appears to be</w:t>
      </w:r>
      <w:r w:rsidR="00680AF9" w:rsidRPr="00680AF9">
        <w:t xml:space="preserve">, not whether or not English is </w:t>
      </w:r>
      <w:r w:rsidR="00466D98">
        <w:t>a research writer’s</w:t>
      </w:r>
      <w:r w:rsidR="00680AF9" w:rsidRPr="00680AF9">
        <w:t xml:space="preserve"> first language, but</w:t>
      </w:r>
      <w:r w:rsidR="00305B24" w:rsidRPr="00680AF9">
        <w:t xml:space="preserve"> </w:t>
      </w:r>
      <w:r w:rsidR="00466D98">
        <w:t xml:space="preserve">the resources and networks available in their national context. </w:t>
      </w:r>
      <w:r w:rsidR="00CF450F" w:rsidRPr="00680AF9">
        <w:t xml:space="preserve">This </w:t>
      </w:r>
      <w:r w:rsidR="00CF450F" w:rsidRPr="000053AF">
        <w:t>reorientation away from language</w:t>
      </w:r>
      <w:r w:rsidR="00CF450F">
        <w:t xml:space="preserve"> </w:t>
      </w:r>
      <w:r w:rsidR="00CF450F" w:rsidRPr="000053AF">
        <w:t xml:space="preserve">resonates with recent shifts in Applied Linguistics </w:t>
      </w:r>
      <w:r w:rsidR="00CF450F">
        <w:t xml:space="preserve">that seek to find ways of incorporating materiality into our theoretical and analytical frameworks </w:t>
      </w:r>
      <w:r w:rsidR="00CF450F" w:rsidRPr="000053AF">
        <w:t>(Block 2014; Canagarajah 2017, 2018; Pennycook 2017, 2018).</w:t>
      </w:r>
      <w:r w:rsidR="00CF450F">
        <w:t xml:space="preserve"> What</w:t>
      </w:r>
      <w:r w:rsidR="009A367B">
        <w:t xml:space="preserve"> I will </w:t>
      </w:r>
      <w:r w:rsidR="0047431C">
        <w:t>propose</w:t>
      </w:r>
      <w:r w:rsidR="00CF450F">
        <w:t>, then, is</w:t>
      </w:r>
      <w:r w:rsidR="0047431C">
        <w:t xml:space="preserve"> the to some possibly controversial idea that </w:t>
      </w:r>
      <w:r w:rsidR="009A367B">
        <w:t xml:space="preserve">‘non-nativeness’ may be </w:t>
      </w:r>
      <w:r w:rsidR="00CF450F">
        <w:t>a red herring. B</w:t>
      </w:r>
      <w:r w:rsidR="00CC1E43">
        <w:t xml:space="preserve">y </w:t>
      </w:r>
      <w:r w:rsidR="00CF450F">
        <w:t xml:space="preserve">‘red herring’ </w:t>
      </w:r>
      <w:r w:rsidR="00CC1E43">
        <w:t xml:space="preserve">I mean </w:t>
      </w:r>
      <w:r w:rsidR="00CC1E43" w:rsidRPr="00CC1E43">
        <w:t>something that misleads or distracts from a relevant or important issue and that leads us towards a false conclusion.</w:t>
      </w:r>
    </w:p>
    <w:p w:rsidR="008F4269" w:rsidRDefault="008F4269" w:rsidP="008F4269">
      <w:pPr>
        <w:pStyle w:val="MDPI31text"/>
      </w:pPr>
      <w:r>
        <w:t xml:space="preserve">I begin by outlining my theoretical </w:t>
      </w:r>
      <w:r w:rsidR="00D22E14">
        <w:t>framework, tha</w:t>
      </w:r>
      <w:r w:rsidR="00D22E14" w:rsidRPr="000053AF">
        <w:t>t of verbal hygiene</w:t>
      </w:r>
      <w:r w:rsidRPr="000053AF">
        <w:t xml:space="preserve">. </w:t>
      </w:r>
      <w:r w:rsidR="00D22E14" w:rsidRPr="000053AF">
        <w:t xml:space="preserve">I then go on to </w:t>
      </w:r>
      <w:r w:rsidR="000053AF" w:rsidRPr="000053AF">
        <w:t>consider some of the discourses</w:t>
      </w:r>
      <w:r w:rsidR="000053AF">
        <w:t xml:space="preserve"> about EAL </w:t>
      </w:r>
      <w:r w:rsidR="0047431C">
        <w:t xml:space="preserve">disadvantage </w:t>
      </w:r>
      <w:r w:rsidR="000053AF" w:rsidRPr="000053AF">
        <w:t>that circulate</w:t>
      </w:r>
      <w:r w:rsidR="002E021E">
        <w:t>, analyzing them within the framework of verbal hygiene</w:t>
      </w:r>
      <w:r w:rsidR="000053AF">
        <w:t xml:space="preserve">. </w:t>
      </w:r>
      <w:r w:rsidR="00CF450F">
        <w:t xml:space="preserve">I </w:t>
      </w:r>
      <w:r w:rsidR="002E021E">
        <w:t>proceed to</w:t>
      </w:r>
      <w:r w:rsidR="00E409A7">
        <w:t xml:space="preserve"> </w:t>
      </w:r>
      <w:r w:rsidR="00E409A7">
        <w:rPr>
          <w:lang w:val="en-GB"/>
        </w:rPr>
        <w:t xml:space="preserve">calling for </w:t>
      </w:r>
      <w:r w:rsidR="00E409A7">
        <w:t>researchers to question their</w:t>
      </w:r>
      <w:r w:rsidR="002E021E">
        <w:t xml:space="preserve"> epistemological presuppositions, supporting this with evidence of </w:t>
      </w:r>
      <w:r w:rsidR="0047431C">
        <w:t xml:space="preserve">non-Anglophone scholars’ </w:t>
      </w:r>
      <w:r w:rsidR="00CF450F">
        <w:t xml:space="preserve">actual </w:t>
      </w:r>
      <w:r w:rsidR="002E021E">
        <w:t xml:space="preserve">publications rates. I conclude by </w:t>
      </w:r>
      <w:r w:rsidR="00F915CA">
        <w:t xml:space="preserve">suggesting some </w:t>
      </w:r>
      <w:r w:rsidR="0047431C">
        <w:t>extensions</w:t>
      </w:r>
      <w:r w:rsidR="00F915CA">
        <w:t xml:space="preserve"> </w:t>
      </w:r>
      <w:r w:rsidR="0047431C">
        <w:t>to current theories and practices in the field of EAP and ERPP</w:t>
      </w:r>
      <w:r w:rsidR="00F915CA">
        <w:t xml:space="preserve"> that centre on broadening the scope to account for non-linguistic structures of inequity alongside linguistic ones.</w:t>
      </w:r>
    </w:p>
    <w:p w:rsidR="008F4269" w:rsidRDefault="008F4269" w:rsidP="00A900D9">
      <w:pPr>
        <w:pStyle w:val="MDPI31text"/>
      </w:pPr>
    </w:p>
    <w:bookmarkEnd w:id="1"/>
    <w:bookmarkEnd w:id="2"/>
    <w:p w:rsidR="00A900D9" w:rsidRPr="00501982" w:rsidRDefault="00A900D9" w:rsidP="00A900D9">
      <w:pPr>
        <w:pStyle w:val="MDPI21heading1"/>
      </w:pPr>
      <w:r w:rsidRPr="00501982">
        <w:rPr>
          <w:lang w:eastAsia="zh-CN"/>
        </w:rPr>
        <w:t xml:space="preserve">2. </w:t>
      </w:r>
      <w:r w:rsidR="000B6928">
        <w:t>Verbal hygiene</w:t>
      </w:r>
    </w:p>
    <w:p w:rsidR="002C22A4" w:rsidRDefault="008F4269" w:rsidP="00C163C1">
      <w:pPr>
        <w:pStyle w:val="MDPI31text"/>
      </w:pPr>
      <w:r>
        <w:lastRenderedPageBreak/>
        <w:t>My argument is framed within the theory of ‘verbal hygiene’, as laid out by the British sociolinguist Deborah Cameron in her book with the sa</w:t>
      </w:r>
      <w:r w:rsidR="00F67B95">
        <w:t>me name, first published in 1995</w:t>
      </w:r>
      <w:r>
        <w:t xml:space="preserve"> and with a second edition in 2012. Central to the idea of verbal hygiene is that people have an irres</w:t>
      </w:r>
      <w:r w:rsidR="00CE76E7">
        <w:t>istible urge to debate, discuss</w:t>
      </w:r>
      <w:r w:rsidR="00C163C1">
        <w:t>, and sometimes regulate</w:t>
      </w:r>
      <w:r w:rsidR="00CE76E7">
        <w:t xml:space="preserve"> </w:t>
      </w:r>
      <w:r w:rsidR="00C163C1">
        <w:t xml:space="preserve">and intervene in matters of </w:t>
      </w:r>
      <w:r w:rsidR="00CE76E7">
        <w:t xml:space="preserve">language. </w:t>
      </w:r>
      <w:r w:rsidR="002C22A4">
        <w:t>T</w:t>
      </w:r>
      <w:r w:rsidR="00C163C1">
        <w:t xml:space="preserve">o illustrate </w:t>
      </w:r>
      <w:r w:rsidR="001C3A62">
        <w:t>her point</w:t>
      </w:r>
      <w:r w:rsidR="00C163C1">
        <w:t xml:space="preserve">, </w:t>
      </w:r>
      <w:r w:rsidR="00BD4036">
        <w:t>Cameron</w:t>
      </w:r>
      <w:r w:rsidR="00C163C1">
        <w:t xml:space="preserve"> draws on a wide range of examples</w:t>
      </w:r>
      <w:r w:rsidR="0033548E">
        <w:t xml:space="preserve"> </w:t>
      </w:r>
      <w:r w:rsidR="00336DAF">
        <w:t xml:space="preserve">of language-centred </w:t>
      </w:r>
      <w:r w:rsidR="00CF450F">
        <w:t>discourses</w:t>
      </w:r>
      <w:r w:rsidR="00336DAF">
        <w:t xml:space="preserve"> </w:t>
      </w:r>
      <w:r w:rsidR="00CF450F">
        <w:t xml:space="preserve">and practices </w:t>
      </w:r>
      <w:r w:rsidR="0033548E">
        <w:t>from recent British history. These include</w:t>
      </w:r>
      <w:r w:rsidR="00C163C1">
        <w:t xml:space="preserve"> </w:t>
      </w:r>
      <w:r w:rsidR="00BD4036">
        <w:t>publishing houses</w:t>
      </w:r>
      <w:r w:rsidR="00C163C1">
        <w:t>, who invent style guides to serve the interests of copyeditor</w:t>
      </w:r>
      <w:r w:rsidR="0033548E">
        <w:t xml:space="preserve">s who are paid to enforce them; </w:t>
      </w:r>
      <w:r w:rsidR="00CF450F">
        <w:t>‘political correctness’</w:t>
      </w:r>
      <w:r w:rsidR="00C163C1">
        <w:t xml:space="preserve"> </w:t>
      </w:r>
      <w:r w:rsidR="00255A2E">
        <w:t>reformers</w:t>
      </w:r>
      <w:r w:rsidR="00C163C1">
        <w:t>, who propose alternative words</w:t>
      </w:r>
      <w:r w:rsidR="0033548E">
        <w:t xml:space="preserve"> </w:t>
      </w:r>
      <w:r w:rsidR="00CF450F">
        <w:t>for the sake of ‘</w:t>
      </w:r>
      <w:r w:rsidR="00C163C1">
        <w:t>fairness</w:t>
      </w:r>
      <w:r w:rsidR="00CF450F">
        <w:t>’</w:t>
      </w:r>
      <w:r w:rsidR="0033548E">
        <w:t>,</w:t>
      </w:r>
      <w:r w:rsidR="00C163C1">
        <w:t xml:space="preserve"> </w:t>
      </w:r>
      <w:r w:rsidR="00CF450F">
        <w:t>‘</w:t>
      </w:r>
      <w:r w:rsidR="00C163C1">
        <w:t>sensitivity</w:t>
      </w:r>
      <w:r w:rsidR="00CF450F">
        <w:t>’</w:t>
      </w:r>
      <w:r w:rsidR="00C163C1">
        <w:t xml:space="preserve"> and </w:t>
      </w:r>
      <w:r w:rsidR="00CF450F">
        <w:t>‘</w:t>
      </w:r>
      <w:r w:rsidR="00255A2E">
        <w:t>inclusivity</w:t>
      </w:r>
      <w:r w:rsidR="00CF450F">
        <w:t>’</w:t>
      </w:r>
      <w:r w:rsidR="00C163C1">
        <w:t>,</w:t>
      </w:r>
      <w:r w:rsidR="00336DAF">
        <w:t xml:space="preserve"> as well as</w:t>
      </w:r>
      <w:r w:rsidR="0033548E">
        <w:t xml:space="preserve"> members of the British Conservative Party</w:t>
      </w:r>
      <w:r w:rsidR="00336DAF">
        <w:t>,</w:t>
      </w:r>
      <w:r w:rsidR="0033548E">
        <w:t xml:space="preserve"> who argued for reintroducing the teaching of grammar in</w:t>
      </w:r>
      <w:r w:rsidR="00CF450F">
        <w:t xml:space="preserve"> </w:t>
      </w:r>
      <w:r w:rsidR="0033548E">
        <w:t>school</w:t>
      </w:r>
      <w:r w:rsidR="00CF450F">
        <w:t>s</w:t>
      </w:r>
      <w:r w:rsidR="0033548E">
        <w:t xml:space="preserve"> </w:t>
      </w:r>
      <w:r w:rsidR="00336DAF">
        <w:t>a</w:t>
      </w:r>
      <w:r w:rsidR="0033548E">
        <w:t>s a symbolic way to uphold standard</w:t>
      </w:r>
      <w:r w:rsidR="00CF450F">
        <w:t>s</w:t>
      </w:r>
      <w:r w:rsidR="0033548E">
        <w:t xml:space="preserve"> and reject the values of different social and ethnic groupings. </w:t>
      </w:r>
      <w:r w:rsidR="002C22A4">
        <w:t xml:space="preserve">Put in other words: </w:t>
      </w:r>
      <w:r w:rsidR="00255A2E">
        <w:t>social group</w:t>
      </w:r>
      <w:r w:rsidR="00336DAF">
        <w:t>ing</w:t>
      </w:r>
      <w:r w:rsidR="00255A2E">
        <w:t xml:space="preserve">s, </w:t>
      </w:r>
      <w:r w:rsidR="0047431C">
        <w:t xml:space="preserve">sometimes </w:t>
      </w:r>
      <w:r w:rsidR="00336DAF">
        <w:t>with</w:t>
      </w:r>
      <w:r w:rsidR="00255A2E">
        <w:t xml:space="preserve"> widely differing ideological stances</w:t>
      </w:r>
      <w:r w:rsidR="00336DAF">
        <w:t xml:space="preserve"> and vested interests</w:t>
      </w:r>
      <w:r w:rsidR="00255A2E">
        <w:t xml:space="preserve">, are </w:t>
      </w:r>
      <w:r w:rsidR="0033548E">
        <w:t>predisposed to</w:t>
      </w:r>
      <w:r w:rsidR="00255A2E">
        <w:t xml:space="preserve"> </w:t>
      </w:r>
      <w:r w:rsidR="002C22A4">
        <w:t>produce vast amounts of meta-discourse about language</w:t>
      </w:r>
      <w:r w:rsidR="00255A2E">
        <w:t xml:space="preserve"> and sometimes </w:t>
      </w:r>
      <w:r w:rsidR="0047431C">
        <w:t xml:space="preserve">try </w:t>
      </w:r>
      <w:r w:rsidR="00255A2E">
        <w:t xml:space="preserve">to </w:t>
      </w:r>
      <w:r w:rsidR="0047431C">
        <w:t>police language use</w:t>
      </w:r>
      <w:r w:rsidR="002C22A4">
        <w:t>.</w:t>
      </w:r>
      <w:r w:rsidR="00255A2E">
        <w:t xml:space="preserve"> </w:t>
      </w:r>
      <w:r w:rsidR="00336DAF">
        <w:t xml:space="preserve">Verbal hygiene, then, refers to a </w:t>
      </w:r>
      <w:r w:rsidR="0047431C">
        <w:t>‘</w:t>
      </w:r>
      <w:r w:rsidR="00336DAF" w:rsidRPr="00336DAF">
        <w:t xml:space="preserve">motley collection of discourses and practices through which </w:t>
      </w:r>
      <w:r w:rsidR="00405F2E">
        <w:t>people attempt to “clean up”</w:t>
      </w:r>
      <w:r w:rsidR="00336DAF" w:rsidRPr="00336DAF">
        <w:t xml:space="preserve"> language and make its structure or its use conform more closely to their ideals of beauty, truth, efficiency, </w:t>
      </w:r>
      <w:r w:rsidR="00405F2E">
        <w:t>logic, correctness and civility’</w:t>
      </w:r>
      <w:r w:rsidR="00336DAF" w:rsidRPr="00336DAF">
        <w:t xml:space="preserve"> (</w:t>
      </w:r>
      <w:r w:rsidR="00336DAF">
        <w:t>Cameron 2012:</w:t>
      </w:r>
      <w:r w:rsidR="00336DAF" w:rsidRPr="00336DAF">
        <w:t xml:space="preserve"> vii)</w:t>
      </w:r>
      <w:r w:rsidR="00336DAF">
        <w:t>.</w:t>
      </w:r>
    </w:p>
    <w:p w:rsidR="000B6928" w:rsidRDefault="008F4269" w:rsidP="00405F2E">
      <w:pPr>
        <w:pStyle w:val="MDPI31text"/>
      </w:pPr>
      <w:r>
        <w:t xml:space="preserve">Another central point in </w:t>
      </w:r>
      <w:r w:rsidR="00255A2E">
        <w:t>the verbal hygiene</w:t>
      </w:r>
      <w:r>
        <w:t xml:space="preserve"> framework is that </w:t>
      </w:r>
      <w:r w:rsidR="00CE76E7">
        <w:t>language-related</w:t>
      </w:r>
      <w:r>
        <w:t xml:space="preserve"> debates</w:t>
      </w:r>
      <w:r w:rsidR="00255A2E">
        <w:t xml:space="preserve"> and interventions</w:t>
      </w:r>
      <w:r w:rsidR="000B6928">
        <w:t>, such as those exemplified above,</w:t>
      </w:r>
      <w:r w:rsidR="0047431C">
        <w:t xml:space="preserve"> are rarely only ab</w:t>
      </w:r>
      <w:r>
        <w:t xml:space="preserve">out language. As Cameron herself puts it: ‘complaints about language changes are usually symbolic expressions of anxieties about larger social changes’ (Cameron 2012: 238). So for instance, when the older generation complain about young people using text speak, this can be seen as reflecting underlying anxieties about </w:t>
      </w:r>
      <w:r w:rsidR="00DE6198">
        <w:t>rapid</w:t>
      </w:r>
      <w:r>
        <w:t xml:space="preserve"> </w:t>
      </w:r>
      <w:r w:rsidR="00D95293">
        <w:t>technological</w:t>
      </w:r>
      <w:r w:rsidR="00DE6198">
        <w:t xml:space="preserve"> </w:t>
      </w:r>
      <w:r>
        <w:t xml:space="preserve">developments </w:t>
      </w:r>
      <w:r w:rsidR="00DE6198">
        <w:t>and perhaps their</w:t>
      </w:r>
      <w:r w:rsidR="000B6928">
        <w:t xml:space="preserve"> own </w:t>
      </w:r>
      <w:r w:rsidR="00DE6198">
        <w:t xml:space="preserve">insecurities and </w:t>
      </w:r>
      <w:r w:rsidR="000B6928">
        <w:t>self-perceived inadequacies</w:t>
      </w:r>
      <w:r w:rsidR="00D95293">
        <w:t xml:space="preserve"> in the area</w:t>
      </w:r>
      <w:r w:rsidR="002C22A4">
        <w:t>.</w:t>
      </w:r>
      <w:r w:rsidR="0047431C">
        <w:t xml:space="preserve"> </w:t>
      </w:r>
      <w:r w:rsidR="00405F2E">
        <w:t>Another illustrative example, which</w:t>
      </w:r>
      <w:r w:rsidR="00453344">
        <w:t xml:space="preserve"> may</w:t>
      </w:r>
      <w:r w:rsidR="00405F2E">
        <w:t xml:space="preserve"> resonate with readers </w:t>
      </w:r>
      <w:r w:rsidR="0047431C">
        <w:t xml:space="preserve">across European nation states, </w:t>
      </w:r>
      <w:r w:rsidR="00405F2E">
        <w:t xml:space="preserve">is the conflation of xenophobia with matters of language. </w:t>
      </w:r>
      <w:r w:rsidR="00453344">
        <w:t>Writing about the case in Britain, Cameron suggests that</w:t>
      </w:r>
      <w:r w:rsidR="00DE6198">
        <w:t xml:space="preserve"> when politicians</w:t>
      </w:r>
      <w:r w:rsidR="00F67B95">
        <w:t xml:space="preserve"> </w:t>
      </w:r>
      <w:r w:rsidR="00405F2E">
        <w:t>‘</w:t>
      </w:r>
      <w:r w:rsidR="00F67B95">
        <w:t>bang[]</w:t>
      </w:r>
      <w:r w:rsidR="000B6928">
        <w:t xml:space="preserve"> on about the importance of English, and the menace of the imm</w:t>
      </w:r>
      <w:r w:rsidR="00405F2E">
        <w:t xml:space="preserve">igrant who can’t/won’t speak it’ </w:t>
      </w:r>
      <w:r w:rsidR="00DE6198">
        <w:t>(Cameron 20</w:t>
      </w:r>
      <w:r w:rsidR="00F67B95">
        <w:t>1</w:t>
      </w:r>
      <w:r w:rsidR="00DE6198">
        <w:t>3)</w:t>
      </w:r>
      <w:r w:rsidR="00405F2E">
        <w:t>, th</w:t>
      </w:r>
      <w:r w:rsidR="00453344">
        <w:t>ey are according disproportionate attention to matters of language and language competence.</w:t>
      </w:r>
      <w:r w:rsidR="000B6928">
        <w:t xml:space="preserve"> </w:t>
      </w:r>
      <w:r w:rsidR="00D95293">
        <w:t>Brit</w:t>
      </w:r>
      <w:r w:rsidR="00453344">
        <w:t xml:space="preserve">ish media </w:t>
      </w:r>
      <w:r w:rsidR="0047431C">
        <w:t>are known to have</w:t>
      </w:r>
      <w:r w:rsidR="00405F2E">
        <w:t xml:space="preserve"> headlin</w:t>
      </w:r>
      <w:r w:rsidR="00453344">
        <w:t>ed</w:t>
      </w:r>
      <w:r w:rsidR="00405F2E">
        <w:t xml:space="preserve"> </w:t>
      </w:r>
      <w:r w:rsidR="007435E7" w:rsidRPr="007435E7">
        <w:t xml:space="preserve">scaremongering </w:t>
      </w:r>
      <w:r w:rsidR="00405F2E">
        <w:t>stories such as ‘</w:t>
      </w:r>
      <w:r w:rsidR="000B6928">
        <w:t xml:space="preserve">22% of households in London contain no one who has </w:t>
      </w:r>
      <w:r w:rsidR="00405F2E">
        <w:t>English as their main language’ and ‘</w:t>
      </w:r>
      <w:r w:rsidR="00330218">
        <w:t>Polis</w:t>
      </w:r>
      <w:r w:rsidR="00405F2E">
        <w:t>h now Britain’s second language’</w:t>
      </w:r>
      <w:r w:rsidR="007435E7">
        <w:t>.</w:t>
      </w:r>
      <w:r w:rsidR="00330218">
        <w:t xml:space="preserve"> </w:t>
      </w:r>
      <w:r w:rsidR="007435E7">
        <w:t>H</w:t>
      </w:r>
      <w:r w:rsidR="00330218">
        <w:t>owever,</w:t>
      </w:r>
      <w:r w:rsidR="000B6928">
        <w:t xml:space="preserve"> census data</w:t>
      </w:r>
      <w:r w:rsidR="00DE6198">
        <w:t xml:space="preserve"> </w:t>
      </w:r>
      <w:r w:rsidR="007435E7">
        <w:t>suggests that such stories are grossly exaggerated. Cameron cites the most recent census for</w:t>
      </w:r>
      <w:r w:rsidR="00453344">
        <w:t xml:space="preserve"> evidence</w:t>
      </w:r>
      <w:r w:rsidR="00405F2E">
        <w:t xml:space="preserve"> </w:t>
      </w:r>
      <w:r w:rsidR="000B6928">
        <w:t>that only 1.6% of the population declare that they have limited or no proficiency in English, whereas those with no proficiency constitute less than 0.5%</w:t>
      </w:r>
      <w:r w:rsidR="00DE6198">
        <w:t xml:space="preserve">, a number that is likely to include </w:t>
      </w:r>
      <w:r w:rsidR="00D95293">
        <w:t>also</w:t>
      </w:r>
      <w:r w:rsidR="000B6928">
        <w:t xml:space="preserve"> pre-school-aged children and people who have just arrived in Britain</w:t>
      </w:r>
      <w:r w:rsidR="00330218">
        <w:t xml:space="preserve"> (Cameron 2013)</w:t>
      </w:r>
      <w:r w:rsidR="000B6928">
        <w:t>.</w:t>
      </w:r>
      <w:r w:rsidR="00DE6198">
        <w:t xml:space="preserve"> </w:t>
      </w:r>
      <w:r w:rsidR="000B6928">
        <w:t xml:space="preserve">According to Cameron, </w:t>
      </w:r>
      <w:r w:rsidR="00D95293">
        <w:t xml:space="preserve">this illustrates </w:t>
      </w:r>
      <w:r w:rsidR="000B6928">
        <w:t>the tendency i</w:t>
      </w:r>
      <w:r w:rsidR="00453344">
        <w:t>n contemporary society to make ‘</w:t>
      </w:r>
      <w:r w:rsidR="000B6928">
        <w:t>a mountain out of a mole-hill</w:t>
      </w:r>
      <w:r w:rsidR="00453344">
        <w:t>’</w:t>
      </w:r>
      <w:r w:rsidR="00330218">
        <w:t xml:space="preserve"> where language is concerned</w:t>
      </w:r>
      <w:r w:rsidR="00D95293">
        <w:t xml:space="preserve"> and that language </w:t>
      </w:r>
      <w:r w:rsidR="00330218">
        <w:t>often becomes</w:t>
      </w:r>
      <w:r w:rsidR="00D95293">
        <w:t xml:space="preserve"> the ground where </w:t>
      </w:r>
      <w:r w:rsidR="00330218">
        <w:t>political, social and</w:t>
      </w:r>
      <w:r w:rsidR="00D95293">
        <w:t xml:space="preserve"> moral debates play out. </w:t>
      </w:r>
      <w:r w:rsidR="000B6928">
        <w:t>She explains:</w:t>
      </w:r>
    </w:p>
    <w:p w:rsidR="00D95293" w:rsidRDefault="00D95293" w:rsidP="000B6928">
      <w:pPr>
        <w:pStyle w:val="MDPI31text"/>
      </w:pPr>
    </w:p>
    <w:p w:rsidR="000B6928" w:rsidRDefault="000B6928" w:rsidP="00D95293">
      <w:pPr>
        <w:pStyle w:val="MDPI31text"/>
        <w:ind w:left="426" w:right="339" w:hanging="1"/>
      </w:pPr>
      <w:r>
        <w:t>In any given time and place, the most salient forms of verbal hy</w:t>
      </w:r>
      <w:r w:rsidR="00D95293">
        <w:t xml:space="preserve">giene will tend to be linked to </w:t>
      </w:r>
      <w:r>
        <w:t>other preoccupations which are not primarily linguistic, but are rather social, political and moral. The logic behind verbal hygiene depends on a common-sense analogy between the order of language and the larger social order, or the order of the world. The rules of language stand in for the rules that govern social or moral conduct and putting language to right becomes a sort of symbolic surrogate for putting the world to right (Cameron 2012b: transcribed from an oral presentation).</w:t>
      </w:r>
    </w:p>
    <w:p w:rsidR="00D95293" w:rsidRDefault="00D95293" w:rsidP="000B6928">
      <w:pPr>
        <w:pStyle w:val="MDPI31text"/>
      </w:pPr>
    </w:p>
    <w:p w:rsidR="00336DAF" w:rsidRDefault="000B6928" w:rsidP="00D95293">
      <w:pPr>
        <w:pStyle w:val="MDPI31text"/>
        <w:ind w:firstLine="0"/>
      </w:pPr>
      <w:r>
        <w:t xml:space="preserve">If a preoccupation with language and </w:t>
      </w:r>
      <w:r w:rsidR="007435E7">
        <w:t>language</w:t>
      </w:r>
      <w:r>
        <w:t xml:space="preserve"> competences really is a cover preoccupation for some </w:t>
      </w:r>
      <w:r w:rsidR="007435E7">
        <w:t>underlying</w:t>
      </w:r>
      <w:r>
        <w:t xml:space="preserve"> anxieties </w:t>
      </w:r>
      <w:r w:rsidR="00330218">
        <w:t xml:space="preserve">and </w:t>
      </w:r>
      <w:r w:rsidR="00453344">
        <w:t xml:space="preserve">perceptions of how the </w:t>
      </w:r>
      <w:r>
        <w:t>world</w:t>
      </w:r>
      <w:r w:rsidR="00453344">
        <w:t xml:space="preserve"> should be</w:t>
      </w:r>
      <w:r>
        <w:t xml:space="preserve">, then, as Cameron suggests, this would explain why opinions about language are often expressed with such passion and fervour. Because, as she says, in most cases they are </w:t>
      </w:r>
      <w:r w:rsidR="00453344">
        <w:t>‘</w:t>
      </w:r>
      <w:r>
        <w:t>not just debates about language</w:t>
      </w:r>
      <w:r w:rsidR="00453344">
        <w:t>’</w:t>
      </w:r>
      <w:r>
        <w:t xml:space="preserve"> (Cameron 2012b), but debates about the current state of the world and about how to put it right. </w:t>
      </w:r>
    </w:p>
    <w:p w:rsidR="00880E5D" w:rsidRDefault="00D95293" w:rsidP="00453344">
      <w:pPr>
        <w:pStyle w:val="MDPI31text"/>
      </w:pPr>
      <w:r>
        <w:t>Cameron is</w:t>
      </w:r>
      <w:r w:rsidR="00330218">
        <w:t>, of course,</w:t>
      </w:r>
      <w:r>
        <w:t xml:space="preserve"> not the only</w:t>
      </w:r>
      <w:r w:rsidR="00330218">
        <w:t xml:space="preserve"> one </w:t>
      </w:r>
      <w:r>
        <w:t>who has</w:t>
      </w:r>
      <w:r w:rsidR="00330218">
        <w:t xml:space="preserve"> pointed to the inde</w:t>
      </w:r>
      <w:r w:rsidR="00453344">
        <w:t>xical nature of discourses about language</w:t>
      </w:r>
      <w:r w:rsidR="00330218">
        <w:t>.</w:t>
      </w:r>
      <w:r w:rsidR="0085659F">
        <w:t xml:space="preserve"> </w:t>
      </w:r>
      <w:r w:rsidR="00453344">
        <w:t xml:space="preserve">The work of </w:t>
      </w:r>
      <w:r w:rsidR="0085659F">
        <w:t>the French sociologist</w:t>
      </w:r>
      <w:r w:rsidR="00453344">
        <w:t>,</w:t>
      </w:r>
      <w:r w:rsidR="0085659F">
        <w:t xml:space="preserve"> Pierre Bourdieu</w:t>
      </w:r>
      <w:r w:rsidR="00453344">
        <w:t xml:space="preserve">, is also to a large extent centred </w:t>
      </w:r>
      <w:r w:rsidR="00453344">
        <w:lastRenderedPageBreak/>
        <w:t>on a recognition that linguistic and other issues are often conflated; as he</w:t>
      </w:r>
      <w:r w:rsidR="0085659F">
        <w:t xml:space="preserve"> puts it: ‘Linguistic struggles may not have obvious linguistic bases’ (Bourdieu 1993: 8</w:t>
      </w:r>
      <w:r w:rsidR="005054E9">
        <w:t>0</w:t>
      </w:r>
      <w:r w:rsidR="00505F4C">
        <w:t>)</w:t>
      </w:r>
      <w:r w:rsidR="0085659F">
        <w:t xml:space="preserve">. </w:t>
      </w:r>
      <w:r w:rsidR="00505F4C">
        <w:t>Scholars</w:t>
      </w:r>
      <w:r w:rsidR="00330218">
        <w:t xml:space="preserve"> working </w:t>
      </w:r>
      <w:r w:rsidR="00505F4C">
        <w:t xml:space="preserve">broadly </w:t>
      </w:r>
      <w:r w:rsidR="00330218">
        <w:t xml:space="preserve">within </w:t>
      </w:r>
      <w:r w:rsidR="00505F4C">
        <w:t>the</w:t>
      </w:r>
      <w:r w:rsidR="00330218">
        <w:t xml:space="preserve"> </w:t>
      </w:r>
      <w:r>
        <w:t>tradition of A</w:t>
      </w:r>
      <w:r w:rsidR="00505F4C">
        <w:t>merican linguistic anthropology</w:t>
      </w:r>
      <w:r>
        <w:t xml:space="preserve"> </w:t>
      </w:r>
      <w:r w:rsidR="00330218">
        <w:t xml:space="preserve">have </w:t>
      </w:r>
      <w:r w:rsidR="00505F4C">
        <w:t>also</w:t>
      </w:r>
      <w:r w:rsidR="007435E7">
        <w:t>,</w:t>
      </w:r>
      <w:r w:rsidR="00505F4C">
        <w:t xml:space="preserve"> </w:t>
      </w:r>
      <w:r w:rsidR="00330218">
        <w:t>in their own way and from different perspectives</w:t>
      </w:r>
      <w:r w:rsidR="007435E7">
        <w:t>,</w:t>
      </w:r>
      <w:r w:rsidR="00330218">
        <w:t xml:space="preserve"> taken an interest in the discourses</w:t>
      </w:r>
      <w:r w:rsidR="00453344">
        <w:t xml:space="preserve"> – or</w:t>
      </w:r>
      <w:r w:rsidR="00330218">
        <w:t xml:space="preserve"> language</w:t>
      </w:r>
      <w:r w:rsidR="00453344">
        <w:t xml:space="preserve"> ideologies</w:t>
      </w:r>
      <w:r w:rsidR="007435E7">
        <w:t>, as they would refer to them</w:t>
      </w:r>
      <w:r w:rsidR="00453344">
        <w:t xml:space="preserve"> –</w:t>
      </w:r>
      <w:r w:rsidR="00330218">
        <w:t xml:space="preserve"> that permeate any society. What such scholars have in common is their endeavor to</w:t>
      </w:r>
      <w:r w:rsidR="005054E9">
        <w:t xml:space="preserve"> understand ‘</w:t>
      </w:r>
      <w:r w:rsidRPr="00D81CDE">
        <w:t>representations, whether explicit or implicit, that construe the intersection of language and human beings in a s</w:t>
      </w:r>
      <w:r>
        <w:t>ocial wor</w:t>
      </w:r>
      <w:r w:rsidR="005054E9">
        <w:t>ld’</w:t>
      </w:r>
      <w:r w:rsidRPr="00D81CDE">
        <w:t xml:space="preserve"> </w:t>
      </w:r>
      <w:r w:rsidR="00880E5D" w:rsidRPr="00D81CDE">
        <w:rPr>
          <w:noProof/>
        </w:rPr>
        <w:t>(Woolard 1998: 3)</w:t>
      </w:r>
      <w:r w:rsidR="00880E5D">
        <w:t xml:space="preserve">. </w:t>
      </w:r>
      <w:r w:rsidR="007435E7">
        <w:t>In other words, s</w:t>
      </w:r>
      <w:r w:rsidR="00880E5D">
        <w:t xml:space="preserve">cholars </w:t>
      </w:r>
      <w:r w:rsidR="007435E7">
        <w:t>of</w:t>
      </w:r>
      <w:r w:rsidR="00880E5D">
        <w:t xml:space="preserve"> language ideologies are interested in what such ideologies index in terms of taken-for-granted understandings of social categories such as nation, gender, s</w:t>
      </w:r>
      <w:r w:rsidR="007435E7">
        <w:t xml:space="preserve">implicity, beauty, authenticity, </w:t>
      </w:r>
      <w:r w:rsidR="00880E5D">
        <w:t>knowledge</w:t>
      </w:r>
      <w:r w:rsidR="007435E7">
        <w:t xml:space="preserve"> or any other category that is seen as important</w:t>
      </w:r>
      <w:r w:rsidR="00880E5D">
        <w:t xml:space="preserve"> </w:t>
      </w:r>
      <w:r w:rsidR="00880E5D" w:rsidRPr="00D81CDE">
        <w:rPr>
          <w:noProof/>
        </w:rPr>
        <w:t xml:space="preserve">(Woolard </w:t>
      </w:r>
      <w:r w:rsidR="00880E5D">
        <w:rPr>
          <w:noProof/>
        </w:rPr>
        <w:t>1998</w:t>
      </w:r>
      <w:r w:rsidR="00880E5D" w:rsidRPr="00D81CDE">
        <w:rPr>
          <w:noProof/>
        </w:rPr>
        <w:t>)</w:t>
      </w:r>
      <w:r w:rsidR="00880E5D">
        <w:t>.</w:t>
      </w:r>
    </w:p>
    <w:p w:rsidR="00BD6024" w:rsidRDefault="00F85282" w:rsidP="0038362F">
      <w:pPr>
        <w:pStyle w:val="MDPI31text"/>
      </w:pPr>
      <w:r w:rsidRPr="00F85282">
        <w:t xml:space="preserve">It has been suggested that in times of </w:t>
      </w:r>
      <w:r w:rsidR="001330BA">
        <w:t xml:space="preserve">perceived destabilization of norms, circumstances in which we arguably find ourselves today </w:t>
      </w:r>
      <w:r w:rsidR="00505F4C">
        <w:t>given</w:t>
      </w:r>
      <w:r w:rsidR="001330BA">
        <w:t xml:space="preserve"> </w:t>
      </w:r>
      <w:r w:rsidR="007435E7">
        <w:t>increased</w:t>
      </w:r>
      <w:r w:rsidR="00505F4C">
        <w:t xml:space="preserve"> </w:t>
      </w:r>
      <w:r w:rsidRPr="00F85282">
        <w:t>physical and virtual contact between language users</w:t>
      </w:r>
      <w:r w:rsidR="001330BA">
        <w:t>,</w:t>
      </w:r>
      <w:r w:rsidRPr="00F85282">
        <w:t xml:space="preserve"> </w:t>
      </w:r>
      <w:r w:rsidR="001330BA">
        <w:t>debates about</w:t>
      </w:r>
      <w:r w:rsidRPr="00F85282">
        <w:t xml:space="preserve"> </w:t>
      </w:r>
      <w:r w:rsidR="001330BA">
        <w:t xml:space="preserve">language tend to intensify and </w:t>
      </w:r>
      <w:r w:rsidR="00B14B4E">
        <w:t xml:space="preserve">norms </w:t>
      </w:r>
      <w:r w:rsidR="001330BA">
        <w:t xml:space="preserve">become more explicitly </w:t>
      </w:r>
      <w:r w:rsidRPr="00F85282">
        <w:t>negotiated (Makihara and S</w:t>
      </w:r>
      <w:r w:rsidR="00880E5D">
        <w:t>c</w:t>
      </w:r>
      <w:r w:rsidRPr="00F85282">
        <w:t>hieffelin 2007</w:t>
      </w:r>
      <w:r w:rsidR="00880E5D">
        <w:t>; Duchêne and Heller 2008;</w:t>
      </w:r>
      <w:r w:rsidRPr="00F85282">
        <w:t xml:space="preserve"> Cameron 2012a).</w:t>
      </w:r>
      <w:r>
        <w:t xml:space="preserve"> </w:t>
      </w:r>
      <w:r w:rsidR="00157EF4">
        <w:t xml:space="preserve">This arguably applies to most societal domains, but no less so to </w:t>
      </w:r>
      <w:r w:rsidR="0085659F">
        <w:t>that of</w:t>
      </w:r>
      <w:r w:rsidR="002E2C48">
        <w:t xml:space="preserve"> </w:t>
      </w:r>
      <w:r w:rsidR="00157EF4">
        <w:t>global academic publishing</w:t>
      </w:r>
      <w:r w:rsidR="00F74E5A">
        <w:t xml:space="preserve">, a </w:t>
      </w:r>
      <w:r w:rsidR="00B14B4E">
        <w:t>domain that is in the process of undergoing</w:t>
      </w:r>
      <w:r w:rsidR="007435E7">
        <w:t xml:space="preserve"> profound</w:t>
      </w:r>
      <w:r w:rsidR="00B14B4E">
        <w:t xml:space="preserve"> transformation. </w:t>
      </w:r>
      <w:r w:rsidR="007435E7">
        <w:t xml:space="preserve">The implementation of bibliometric performance indicators and research evaluation regimes in higher education systems across the globe are among some of the changes that have contributed to </w:t>
      </w:r>
      <w:r w:rsidR="00B14B4E">
        <w:t>recent decades</w:t>
      </w:r>
      <w:r w:rsidR="00500308">
        <w:t>’</w:t>
      </w:r>
      <w:r w:rsidR="00B14B4E">
        <w:t xml:space="preserve"> </w:t>
      </w:r>
      <w:r w:rsidR="00500308">
        <w:t xml:space="preserve">‘revolution’ of higher education (Altbach </w:t>
      </w:r>
      <w:r w:rsidR="008543C2">
        <w:t>et al. 2009)</w:t>
      </w:r>
      <w:r w:rsidR="00500308">
        <w:t xml:space="preserve">. </w:t>
      </w:r>
      <w:r w:rsidR="008D1859">
        <w:t xml:space="preserve">Possibly, it is in the context of such intense restructuring that norms come to be </w:t>
      </w:r>
      <w:r w:rsidR="0038362F">
        <w:t xml:space="preserve">seen as being in need of </w:t>
      </w:r>
      <w:r w:rsidR="00500308">
        <w:t xml:space="preserve">overt </w:t>
      </w:r>
      <w:r w:rsidR="008D1859">
        <w:t>negotiation,</w:t>
      </w:r>
      <w:r w:rsidR="0038362F">
        <w:t xml:space="preserve"> as captured in the</w:t>
      </w:r>
      <w:r w:rsidR="008D1859">
        <w:t xml:space="preserve"> emerging field of</w:t>
      </w:r>
      <w:r w:rsidR="0038362F">
        <w:t xml:space="preserve"> </w:t>
      </w:r>
      <w:r w:rsidR="008D1859">
        <w:t>study</w:t>
      </w:r>
      <w:r w:rsidR="00880E5D">
        <w:t xml:space="preserve"> ‘</w:t>
      </w:r>
      <w:r w:rsidR="0085659F">
        <w:t>language regulation</w:t>
      </w:r>
      <w:r w:rsidR="008543C2">
        <w:t xml:space="preserve"> in academia’</w:t>
      </w:r>
      <w:r w:rsidR="0038362F">
        <w:t xml:space="preserve"> </w:t>
      </w:r>
      <w:r w:rsidR="00330218">
        <w:t xml:space="preserve">(Solin and Hynninen </w:t>
      </w:r>
      <w:r w:rsidR="0085659F">
        <w:t>2018</w:t>
      </w:r>
      <w:r w:rsidR="00330218">
        <w:t>)</w:t>
      </w:r>
      <w:r w:rsidR="0085659F">
        <w:t xml:space="preserve">. </w:t>
      </w:r>
      <w:r w:rsidR="00157EF4" w:rsidRPr="008543C2">
        <w:t xml:space="preserve">Lillis and Curry </w:t>
      </w:r>
      <w:r w:rsidR="008D1859">
        <w:t>(2006) too show that there are an abundance of stakeholders involved in text production, what they refer to as ‘</w:t>
      </w:r>
      <w:r w:rsidR="0085659F" w:rsidRPr="008543C2">
        <w:t>literacy brokers</w:t>
      </w:r>
      <w:r w:rsidR="008D1859">
        <w:t>’</w:t>
      </w:r>
      <w:r w:rsidR="0085659F" w:rsidRPr="0085659F">
        <w:t>.</w:t>
      </w:r>
      <w:r w:rsidR="00157EF4">
        <w:t xml:space="preserve"> However, </w:t>
      </w:r>
      <w:r w:rsidR="0085659F">
        <w:t>while discourses about language are likely to be as</w:t>
      </w:r>
      <w:r w:rsidR="0038362F">
        <w:t>,</w:t>
      </w:r>
      <w:r w:rsidR="0085659F">
        <w:t xml:space="preserve"> if not more</w:t>
      </w:r>
      <w:r w:rsidR="0038362F">
        <w:t>,</w:t>
      </w:r>
      <w:r w:rsidR="0085659F">
        <w:t xml:space="preserve"> rife in global academic publishing </w:t>
      </w:r>
      <w:r w:rsidR="00AB571C">
        <w:t>as</w:t>
      </w:r>
      <w:r w:rsidR="0085659F">
        <w:t xml:space="preserve"> in </w:t>
      </w:r>
      <w:r w:rsidR="0038362F">
        <w:t xml:space="preserve">any </w:t>
      </w:r>
      <w:r w:rsidR="0085659F">
        <w:t>other f</w:t>
      </w:r>
      <w:r w:rsidR="0038362F">
        <w:t>ield</w:t>
      </w:r>
      <w:r w:rsidR="0085659F">
        <w:t xml:space="preserve">, </w:t>
      </w:r>
      <w:r w:rsidR="0038362F">
        <w:t>we must</w:t>
      </w:r>
      <w:r w:rsidR="0085659F">
        <w:t xml:space="preserve"> </w:t>
      </w:r>
      <w:r w:rsidR="0038362F">
        <w:t>query</w:t>
      </w:r>
      <w:r w:rsidR="00AB571C">
        <w:t>, in the spirit of verbal hygiene,</w:t>
      </w:r>
      <w:r w:rsidR="0038362F">
        <w:t xml:space="preserve"> the</w:t>
      </w:r>
      <w:r w:rsidR="008D1859">
        <w:t xml:space="preserve"> basis of such discourses: What do they index?; what anxieties underpin them?; what evidence is there that any concerns are well justified?</w:t>
      </w:r>
    </w:p>
    <w:p w:rsidR="00BD4036" w:rsidRDefault="00BD4036" w:rsidP="008D1859">
      <w:pPr>
        <w:pStyle w:val="MDPI31text"/>
      </w:pPr>
      <w:r>
        <w:t>What makes Cameron’s ‘verbal hy</w:t>
      </w:r>
      <w:r w:rsidR="00E12336">
        <w:t>giene’ framework stand out</w:t>
      </w:r>
      <w:r w:rsidR="006D56FB">
        <w:t xml:space="preserve"> </w:t>
      </w:r>
      <w:r>
        <w:t xml:space="preserve">is that no one is exempt from it. Even us linguists, who </w:t>
      </w:r>
      <w:r w:rsidR="008D1859">
        <w:t>normally</w:t>
      </w:r>
      <w:r>
        <w:t xml:space="preserve"> pride ourselves on our descriptivist stance, are guilty of it. It is</w:t>
      </w:r>
      <w:r w:rsidR="00AB571C">
        <w:t>, according to Cameron,</w:t>
      </w:r>
      <w:r>
        <w:t xml:space="preserve"> impossible</w:t>
      </w:r>
      <w:r w:rsidR="008D1859">
        <w:t xml:space="preserve"> for anyone</w:t>
      </w:r>
      <w:r>
        <w:t xml:space="preserve"> to </w:t>
      </w:r>
      <w:r w:rsidR="00AB571C">
        <w:t>adhere to the ideal of descriptivism</w:t>
      </w:r>
      <w:r>
        <w:t xml:space="preserve"> because rules about language are n</w:t>
      </w:r>
      <w:r w:rsidR="00AB571C">
        <w:t>ever neutral and</w:t>
      </w:r>
      <w:r>
        <w:t xml:space="preserve"> </w:t>
      </w:r>
      <w:r w:rsidR="00AB571C">
        <w:t>never a</w:t>
      </w:r>
      <w:r>
        <w:t xml:space="preserve"> given</w:t>
      </w:r>
      <w:r w:rsidR="00AB571C">
        <w:t>.</w:t>
      </w:r>
      <w:r>
        <w:t xml:space="preserve"> </w:t>
      </w:r>
      <w:r w:rsidR="00AB571C">
        <w:t>A</w:t>
      </w:r>
      <w:r>
        <w:t xml:space="preserve">ny choice </w:t>
      </w:r>
      <w:r w:rsidR="00AB571C">
        <w:t xml:space="preserve">one makes </w:t>
      </w:r>
      <w:r>
        <w:t xml:space="preserve">will bear certain values with it. </w:t>
      </w:r>
      <w:r w:rsidR="00AB571C">
        <w:t xml:space="preserve">As Cameron further argues, </w:t>
      </w:r>
      <w:r w:rsidR="008D1859">
        <w:t>not only is</w:t>
      </w:r>
      <w:r w:rsidR="00AB571C">
        <w:t xml:space="preserve"> de</w:t>
      </w:r>
      <w:r w:rsidR="000F56BF">
        <w:t>s</w:t>
      </w:r>
      <w:r w:rsidR="00AB571C">
        <w:t xml:space="preserve">criptivism </w:t>
      </w:r>
      <w:r w:rsidR="008D1859">
        <w:t>an una</w:t>
      </w:r>
      <w:r w:rsidR="00AB571C">
        <w:t>ttain</w:t>
      </w:r>
      <w:r w:rsidR="008D1859">
        <w:t>able ideal</w:t>
      </w:r>
      <w:r w:rsidR="00AB571C">
        <w:t>,</w:t>
      </w:r>
      <w:r w:rsidR="008D1859">
        <w:t xml:space="preserve"> it is also an undesirable ideal because</w:t>
      </w:r>
      <w:r w:rsidR="000F56BF">
        <w:t xml:space="preserve"> it</w:t>
      </w:r>
      <w:r w:rsidR="008D1859">
        <w:t xml:space="preserve"> </w:t>
      </w:r>
      <w:r>
        <w:t>pretend</w:t>
      </w:r>
      <w:r w:rsidR="000F56BF">
        <w:t xml:space="preserve">s that a descriptivism </w:t>
      </w:r>
      <w:r w:rsidR="008D1859">
        <w:t>is value-free</w:t>
      </w:r>
      <w:r>
        <w:t xml:space="preserve">. </w:t>
      </w:r>
      <w:r w:rsidR="000F56BF">
        <w:t xml:space="preserve">Any ideology – including descriptivism – is value-laden. </w:t>
      </w:r>
      <w:r>
        <w:t xml:space="preserve">Instead of dismissing the practice of ‘verbal hygiene’ as a misguided and trite exercise, </w:t>
      </w:r>
      <w:r w:rsidR="00AB571C">
        <w:t xml:space="preserve">then, </w:t>
      </w:r>
      <w:r>
        <w:t xml:space="preserve">Cameron argues that discourses about language serve important functions for those engaged in it. In a similar vein, I will argue that discourses about language and EAL disadvantage serve important functions for those who engage in it. This is whether those who engage in it are </w:t>
      </w:r>
      <w:r w:rsidR="000F56BF">
        <w:t xml:space="preserve">practitioners in the field, such as </w:t>
      </w:r>
      <w:r>
        <w:t xml:space="preserve">journal authors, </w:t>
      </w:r>
      <w:r w:rsidR="000F56BF">
        <w:t>reviews, editors and</w:t>
      </w:r>
      <w:r w:rsidR="00AB571C">
        <w:t xml:space="preserve"> </w:t>
      </w:r>
      <w:r w:rsidR="00C163C1">
        <w:t>EAP</w:t>
      </w:r>
      <w:r w:rsidR="00AB571C">
        <w:t xml:space="preserve"> </w:t>
      </w:r>
      <w:r w:rsidR="000F56BF">
        <w:t xml:space="preserve">practitioners, or theoreticians, such as Applied Linguists in general or more specifically EAP </w:t>
      </w:r>
      <w:r w:rsidR="00AB571C">
        <w:t>and ERP scholars</w:t>
      </w:r>
      <w:r>
        <w:t xml:space="preserve">. </w:t>
      </w:r>
      <w:r w:rsidR="000F56BF">
        <w:t>I will also</w:t>
      </w:r>
      <w:r w:rsidR="00AB571C">
        <w:t>, i</w:t>
      </w:r>
      <w:r w:rsidR="00C163C1">
        <w:t>n the spi</w:t>
      </w:r>
      <w:r w:rsidR="000F56BF">
        <w:t>rit of ‘verbal hygiene’,</w:t>
      </w:r>
      <w:r w:rsidR="00AB571C">
        <w:t xml:space="preserve"> </w:t>
      </w:r>
      <w:r w:rsidR="00C163C1">
        <w:t xml:space="preserve">reflect on whether the abundance of discourses about language and EAL disadvantage </w:t>
      </w:r>
      <w:r w:rsidR="00AB571C">
        <w:t xml:space="preserve">are </w:t>
      </w:r>
      <w:r w:rsidR="00C163C1">
        <w:t>proportion</w:t>
      </w:r>
      <w:r w:rsidR="00AB571C">
        <w:t>ate to their effect in the ‘real world’</w:t>
      </w:r>
      <w:r w:rsidR="00C163C1">
        <w:t>.</w:t>
      </w:r>
    </w:p>
    <w:p w:rsidR="00BD4036" w:rsidRDefault="00BD4036" w:rsidP="008F4269">
      <w:pPr>
        <w:pStyle w:val="MDPI31text"/>
      </w:pPr>
    </w:p>
    <w:p w:rsidR="00ED02A7" w:rsidRDefault="00ED02A7" w:rsidP="00ED02A7">
      <w:pPr>
        <w:pStyle w:val="MDPI31text"/>
        <w:ind w:firstLine="0"/>
      </w:pPr>
    </w:p>
    <w:p w:rsidR="00343A7E" w:rsidRDefault="00A900D9" w:rsidP="006E583D">
      <w:pPr>
        <w:pStyle w:val="MDPI31text"/>
        <w:ind w:firstLine="0"/>
      </w:pPr>
      <w:r w:rsidRPr="00501982">
        <w:t xml:space="preserve">3. </w:t>
      </w:r>
      <w:r w:rsidR="006E583D">
        <w:t>Discourses of EAL disadvantage</w:t>
      </w:r>
    </w:p>
    <w:p w:rsidR="00A34F1C" w:rsidRPr="00643C5A" w:rsidRDefault="000E02E4" w:rsidP="00643C5A">
      <w:pPr>
        <w:pStyle w:val="MDPI31text"/>
        <w:rPr>
          <w:lang w:val="en-GB"/>
        </w:rPr>
      </w:pPr>
      <w:r>
        <w:t>A</w:t>
      </w:r>
      <w:r w:rsidR="001E7FA0">
        <w:t>s noted, the field</w:t>
      </w:r>
      <w:r w:rsidR="00F915CA">
        <w:t>s</w:t>
      </w:r>
      <w:r w:rsidR="001E7FA0">
        <w:t xml:space="preserve"> of ERP and EAP rest on the assumption</w:t>
      </w:r>
      <w:r w:rsidR="004828C3">
        <w:t xml:space="preserve"> of </w:t>
      </w:r>
      <w:r w:rsidR="00F915CA">
        <w:t xml:space="preserve">some form of </w:t>
      </w:r>
      <w:r w:rsidR="004828C3">
        <w:t xml:space="preserve">‘native speaker advantage’. </w:t>
      </w:r>
      <w:r w:rsidR="001E7FA0">
        <w:rPr>
          <w:lang w:val="en-GB"/>
        </w:rPr>
        <w:t>This assumption has been derived from empirical research of stakeholders</w:t>
      </w:r>
      <w:r w:rsidR="00C6338E">
        <w:rPr>
          <w:lang w:val="en-GB"/>
        </w:rPr>
        <w:t xml:space="preserve"> engaged in the practice of </w:t>
      </w:r>
      <w:r w:rsidR="00A34F1C">
        <w:t>academ</w:t>
      </w:r>
      <w:r w:rsidR="00F915CA">
        <w:t>ic publishing. By the ‘</w:t>
      </w:r>
      <w:r w:rsidR="00C6338E">
        <w:t xml:space="preserve">stakeholders engaged in the practice of </w:t>
      </w:r>
      <w:r w:rsidR="00F915CA">
        <w:t>academic publishing’,</w:t>
      </w:r>
      <w:r w:rsidR="00A34F1C">
        <w:t xml:space="preserve"> I </w:t>
      </w:r>
      <w:r w:rsidR="002C443C">
        <w:t>understand</w:t>
      </w:r>
      <w:r w:rsidR="00A34F1C">
        <w:t xml:space="preserve"> </w:t>
      </w:r>
      <w:r w:rsidR="002C443C">
        <w:t>everyone who</w:t>
      </w:r>
      <w:r w:rsidR="00A34F1C">
        <w:t xml:space="preserve">, </w:t>
      </w:r>
      <w:r w:rsidR="002C443C">
        <w:t>to varying degrees</w:t>
      </w:r>
      <w:r w:rsidR="00A34F1C">
        <w:t>, has a stake in</w:t>
      </w:r>
      <w:r w:rsidR="002C443C">
        <w:t xml:space="preserve"> </w:t>
      </w:r>
      <w:r w:rsidR="00A34F1C">
        <w:t xml:space="preserve">and is involved in </w:t>
      </w:r>
      <w:r w:rsidR="002C443C">
        <w:t xml:space="preserve">the </w:t>
      </w:r>
      <w:r w:rsidR="00F915CA">
        <w:t xml:space="preserve">production and process of </w:t>
      </w:r>
      <w:r w:rsidR="002C443C">
        <w:t xml:space="preserve">academic publishing. These </w:t>
      </w:r>
      <w:r w:rsidR="00A34F1C">
        <w:t xml:space="preserve">stakeholders </w:t>
      </w:r>
      <w:r w:rsidR="002C443C">
        <w:t xml:space="preserve">range from </w:t>
      </w:r>
      <w:r w:rsidR="00A34F1C">
        <w:t xml:space="preserve">text producers themselves, </w:t>
      </w:r>
      <w:r w:rsidR="002C443C">
        <w:t xml:space="preserve">most </w:t>
      </w:r>
      <w:r w:rsidR="00A34F1C">
        <w:t>notably</w:t>
      </w:r>
      <w:r w:rsidR="00C6338E">
        <w:t xml:space="preserve"> manuscript authors, to ‘literacy brokers’, </w:t>
      </w:r>
      <w:r w:rsidR="00C6338E" w:rsidRPr="00C6338E">
        <w:t xml:space="preserve">such as </w:t>
      </w:r>
      <w:r w:rsidR="00C6338E">
        <w:t>‘</w:t>
      </w:r>
      <w:r w:rsidR="00C6338E" w:rsidRPr="00C6338E">
        <w:t>editors, reviewers, academic peers, and English-speaking friends and colleagues, who mediate text production in a number of ways</w:t>
      </w:r>
      <w:r w:rsidR="00C6338E">
        <w:t>’</w:t>
      </w:r>
      <w:r w:rsidR="00C6338E" w:rsidRPr="00C6338E">
        <w:t xml:space="preserve"> </w:t>
      </w:r>
      <w:r w:rsidR="00A34F1C">
        <w:t xml:space="preserve">(Lillis and Curry </w:t>
      </w:r>
      <w:r w:rsidR="00C6338E" w:rsidRPr="00C6338E">
        <w:t>2006: 4</w:t>
      </w:r>
      <w:r w:rsidR="00A34F1C">
        <w:t>)</w:t>
      </w:r>
      <w:r w:rsidR="002C443C" w:rsidRPr="0085659F">
        <w:t>.</w:t>
      </w:r>
      <w:r w:rsidR="002C443C">
        <w:t xml:space="preserve"> </w:t>
      </w:r>
    </w:p>
    <w:p w:rsidR="00343A7E" w:rsidRDefault="00F915CA" w:rsidP="00343A7E">
      <w:pPr>
        <w:pStyle w:val="MDPI31text"/>
      </w:pPr>
      <w:r>
        <w:lastRenderedPageBreak/>
        <w:t xml:space="preserve">One illustrative example among many of the discourses that prevail in global academic publishing are provided by </w:t>
      </w:r>
      <w:r w:rsidR="00343A7E">
        <w:t>Lillis and Curry (2015)</w:t>
      </w:r>
      <w:r>
        <w:t>. In their study, the authors</w:t>
      </w:r>
      <w:r w:rsidR="00343A7E">
        <w:t xml:space="preserve"> examined editors’ and reviewers’ comments on 95 manuscripts produced by </w:t>
      </w:r>
      <w:r w:rsidR="003F42F2">
        <w:t xml:space="preserve">50 </w:t>
      </w:r>
      <w:r w:rsidR="00343A7E">
        <w:t>multilingual scholars from Slovakia, Hungary, Spain and Portugal</w:t>
      </w:r>
      <w:r w:rsidR="003F42F2">
        <w:t xml:space="preserve"> working in the areas of psychology and education.</w:t>
      </w:r>
      <w:r w:rsidR="00343A7E">
        <w:t xml:space="preserve"> </w:t>
      </w:r>
      <w:r w:rsidR="003F42F2">
        <w:t>They</w:t>
      </w:r>
      <w:r w:rsidR="00343A7E">
        <w:t xml:space="preserve"> found that 58 of them (61%) foregrounded problems with the language or with English as a significant problem with the article. Of those 58 manuscripts where language or English is foregrounded as a problem, 47 (81%) are explicitly marked as related to English being used as a ‘foreign language’ or by ‘second language users’. </w:t>
      </w:r>
      <w:r w:rsidR="003F42F2">
        <w:t>T</w:t>
      </w:r>
      <w:r w:rsidR="00343A7E">
        <w:t xml:space="preserve">he </w:t>
      </w:r>
      <w:r w:rsidR="003F42F2">
        <w:t xml:space="preserve">editors’ and reviewers’ comments </w:t>
      </w:r>
      <w:r w:rsidR="00C6338E">
        <w:t xml:space="preserve">took the </w:t>
      </w:r>
      <w:r w:rsidR="003F42F2">
        <w:t>following</w:t>
      </w:r>
      <w:r w:rsidR="00C6338E">
        <w:t xml:space="preserve"> form</w:t>
      </w:r>
      <w:r w:rsidR="00343A7E">
        <w:t>:</w:t>
      </w:r>
    </w:p>
    <w:p w:rsidR="000E02E4" w:rsidRDefault="000E02E4" w:rsidP="00343A7E">
      <w:pPr>
        <w:pStyle w:val="MDPI31text"/>
      </w:pPr>
    </w:p>
    <w:p w:rsidR="000E02E4" w:rsidRPr="000E02E4" w:rsidRDefault="000E02E4" w:rsidP="003F42F2">
      <w:pPr>
        <w:pStyle w:val="MDPI31text"/>
        <w:ind w:left="709" w:right="764" w:firstLine="0"/>
        <w:rPr>
          <w:lang w:val="en-GB"/>
        </w:rPr>
      </w:pPr>
      <w:r w:rsidRPr="000E02E4">
        <w:rPr>
          <w:lang w:val="en-GB"/>
        </w:rPr>
        <w:t>The author is clearly well-versed in this area, but the manuscript needs quite a bit of work on its English grammar and spelling.</w:t>
      </w:r>
    </w:p>
    <w:p w:rsidR="000E02E4" w:rsidRDefault="000E02E4" w:rsidP="003F42F2">
      <w:pPr>
        <w:pStyle w:val="MDPI31text"/>
        <w:ind w:left="709" w:right="764"/>
        <w:rPr>
          <w:lang w:val="en-GB"/>
        </w:rPr>
      </w:pPr>
    </w:p>
    <w:p w:rsidR="000E02E4" w:rsidRPr="000E02E4" w:rsidRDefault="000E02E4" w:rsidP="003F42F2">
      <w:pPr>
        <w:pStyle w:val="MDPI31text"/>
        <w:ind w:left="709" w:right="764" w:firstLine="0"/>
        <w:rPr>
          <w:lang w:val="en-GB"/>
        </w:rPr>
      </w:pPr>
      <w:r w:rsidRPr="000E02E4">
        <w:rPr>
          <w:lang w:val="en-GB"/>
        </w:rPr>
        <w:t>The English language should be improved.</w:t>
      </w:r>
    </w:p>
    <w:p w:rsidR="000E02E4" w:rsidRDefault="000E02E4" w:rsidP="003F42F2">
      <w:pPr>
        <w:pStyle w:val="MDPI31text"/>
        <w:ind w:left="709" w:right="764"/>
        <w:rPr>
          <w:lang w:val="en-GB"/>
        </w:rPr>
      </w:pPr>
    </w:p>
    <w:p w:rsidR="003F42F2" w:rsidRDefault="000E02E4" w:rsidP="003F42F2">
      <w:pPr>
        <w:pStyle w:val="MDPI31text"/>
        <w:ind w:left="709" w:right="764" w:firstLine="0"/>
        <w:rPr>
          <w:lang w:val="en-GB"/>
        </w:rPr>
      </w:pPr>
      <w:r w:rsidRPr="000E02E4">
        <w:rPr>
          <w:lang w:val="en-GB"/>
        </w:rPr>
        <w:t>The author(s) of the paper are clearly struggling with English as a second language, which is an issue in itself.</w:t>
      </w:r>
    </w:p>
    <w:p w:rsidR="003F42F2" w:rsidRDefault="003F42F2" w:rsidP="003F42F2">
      <w:pPr>
        <w:pStyle w:val="MDPI31text"/>
        <w:ind w:left="709" w:right="764" w:firstLine="0"/>
        <w:rPr>
          <w:lang w:val="en-GB"/>
        </w:rPr>
      </w:pPr>
    </w:p>
    <w:p w:rsidR="000E02E4" w:rsidRPr="000E02E4" w:rsidRDefault="000E02E4" w:rsidP="003F42F2">
      <w:pPr>
        <w:pStyle w:val="MDPI31text"/>
        <w:ind w:left="709" w:right="764" w:firstLine="0"/>
        <w:rPr>
          <w:lang w:val="en-GB"/>
        </w:rPr>
      </w:pPr>
      <w:r w:rsidRPr="000E02E4">
        <w:rPr>
          <w:lang w:val="en-GB"/>
        </w:rPr>
        <w:t>The English has to be revised and worded in a more idiomatic and</w:t>
      </w:r>
      <w:r w:rsidR="003F42F2">
        <w:rPr>
          <w:lang w:val="en-GB"/>
        </w:rPr>
        <w:t xml:space="preserve"> </w:t>
      </w:r>
      <w:r w:rsidRPr="000E02E4">
        <w:rPr>
          <w:lang w:val="en-GB"/>
        </w:rPr>
        <w:t>simple way.</w:t>
      </w:r>
    </w:p>
    <w:p w:rsidR="000E02E4" w:rsidRDefault="000E02E4" w:rsidP="003F42F2">
      <w:pPr>
        <w:pStyle w:val="MDPI31text"/>
        <w:ind w:left="709" w:right="764"/>
        <w:rPr>
          <w:lang w:val="en-GB"/>
        </w:rPr>
      </w:pPr>
    </w:p>
    <w:p w:rsidR="000E02E4" w:rsidRPr="000E02E4" w:rsidRDefault="000E02E4" w:rsidP="003F42F2">
      <w:pPr>
        <w:pStyle w:val="MDPI31text"/>
        <w:ind w:left="709" w:right="764" w:firstLine="0"/>
        <w:rPr>
          <w:lang w:val="en-GB"/>
        </w:rPr>
      </w:pPr>
      <w:r w:rsidRPr="000E02E4">
        <w:rPr>
          <w:lang w:val="en-GB"/>
        </w:rPr>
        <w:t>It is crucially important that the whole manuscript is proofread and edited by a native English speaker to make sure that all paragraphs convey the authors’ intended meaning accurately.</w:t>
      </w:r>
    </w:p>
    <w:p w:rsidR="000E02E4" w:rsidRDefault="000E02E4" w:rsidP="00343A7E">
      <w:pPr>
        <w:pStyle w:val="MDPI31text"/>
        <w:rPr>
          <w:lang w:val="en-GB"/>
        </w:rPr>
      </w:pPr>
    </w:p>
    <w:p w:rsidR="00343A7E" w:rsidRDefault="009777CD" w:rsidP="009777CD">
      <w:pPr>
        <w:pStyle w:val="MDPI31text"/>
        <w:ind w:firstLine="0"/>
      </w:pPr>
      <w:r>
        <w:rPr>
          <w:lang w:val="en-GB"/>
        </w:rPr>
        <w:t>Such</w:t>
      </w:r>
      <w:r w:rsidR="003F42F2">
        <w:rPr>
          <w:lang w:val="en-GB"/>
        </w:rPr>
        <w:t xml:space="preserve"> comments clearly foreground the</w:t>
      </w:r>
      <w:r w:rsidR="008D0BC6">
        <w:rPr>
          <w:lang w:val="en-GB"/>
        </w:rPr>
        <w:t>se</w:t>
      </w:r>
      <w:r w:rsidR="00AF61C5">
        <w:rPr>
          <w:lang w:val="en-GB"/>
        </w:rPr>
        <w:t xml:space="preserve"> authors’ status as</w:t>
      </w:r>
      <w:r w:rsidR="003F42F2">
        <w:rPr>
          <w:lang w:val="en-GB"/>
        </w:rPr>
        <w:t xml:space="preserve"> second-language user</w:t>
      </w:r>
      <w:r w:rsidR="00AF61C5">
        <w:rPr>
          <w:lang w:val="en-GB"/>
        </w:rPr>
        <w:t>s</w:t>
      </w:r>
      <w:r w:rsidR="003F42F2">
        <w:rPr>
          <w:lang w:val="en-GB"/>
        </w:rPr>
        <w:t>, casting the</w:t>
      </w:r>
      <w:r>
        <w:rPr>
          <w:lang w:val="en-GB"/>
        </w:rPr>
        <w:t>m as struggling and their</w:t>
      </w:r>
      <w:r w:rsidR="003F42F2">
        <w:rPr>
          <w:lang w:val="en-GB"/>
        </w:rPr>
        <w:t xml:space="preserve"> language </w:t>
      </w:r>
      <w:r>
        <w:rPr>
          <w:lang w:val="en-GB"/>
        </w:rPr>
        <w:t xml:space="preserve">as in need of work, editing, proofreading, revision and </w:t>
      </w:r>
      <w:r w:rsidR="003F42F2">
        <w:rPr>
          <w:lang w:val="en-GB"/>
        </w:rPr>
        <w:t>improvement</w:t>
      </w:r>
      <w:r>
        <w:rPr>
          <w:lang w:val="en-GB"/>
        </w:rPr>
        <w:t xml:space="preserve">. </w:t>
      </w:r>
      <w:r w:rsidR="00F915CA">
        <w:t>A</w:t>
      </w:r>
      <w:r w:rsidR="00343A7E">
        <w:t xml:space="preserve">s Lillis and Curry </w:t>
      </w:r>
      <w:r>
        <w:t xml:space="preserve">show, not only is language in general commented on extensively in reviews, the fact that the </w:t>
      </w:r>
      <w:r w:rsidR="00F915CA">
        <w:t xml:space="preserve">manuscript </w:t>
      </w:r>
      <w:r>
        <w:t>authors use English as their second-language is also topicalized.</w:t>
      </w:r>
      <w:r w:rsidR="003B630C">
        <w:t xml:space="preserve"> However, despite this topicalization of second-language users, Lillis and Curry are careful to point out</w:t>
      </w:r>
      <w:r w:rsidR="00F915CA">
        <w:t xml:space="preserve"> that their data does not provide evidence </w:t>
      </w:r>
      <w:r w:rsidR="003B630C">
        <w:t xml:space="preserve">that any negative comments on English actually lead to an article being rejected. As they say ‘language by itself does not act as a warrant for dismissal or rejection’ </w:t>
      </w:r>
      <w:r w:rsidR="003B630C" w:rsidRPr="000E02E4">
        <w:rPr>
          <w:lang w:val="en-GB"/>
        </w:rPr>
        <w:t>(Lillis and Curry 2015: 147)</w:t>
      </w:r>
      <w:r w:rsidR="003B630C">
        <w:t>.</w:t>
      </w:r>
    </w:p>
    <w:p w:rsidR="0054718E" w:rsidRDefault="003B630C" w:rsidP="0054718E">
      <w:pPr>
        <w:pStyle w:val="MDPI31text"/>
      </w:pPr>
      <w:r>
        <w:t xml:space="preserve">Where </w:t>
      </w:r>
      <w:r w:rsidR="00F915CA">
        <w:t>Lillis and Curry</w:t>
      </w:r>
      <w:r w:rsidR="00AF61C5">
        <w:t xml:space="preserve">’s study are among the few that </w:t>
      </w:r>
      <w:r w:rsidR="00F915CA">
        <w:t xml:space="preserve">explore the </w:t>
      </w:r>
      <w:r>
        <w:t>discourses of</w:t>
      </w:r>
      <w:r w:rsidR="001D68C1">
        <w:t xml:space="preserve"> journal </w:t>
      </w:r>
      <w:r>
        <w:t xml:space="preserve">editors and reviewers, a </w:t>
      </w:r>
      <w:r w:rsidR="00AF61C5">
        <w:t>larger proportion</w:t>
      </w:r>
      <w:r>
        <w:t xml:space="preserve"> of research </w:t>
      </w:r>
      <w:r w:rsidR="00F915CA">
        <w:t xml:space="preserve">has </w:t>
      </w:r>
      <w:r>
        <w:t>explor</w:t>
      </w:r>
      <w:r w:rsidR="00F915CA">
        <w:t>ed</w:t>
      </w:r>
      <w:r>
        <w:t xml:space="preserve"> the perceived difficulties </w:t>
      </w:r>
      <w:r w:rsidR="00343A7E">
        <w:t xml:space="preserve">experienced by EAL authors themselves. </w:t>
      </w:r>
      <w:r w:rsidR="0090259D">
        <w:t>S</w:t>
      </w:r>
      <w:r>
        <w:t xml:space="preserve">uch research </w:t>
      </w:r>
      <w:r w:rsidR="001D68C1">
        <w:t xml:space="preserve">tends to reveal a mixed picture with </w:t>
      </w:r>
      <w:r w:rsidR="00343A7E">
        <w:t xml:space="preserve">scholars </w:t>
      </w:r>
      <w:r w:rsidR="0090259D">
        <w:t xml:space="preserve">at one and the same time </w:t>
      </w:r>
      <w:r w:rsidR="001D68C1">
        <w:t>appreciating</w:t>
      </w:r>
      <w:r w:rsidR="00343A7E">
        <w:t xml:space="preserve"> the benef</w:t>
      </w:r>
      <w:r w:rsidR="001D68C1">
        <w:t>its of a shared language while also</w:t>
      </w:r>
      <w:r w:rsidR="00343A7E">
        <w:t xml:space="preserve"> report</w:t>
      </w:r>
      <w:r w:rsidR="001D68C1">
        <w:t>ing</w:t>
      </w:r>
      <w:r w:rsidR="00343A7E">
        <w:t xml:space="preserve"> on challenges </w:t>
      </w:r>
      <w:r w:rsidR="00F915CA">
        <w:t xml:space="preserve">with writing in </w:t>
      </w:r>
      <w:r w:rsidR="00AF61C5">
        <w:t xml:space="preserve">a </w:t>
      </w:r>
      <w:r w:rsidR="00F915CA">
        <w:t>language that they do not know as well as their first language. They also</w:t>
      </w:r>
      <w:r w:rsidR="00343A7E">
        <w:t xml:space="preserve"> sometimes </w:t>
      </w:r>
      <w:r w:rsidR="00F915CA">
        <w:t xml:space="preserve">share </w:t>
      </w:r>
      <w:r w:rsidR="00343A7E">
        <w:t xml:space="preserve">beliefs </w:t>
      </w:r>
      <w:r w:rsidR="000E02E4">
        <w:t>that they are</w:t>
      </w:r>
      <w:r w:rsidR="0090259D">
        <w:t xml:space="preserve"> being</w:t>
      </w:r>
      <w:r w:rsidR="000E02E4">
        <w:t xml:space="preserve"> treated unfairly. </w:t>
      </w:r>
      <w:r w:rsidR="002D1420">
        <w:t xml:space="preserve">In a study based on </w:t>
      </w:r>
      <w:r w:rsidR="002D1420" w:rsidRPr="002D1420">
        <w:t xml:space="preserve">10 qualitative semi-structured interviews </w:t>
      </w:r>
      <w:r w:rsidR="002D1420">
        <w:t xml:space="preserve">with </w:t>
      </w:r>
      <w:r w:rsidR="002D1420" w:rsidRPr="002D1420">
        <w:t>senior Spanish academics at the University of Zaragoza</w:t>
      </w:r>
      <w:r w:rsidR="002D1420">
        <w:t xml:space="preserve"> in Spain, half of whom were working in </w:t>
      </w:r>
      <w:r w:rsidR="002D1420" w:rsidRPr="002D1420">
        <w:t>ph</w:t>
      </w:r>
      <w:r w:rsidR="002D1420">
        <w:t>ysical sciences and engineering</w:t>
      </w:r>
      <w:r w:rsidR="002D1420" w:rsidRPr="002D1420">
        <w:t xml:space="preserve"> and</w:t>
      </w:r>
      <w:r w:rsidR="002D1420">
        <w:t xml:space="preserve"> the other half in the </w:t>
      </w:r>
      <w:r w:rsidR="002D1420" w:rsidRPr="002D1420">
        <w:t>social sciences</w:t>
      </w:r>
      <w:r w:rsidR="002D1420">
        <w:t>, i</w:t>
      </w:r>
      <w:r w:rsidR="0090259D">
        <w:t xml:space="preserve">ssues related to language and EAL disadvantage </w:t>
      </w:r>
      <w:r w:rsidR="00AF61C5">
        <w:t>were</w:t>
      </w:r>
      <w:r w:rsidR="002D1420">
        <w:t xml:space="preserve"> </w:t>
      </w:r>
      <w:r w:rsidR="0090259D">
        <w:t>certainly</w:t>
      </w:r>
      <w:r w:rsidR="002D1420">
        <w:t xml:space="preserve"> foregrounded </w:t>
      </w:r>
      <w:r w:rsidR="0090259D">
        <w:t>(</w:t>
      </w:r>
      <w:r w:rsidR="00E57F5A">
        <w:t xml:space="preserve">Ferguson </w:t>
      </w:r>
      <w:r w:rsidR="002D1420">
        <w:t xml:space="preserve">et al. 2011; </w:t>
      </w:r>
      <w:r w:rsidR="0090259D">
        <w:t>see also Perez-Llantada 2018)</w:t>
      </w:r>
      <w:r w:rsidR="002D1420">
        <w:t>. One scholar said about writing in English:</w:t>
      </w:r>
    </w:p>
    <w:p w:rsidR="0054718E" w:rsidRDefault="0054718E" w:rsidP="0054718E">
      <w:pPr>
        <w:pStyle w:val="MDPI31text"/>
      </w:pPr>
    </w:p>
    <w:p w:rsidR="003B630C" w:rsidRDefault="003B630C" w:rsidP="0054718E">
      <w:pPr>
        <w:pStyle w:val="MDPI31text"/>
        <w:ind w:left="851" w:right="737" w:firstLine="0"/>
        <w:rPr>
          <w:snapToGrid/>
        </w:rPr>
      </w:pPr>
      <w:r w:rsidRPr="003B630C">
        <w:rPr>
          <w:snapToGrid/>
        </w:rPr>
        <w:t xml:space="preserve">you become unsatisfied because you don’t write </w:t>
      </w:r>
      <w:r w:rsidR="002D1420" w:rsidRPr="002D1420">
        <w:t xml:space="preserve">as easily as you would do it in </w:t>
      </w:r>
      <w:r w:rsidR="0054718E">
        <w:t>S</w:t>
      </w:r>
      <w:r w:rsidRPr="003B630C">
        <w:rPr>
          <w:snapToGrid/>
        </w:rPr>
        <w:t>panish. In Spanish, when you write you can express something in a way that you like, that looks nice, not a literary piece of art, but something that does not sound poor and this is what happens when using English, you don’t say what you know</w:t>
      </w:r>
      <w:r w:rsidR="0090259D" w:rsidRPr="002D1420">
        <w:t>, on</w:t>
      </w:r>
      <w:r w:rsidR="002D1420" w:rsidRPr="002D1420">
        <w:t>ly what you can</w:t>
      </w:r>
      <w:r w:rsidR="0090259D" w:rsidRPr="002D1420">
        <w:t xml:space="preserve"> (</w:t>
      </w:r>
      <w:r w:rsidR="002D1420" w:rsidRPr="002D1420">
        <w:t>S</w:t>
      </w:r>
      <w:r w:rsidR="0090259D" w:rsidRPr="002D1420">
        <w:t xml:space="preserve">cholar interviewed by </w:t>
      </w:r>
      <w:r w:rsidR="00E57F5A">
        <w:t xml:space="preserve">Ferguson </w:t>
      </w:r>
      <w:r w:rsidR="0090259D" w:rsidRPr="002D1420">
        <w:t>et al. 2011</w:t>
      </w:r>
      <w:r w:rsidRPr="003B630C">
        <w:rPr>
          <w:snapToGrid/>
        </w:rPr>
        <w:t>)</w:t>
      </w:r>
    </w:p>
    <w:p w:rsidR="0054718E" w:rsidRDefault="0054718E" w:rsidP="0054718E">
      <w:pPr>
        <w:pStyle w:val="MDPI31text"/>
        <w:rPr>
          <w:snapToGrid/>
        </w:rPr>
      </w:pPr>
    </w:p>
    <w:p w:rsidR="009777CD" w:rsidRPr="0054718E" w:rsidRDefault="0090259D" w:rsidP="00E81EAE">
      <w:pPr>
        <w:spacing w:after="240" w:line="240" w:lineRule="auto"/>
        <w:ind w:right="28"/>
        <w:jc w:val="left"/>
        <w:rPr>
          <w:rFonts w:ascii="Palatino Linotype" w:hAnsi="Palatino Linotype"/>
          <w:snapToGrid w:val="0"/>
          <w:sz w:val="20"/>
          <w:szCs w:val="22"/>
          <w:lang w:bidi="en-US"/>
        </w:rPr>
      </w:pPr>
      <w:r>
        <w:rPr>
          <w:rFonts w:ascii="Palatino Linotype" w:hAnsi="Palatino Linotype"/>
          <w:snapToGrid w:val="0"/>
          <w:sz w:val="20"/>
          <w:szCs w:val="22"/>
          <w:lang w:bidi="en-US"/>
        </w:rPr>
        <w:t>Nevertheless, despite</w:t>
      </w:r>
      <w:r w:rsidR="002D1420">
        <w:rPr>
          <w:rFonts w:ascii="Palatino Linotype" w:hAnsi="Palatino Linotype"/>
          <w:snapToGrid w:val="0"/>
          <w:sz w:val="20"/>
          <w:szCs w:val="22"/>
          <w:lang w:bidi="en-US"/>
        </w:rPr>
        <w:t xml:space="preserve"> such sentiments,</w:t>
      </w:r>
      <w:r>
        <w:rPr>
          <w:rFonts w:ascii="Palatino Linotype" w:hAnsi="Palatino Linotype"/>
          <w:snapToGrid w:val="0"/>
          <w:sz w:val="20"/>
          <w:szCs w:val="22"/>
          <w:lang w:bidi="en-US"/>
        </w:rPr>
        <w:t xml:space="preserve"> </w:t>
      </w:r>
      <w:r w:rsidR="00E57F5A">
        <w:rPr>
          <w:rFonts w:ascii="Palatino Linotype" w:hAnsi="Palatino Linotype"/>
          <w:snapToGrid w:val="0"/>
          <w:sz w:val="20"/>
          <w:szCs w:val="22"/>
          <w:lang w:bidi="en-US"/>
        </w:rPr>
        <w:t>Ferguson</w:t>
      </w:r>
      <w:r>
        <w:rPr>
          <w:rFonts w:ascii="Palatino Linotype" w:hAnsi="Palatino Linotype"/>
          <w:snapToGrid w:val="0"/>
          <w:sz w:val="20"/>
          <w:szCs w:val="22"/>
          <w:lang w:bidi="en-US"/>
        </w:rPr>
        <w:t xml:space="preserve"> et al. 2011 summarise </w:t>
      </w:r>
      <w:r w:rsidR="002D1420">
        <w:rPr>
          <w:rFonts w:ascii="Palatino Linotype" w:hAnsi="Palatino Linotype"/>
          <w:snapToGrid w:val="0"/>
          <w:sz w:val="20"/>
          <w:szCs w:val="22"/>
          <w:lang w:bidi="en-US"/>
        </w:rPr>
        <w:t xml:space="preserve">their </w:t>
      </w:r>
      <w:r w:rsidR="00E81EAE">
        <w:rPr>
          <w:rFonts w:ascii="Palatino Linotype" w:hAnsi="Palatino Linotype"/>
          <w:snapToGrid w:val="0"/>
          <w:sz w:val="20"/>
          <w:szCs w:val="22"/>
          <w:lang w:bidi="en-US"/>
        </w:rPr>
        <w:t>i</w:t>
      </w:r>
      <w:r w:rsidR="002D1420">
        <w:rPr>
          <w:rFonts w:ascii="Palatino Linotype" w:hAnsi="Palatino Linotype"/>
          <w:snapToGrid w:val="0"/>
          <w:sz w:val="20"/>
          <w:szCs w:val="22"/>
          <w:lang w:bidi="en-US"/>
        </w:rPr>
        <w:t>nterview data as follows</w:t>
      </w:r>
      <w:r w:rsidR="0054718E">
        <w:rPr>
          <w:rFonts w:ascii="Palatino Linotype" w:hAnsi="Palatino Linotype"/>
          <w:snapToGrid w:val="0"/>
          <w:sz w:val="20"/>
          <w:szCs w:val="22"/>
          <w:lang w:bidi="en-US"/>
        </w:rPr>
        <w:t>:</w:t>
      </w:r>
      <w:r>
        <w:rPr>
          <w:rFonts w:ascii="Palatino Linotype" w:hAnsi="Palatino Linotype"/>
          <w:snapToGrid w:val="0"/>
          <w:sz w:val="20"/>
          <w:szCs w:val="22"/>
          <w:lang w:bidi="en-US"/>
        </w:rPr>
        <w:t xml:space="preserve"> </w:t>
      </w:r>
    </w:p>
    <w:p w:rsidR="009777CD" w:rsidRDefault="009777CD" w:rsidP="003B630C">
      <w:pPr>
        <w:pStyle w:val="MDPI31text"/>
        <w:ind w:left="993" w:right="595" w:firstLine="0"/>
      </w:pPr>
      <w:r w:rsidRPr="003B630C">
        <w:lastRenderedPageBreak/>
        <w:t>The abiding impression left by the interview data, then, is that interviewees certainly did feel linguistically constrained in writing their papers in English, and this was felt to be burdensome. Clearly, writing in Spanish would have been easier, quicker and allowed more nuanced expression, particularly in the introduction sections, and in this sense interviewees were at some linguistic disadvantage relative to English native-speaker academics. That said, there is little evidence that the interviewees considered language constraints a barrier to publication, or even a major cause of the rejection of submissions. </w:t>
      </w:r>
      <w:r w:rsidR="003B630C" w:rsidRPr="003B630C">
        <w:t>The latter depended more on the quality of the research than on the quality of the language</w:t>
      </w:r>
      <w:r w:rsidR="002D1420">
        <w:t xml:space="preserve"> (</w:t>
      </w:r>
      <w:r w:rsidR="00E57F5A">
        <w:t xml:space="preserve">Ferguson </w:t>
      </w:r>
      <w:r w:rsidR="002D1420" w:rsidRPr="002D1420">
        <w:t>et al. 2011)</w:t>
      </w:r>
      <w:r w:rsidR="003B630C">
        <w:t>.</w:t>
      </w:r>
    </w:p>
    <w:p w:rsidR="0090259D" w:rsidRDefault="0090259D" w:rsidP="0090259D">
      <w:pPr>
        <w:pStyle w:val="MDPI31text"/>
        <w:ind w:right="595" w:firstLine="0"/>
      </w:pPr>
    </w:p>
    <w:p w:rsidR="002D1420" w:rsidRDefault="002D1420" w:rsidP="0054718E">
      <w:pPr>
        <w:pStyle w:val="MDPI31text"/>
        <w:ind w:firstLine="0"/>
      </w:pPr>
      <w:r>
        <w:t xml:space="preserve">In other words, whilst </w:t>
      </w:r>
      <w:r w:rsidR="00E57F5A">
        <w:t xml:space="preserve">Ferguson </w:t>
      </w:r>
      <w:r w:rsidR="0054718E" w:rsidRPr="002D1420">
        <w:t xml:space="preserve">et al. </w:t>
      </w:r>
      <w:r w:rsidR="0054718E">
        <w:t xml:space="preserve">(2011) </w:t>
      </w:r>
      <w:r>
        <w:t xml:space="preserve">recognize feelings of injustice and inadequacy </w:t>
      </w:r>
      <w:r w:rsidR="0054718E">
        <w:t>expressed by EAL scholars</w:t>
      </w:r>
      <w:r>
        <w:t>, they are</w:t>
      </w:r>
      <w:r w:rsidR="00F915CA">
        <w:t xml:space="preserve"> also</w:t>
      </w:r>
      <w:r>
        <w:t xml:space="preserve"> careful to point out, </w:t>
      </w:r>
      <w:r w:rsidR="00F915CA">
        <w:t xml:space="preserve">echoing </w:t>
      </w:r>
      <w:r>
        <w:t>Lillis and Curry</w:t>
      </w:r>
      <w:r w:rsidR="00F915CA">
        <w:t xml:space="preserve"> (2015)</w:t>
      </w:r>
      <w:r>
        <w:t>, that there is ‘</w:t>
      </w:r>
      <w:r w:rsidRPr="003B630C">
        <w:t>little evidence that the interviewees considered language constraints a barrier to publication, or even a major cause of the rejection of submissions</w:t>
      </w:r>
      <w:r>
        <w:t xml:space="preserve">’. This is arguably key and should lead us to be cautious about drawing too hasty conclusions about </w:t>
      </w:r>
      <w:r w:rsidR="0054718E">
        <w:t xml:space="preserve">any </w:t>
      </w:r>
      <w:r>
        <w:t>expressed feelings of disadvantage</w:t>
      </w:r>
      <w:r w:rsidR="00F915CA">
        <w:t xml:space="preserve"> and their relationship with publishing success</w:t>
      </w:r>
      <w:r>
        <w:t xml:space="preserve">. </w:t>
      </w:r>
    </w:p>
    <w:p w:rsidR="0090259D" w:rsidRDefault="00861C6F" w:rsidP="008102AF">
      <w:pPr>
        <w:pStyle w:val="MDPI31text"/>
        <w:ind w:firstLine="420"/>
      </w:pPr>
      <w:r>
        <w:t>Here, it</w:t>
      </w:r>
      <w:r w:rsidR="0054718E">
        <w:t xml:space="preserve"> is worth </w:t>
      </w:r>
      <w:r>
        <w:t xml:space="preserve">returning to an issue that was briefly discussed above, namely that </w:t>
      </w:r>
      <w:r w:rsidR="0054718E">
        <w:t xml:space="preserve">whilst discourses about </w:t>
      </w:r>
      <w:r w:rsidR="0090259D">
        <w:t>language</w:t>
      </w:r>
      <w:r w:rsidR="0054718E">
        <w:t xml:space="preserve"> </w:t>
      </w:r>
      <w:r>
        <w:t xml:space="preserve">are </w:t>
      </w:r>
      <w:r w:rsidR="0054718E">
        <w:t xml:space="preserve">rife in any domain, they are perhaps particularly rife in the field of academic publishing. This is </w:t>
      </w:r>
      <w:r>
        <w:t xml:space="preserve">not only </w:t>
      </w:r>
      <w:r w:rsidR="0054718E">
        <w:t>because</w:t>
      </w:r>
      <w:r>
        <w:t xml:space="preserve">, as discussed above, the field is </w:t>
      </w:r>
      <w:r w:rsidR="00AF61C5">
        <w:t>under transformation; more to the point, perhaps,</w:t>
      </w:r>
      <w:r>
        <w:t xml:space="preserve"> it is also a </w:t>
      </w:r>
      <w:r w:rsidR="0054718E">
        <w:t>field centred on language</w:t>
      </w:r>
      <w:r w:rsidR="008102AF">
        <w:t xml:space="preserve"> work</w:t>
      </w:r>
      <w:r>
        <w:t>. A</w:t>
      </w:r>
      <w:r w:rsidR="0090259D">
        <w:t xml:space="preserve"> </w:t>
      </w:r>
      <w:r>
        <w:t xml:space="preserve">written </w:t>
      </w:r>
      <w:r w:rsidR="0090259D">
        <w:t>text</w:t>
      </w:r>
      <w:r>
        <w:t xml:space="preserve"> </w:t>
      </w:r>
      <w:r w:rsidR="0090259D">
        <w:t>is the main</w:t>
      </w:r>
      <w:r w:rsidR="0054718E">
        <w:t>, or only,</w:t>
      </w:r>
      <w:r w:rsidR="0090259D">
        <w:t xml:space="preserve"> thing</w:t>
      </w:r>
      <w:r w:rsidR="008102AF">
        <w:t xml:space="preserve"> an author is being assessed on and the </w:t>
      </w:r>
      <w:r>
        <w:t xml:space="preserve">most important </w:t>
      </w:r>
      <w:r w:rsidR="008102AF">
        <w:t>thing</w:t>
      </w:r>
      <w:r w:rsidR="0090259D">
        <w:t xml:space="preserve"> that editorial gatekeepers </w:t>
      </w:r>
      <w:r w:rsidR="008102AF">
        <w:t xml:space="preserve">base their </w:t>
      </w:r>
      <w:r w:rsidR="0090259D">
        <w:t>decisions</w:t>
      </w:r>
      <w:r w:rsidR="008102AF">
        <w:t xml:space="preserve"> on</w:t>
      </w:r>
      <w:r w:rsidR="0090259D">
        <w:t>.</w:t>
      </w:r>
      <w:r w:rsidR="008102AF">
        <w:t xml:space="preserve"> </w:t>
      </w:r>
      <w:r>
        <w:t>E</w:t>
      </w:r>
      <w:r w:rsidR="008102AF">
        <w:t>verything rides</w:t>
      </w:r>
      <w:r>
        <w:t>, then,</w:t>
      </w:r>
      <w:r w:rsidR="008102AF">
        <w:t xml:space="preserve"> on </w:t>
      </w:r>
      <w:r>
        <w:t>this</w:t>
      </w:r>
      <w:r w:rsidR="008102AF">
        <w:t xml:space="preserve"> particular text</w:t>
      </w:r>
      <w:r>
        <w:t>,</w:t>
      </w:r>
      <w:r w:rsidR="008102AF">
        <w:t xml:space="preserve"> </w:t>
      </w:r>
      <w:r>
        <w:t>the manuscript,</w:t>
      </w:r>
      <w:r w:rsidR="008102AF">
        <w:t xml:space="preserve"> and </w:t>
      </w:r>
      <w:r>
        <w:t>any</w:t>
      </w:r>
      <w:r w:rsidR="008102AF">
        <w:t xml:space="preserve"> meta-</w:t>
      </w:r>
      <w:r>
        <w:t>texts that might</w:t>
      </w:r>
      <w:r w:rsidR="008102AF">
        <w:t xml:space="preserve"> </w:t>
      </w:r>
      <w:r>
        <w:t xml:space="preserve">accompany it, be it authors’ </w:t>
      </w:r>
      <w:r w:rsidR="008102AF">
        <w:t>cover letter</w:t>
      </w:r>
      <w:r>
        <w:t>s or referees’</w:t>
      </w:r>
      <w:r w:rsidR="008102AF">
        <w:t xml:space="preserve"> review</w:t>
      </w:r>
      <w:r>
        <w:t>s, etc</w:t>
      </w:r>
      <w:r w:rsidR="008102AF">
        <w:t>.</w:t>
      </w:r>
      <w:r w:rsidR="0054718E">
        <w:t xml:space="preserve"> </w:t>
      </w:r>
      <w:r w:rsidR="008102AF">
        <w:t>More broadly, a</w:t>
      </w:r>
      <w:r w:rsidR="0054718E">
        <w:t xml:space="preserve">cademic publishing is a </w:t>
      </w:r>
      <w:r w:rsidR="006E583D">
        <w:t>high-stakes</w:t>
      </w:r>
      <w:r w:rsidR="008102AF">
        <w:t>, prestigious</w:t>
      </w:r>
      <w:r w:rsidR="0054718E">
        <w:t xml:space="preserve"> field with a lot of vested interest</w:t>
      </w:r>
      <w:r>
        <w:t xml:space="preserve"> bot</w:t>
      </w:r>
      <w:r w:rsidR="00B06D43">
        <w:t>h for the individual and for an institution</w:t>
      </w:r>
      <w:r w:rsidR="0054718E">
        <w:t xml:space="preserve">. </w:t>
      </w:r>
      <w:r w:rsidR="008102AF">
        <w:t xml:space="preserve">Participation in it can make or break </w:t>
      </w:r>
      <w:r w:rsidR="00B06D43">
        <w:t xml:space="preserve">an </w:t>
      </w:r>
      <w:r w:rsidR="008102AF">
        <w:t xml:space="preserve">authors’ </w:t>
      </w:r>
      <w:r w:rsidR="0054718E">
        <w:t>career</w:t>
      </w:r>
      <w:r w:rsidR="00B06D43">
        <w:t xml:space="preserve"> and</w:t>
      </w:r>
      <w:r w:rsidR="008102AF">
        <w:t xml:space="preserve"> give kudos to editors; </w:t>
      </w:r>
      <w:r w:rsidR="00B06D43">
        <w:t>the allocation of funding to many higher education institutions is contingent upon participation in the field; and publishing houses</w:t>
      </w:r>
      <w:r>
        <w:t xml:space="preserve"> vie to participate in th</w:t>
      </w:r>
      <w:r w:rsidR="00B06D43">
        <w:t>e</w:t>
      </w:r>
      <w:r w:rsidR="008102AF">
        <w:t xml:space="preserve"> </w:t>
      </w:r>
      <w:r w:rsidR="0054718E">
        <w:t>lucrative</w:t>
      </w:r>
      <w:r w:rsidR="008102AF">
        <w:t xml:space="preserve"> industry of global academic publishing. </w:t>
      </w:r>
      <w:r w:rsidR="006E583D">
        <w:t>Thus</w:t>
      </w:r>
      <w:r w:rsidR="008102AF">
        <w:t>, it is little surprising if</w:t>
      </w:r>
      <w:r w:rsidR="006E583D">
        <w:t xml:space="preserve"> discourses </w:t>
      </w:r>
      <w:r w:rsidR="008102AF">
        <w:t xml:space="preserve">about language are especially strongly felt </w:t>
      </w:r>
      <w:r>
        <w:t xml:space="preserve">and fervently expressed </w:t>
      </w:r>
      <w:r w:rsidR="008102AF">
        <w:t>in academic publishing.</w:t>
      </w:r>
    </w:p>
    <w:p w:rsidR="002153AE" w:rsidRDefault="008102AF" w:rsidP="008102AF">
      <w:pPr>
        <w:pStyle w:val="MDPI31text"/>
        <w:ind w:right="28" w:firstLine="420"/>
      </w:pPr>
      <w:r>
        <w:t xml:space="preserve">Notwithstanding </w:t>
      </w:r>
      <w:r w:rsidR="00861C6F">
        <w:t>this,</w:t>
      </w:r>
      <w:r w:rsidR="0054718E">
        <w:t xml:space="preserve"> this should not</w:t>
      </w:r>
      <w:r w:rsidR="00861C6F">
        <w:t>, in the spirit of verbal hygiene,</w:t>
      </w:r>
      <w:r w:rsidR="0054718E">
        <w:t xml:space="preserve"> stop us from </w:t>
      </w:r>
      <w:r>
        <w:t>probing into</w:t>
      </w:r>
      <w:r w:rsidR="00343A7E">
        <w:t xml:space="preserve"> what these discourses about language might reveal in terms of und</w:t>
      </w:r>
      <w:r w:rsidR="00861C6F">
        <w:t xml:space="preserve">erlying </w:t>
      </w:r>
      <w:r w:rsidR="00343A7E">
        <w:t>values,</w:t>
      </w:r>
      <w:r>
        <w:t xml:space="preserve"> ideologies, morals, anxieties </w:t>
      </w:r>
      <w:r w:rsidR="00343A7E">
        <w:t>and epistemologies.</w:t>
      </w:r>
      <w:r w:rsidR="000E02E4">
        <w:t xml:space="preserve"> </w:t>
      </w:r>
      <w:r>
        <w:t>F</w:t>
      </w:r>
      <w:r w:rsidR="00343A7E">
        <w:t>or the journal editors</w:t>
      </w:r>
      <w:r>
        <w:t xml:space="preserve"> and reviewers</w:t>
      </w:r>
      <w:r w:rsidR="00343A7E">
        <w:t xml:space="preserve">, the discourses </w:t>
      </w:r>
      <w:r w:rsidR="00861C6F">
        <w:t>might</w:t>
      </w:r>
      <w:r w:rsidR="00343A7E">
        <w:t xml:space="preserve"> be interpreted as a</w:t>
      </w:r>
      <w:r>
        <w:t xml:space="preserve"> way of regulating access to the </w:t>
      </w:r>
      <w:r w:rsidR="00343A7E">
        <w:t>field and preserving its prestige. In other words, those who submit to the journal need to follow certain language norms in order to have their manuscript accepted</w:t>
      </w:r>
      <w:r w:rsidR="00B06D43">
        <w:t>,</w:t>
      </w:r>
      <w:r w:rsidR="00343A7E">
        <w:t xml:space="preserve"> as clearly the field would lose prestige if everyone was allowed access.</w:t>
      </w:r>
      <w:r w:rsidR="000E02E4">
        <w:t xml:space="preserve"> Much like</w:t>
      </w:r>
      <w:r w:rsidR="005F39C9">
        <w:t xml:space="preserve"> the</w:t>
      </w:r>
      <w:r w:rsidR="000E02E4">
        <w:t xml:space="preserve"> </w:t>
      </w:r>
      <w:r w:rsidR="005F39C9">
        <w:t>publishing houses,</w:t>
      </w:r>
      <w:r w:rsidR="000E02E4">
        <w:t xml:space="preserve"> exemplified </w:t>
      </w:r>
      <w:r w:rsidR="005F39C9">
        <w:t>by</w:t>
      </w:r>
      <w:r w:rsidR="000E02E4">
        <w:t xml:space="preserve"> Cameron</w:t>
      </w:r>
      <w:r w:rsidR="005F39C9">
        <w:t>,</w:t>
      </w:r>
      <w:r>
        <w:t xml:space="preserve"> who lay down </w:t>
      </w:r>
      <w:r w:rsidR="005F39C9">
        <w:t xml:space="preserve">arbitrary </w:t>
      </w:r>
      <w:r>
        <w:t>style guides</w:t>
      </w:r>
      <w:r w:rsidR="005F39C9">
        <w:t xml:space="preserve"> to serve the interests of copyeditors who are </w:t>
      </w:r>
      <w:r w:rsidR="00861C6F">
        <w:t xml:space="preserve">then </w:t>
      </w:r>
      <w:r w:rsidR="005F39C9">
        <w:t>paid to enforce them</w:t>
      </w:r>
      <w:r w:rsidR="000E02E4">
        <w:t xml:space="preserve">, </w:t>
      </w:r>
      <w:r w:rsidR="005F39C9">
        <w:t xml:space="preserve">academic publishing could be seen as a field with vested interest to regulate, monitor and uphold standards to protect the privileges of </w:t>
      </w:r>
      <w:r w:rsidR="00861C6F">
        <w:t>those who successfully participate in it</w:t>
      </w:r>
      <w:r w:rsidR="005F39C9">
        <w:t>.</w:t>
      </w:r>
      <w:r w:rsidR="00A34F1C">
        <w:t xml:space="preserve"> </w:t>
      </w:r>
      <w:r w:rsidR="00343A7E">
        <w:t xml:space="preserve">For manuscript authors, the strongly held feelings they </w:t>
      </w:r>
      <w:r w:rsidR="005F39C9">
        <w:t>clearly</w:t>
      </w:r>
      <w:r w:rsidR="00343A7E">
        <w:t xml:space="preserve"> express about their linguistic inadequacy and inferiority may not only be about language but also reflect</w:t>
      </w:r>
      <w:r w:rsidR="000E02E4">
        <w:t xml:space="preserve"> a number of</w:t>
      </w:r>
      <w:r w:rsidR="00343A7E">
        <w:t xml:space="preserve"> underlying anxieties </w:t>
      </w:r>
      <w:r w:rsidR="000E02E4">
        <w:t xml:space="preserve">that can be about </w:t>
      </w:r>
      <w:r w:rsidR="005F39C9">
        <w:t xml:space="preserve">a range of </w:t>
      </w:r>
      <w:r w:rsidR="000E02E4">
        <w:t xml:space="preserve">different things. </w:t>
      </w:r>
      <w:r w:rsidR="005F39C9">
        <w:t>To</w:t>
      </w:r>
      <w:r w:rsidR="000E02E4">
        <w:t xml:space="preserve"> some, </w:t>
      </w:r>
      <w:r w:rsidR="005F39C9">
        <w:t>they</w:t>
      </w:r>
      <w:r w:rsidR="000E02E4">
        <w:t xml:space="preserve"> may reflect anxieties </w:t>
      </w:r>
      <w:r w:rsidR="00343A7E">
        <w:t xml:space="preserve">about organizational and professional restructuring and the implementation of new </w:t>
      </w:r>
      <w:r w:rsidR="00861C6F">
        <w:t xml:space="preserve">and unfamiliar </w:t>
      </w:r>
      <w:r w:rsidR="00343A7E">
        <w:t>evaluation regimes</w:t>
      </w:r>
      <w:r w:rsidR="00861C6F">
        <w:t xml:space="preserve">; to others they may reflect views of </w:t>
      </w:r>
      <w:r w:rsidR="002153AE">
        <w:t xml:space="preserve">research </w:t>
      </w:r>
      <w:r w:rsidR="00861C6F">
        <w:t xml:space="preserve">needing </w:t>
      </w:r>
      <w:r w:rsidR="00A91FF2">
        <w:t xml:space="preserve">to be based on </w:t>
      </w:r>
      <w:r w:rsidR="001E7FA0">
        <w:t>shared norm</w:t>
      </w:r>
      <w:r w:rsidR="00A91FF2">
        <w:t>s of ‘</w:t>
      </w:r>
      <w:r w:rsidR="001E7FA0" w:rsidRPr="001E7FA0">
        <w:t>understandability and clarity</w:t>
      </w:r>
      <w:r w:rsidR="00A91FF2">
        <w:t>’</w:t>
      </w:r>
      <w:r w:rsidR="001E7FA0" w:rsidRPr="001E7FA0">
        <w:t xml:space="preserve"> </w:t>
      </w:r>
      <w:r w:rsidR="002153AE">
        <w:t xml:space="preserve">(Hynninen </w:t>
      </w:r>
      <w:r w:rsidR="001E7FA0">
        <w:t>and Kuteeva 2018</w:t>
      </w:r>
      <w:r w:rsidR="002153AE">
        <w:t>).</w:t>
      </w:r>
      <w:r w:rsidR="00A91FF2">
        <w:t xml:space="preserve"> Often, such norms will </w:t>
      </w:r>
      <w:r w:rsidR="00B06D43">
        <w:t>be portrayed as</w:t>
      </w:r>
      <w:r w:rsidR="00A91FF2">
        <w:t xml:space="preserve"> ‘common</w:t>
      </w:r>
      <w:r w:rsidR="00B06D43">
        <w:t xml:space="preserve"> </w:t>
      </w:r>
      <w:r w:rsidR="00A91FF2">
        <w:t>sens</w:t>
      </w:r>
      <w:r w:rsidR="00B06D43">
        <w:t>e</w:t>
      </w:r>
      <w:r w:rsidR="00A91FF2">
        <w:t xml:space="preserve">’, but in the verbal hygiene framework, common sense is not value-free. Pervading all of this may well be a shared ideology </w:t>
      </w:r>
      <w:r w:rsidR="00B06D43">
        <w:t xml:space="preserve">that language users must adhere to </w:t>
      </w:r>
      <w:r w:rsidR="00A91FF2">
        <w:t>standard language norms</w:t>
      </w:r>
      <w:r w:rsidR="00B06D43">
        <w:rPr>
          <w:rStyle w:val="FootnoteReference"/>
        </w:rPr>
        <w:footnoteReference w:id="1"/>
      </w:r>
      <w:r w:rsidR="00A91FF2">
        <w:t xml:space="preserve"> (Davila 2016).</w:t>
      </w:r>
    </w:p>
    <w:p w:rsidR="000E02E4" w:rsidRDefault="002153AE" w:rsidP="008102AF">
      <w:pPr>
        <w:pStyle w:val="MDPI31text"/>
        <w:ind w:right="28" w:firstLine="420"/>
      </w:pPr>
      <w:r>
        <w:t>It is also worth considering whether</w:t>
      </w:r>
      <w:r w:rsidR="00E81EAE">
        <w:t xml:space="preserve"> the concerns expressed may be an</w:t>
      </w:r>
      <w:r w:rsidR="001C7AA2">
        <w:t xml:space="preserve"> artefact of the methodology used</w:t>
      </w:r>
      <w:r w:rsidR="00E81EAE">
        <w:t xml:space="preserve">. </w:t>
      </w:r>
      <w:r w:rsidR="00326EBD">
        <w:t>Methodologies such as interviews and questionnaires are desi</w:t>
      </w:r>
      <w:r w:rsidR="00A91FF2">
        <w:t>gned to elicit attitudinal data; data on</w:t>
      </w:r>
      <w:r w:rsidR="00326EBD">
        <w:t xml:space="preserve"> what participants think about a particular topic. Such attitudinal </w:t>
      </w:r>
      <w:r w:rsidR="00326EBD">
        <w:lastRenderedPageBreak/>
        <w:t xml:space="preserve">methodologies </w:t>
      </w:r>
      <w:r w:rsidR="001C7AA2">
        <w:t>are</w:t>
      </w:r>
      <w:r w:rsidR="00326EBD">
        <w:t xml:space="preserve"> not</w:t>
      </w:r>
      <w:r w:rsidR="001C7AA2">
        <w:t xml:space="preserve"> necessarily</w:t>
      </w:r>
      <w:r w:rsidR="00326EBD">
        <w:t xml:space="preserve"> factual accounts of an ontological reality</w:t>
      </w:r>
      <w:r w:rsidR="001C7AA2">
        <w:t>. Rather, they are</w:t>
      </w:r>
      <w:r w:rsidR="00326EBD">
        <w:t xml:space="preserve"> discourses reflecting and reproducing existing societal values and norms. </w:t>
      </w:r>
      <w:r w:rsidR="00A91FF2">
        <w:t xml:space="preserve">As </w:t>
      </w:r>
      <w:r w:rsidR="00326EBD">
        <w:t xml:space="preserve">Denzin </w:t>
      </w:r>
      <w:r w:rsidR="00A91FF2">
        <w:t>puts it,</w:t>
      </w:r>
      <w:r w:rsidR="00326EBD">
        <w:t xml:space="preserve"> interviews are </w:t>
      </w:r>
      <w:r w:rsidR="00A91FF2">
        <w:t>‘</w:t>
      </w:r>
      <w:r w:rsidR="00326EBD">
        <w:t>…not a method of gathering information, but a vehicle for producing performance texts and performance ethno</w:t>
      </w:r>
      <w:r w:rsidR="00A91FF2">
        <w:t>graphies about self and society’ (2001: 24)</w:t>
      </w:r>
      <w:r w:rsidR="00326EBD">
        <w:t xml:space="preserve">. </w:t>
      </w:r>
      <w:r w:rsidR="001C7AA2">
        <w:t>P</w:t>
      </w:r>
      <w:r w:rsidR="00A91FF2">
        <w:t>articipants’ responses</w:t>
      </w:r>
      <w:r w:rsidR="001C7AA2">
        <w:t xml:space="preserve"> inevitably follow</w:t>
      </w:r>
      <w:r w:rsidR="00A91FF2">
        <w:t xml:space="preserve"> </w:t>
      </w:r>
      <w:r w:rsidR="00251A51">
        <w:t xml:space="preserve">the </w:t>
      </w:r>
      <w:r w:rsidR="001C7AA2">
        <w:t xml:space="preserve">researcher’s </w:t>
      </w:r>
      <w:r w:rsidR="00251A51">
        <w:t>agenda.</w:t>
      </w:r>
      <w:r w:rsidR="00A91FF2">
        <w:t xml:space="preserve"> And the researcher’s agenda, in turn, is of course itself a product of </w:t>
      </w:r>
      <w:r w:rsidR="00251A51">
        <w:t>discourses</w:t>
      </w:r>
      <w:r w:rsidR="00A91FF2">
        <w:t xml:space="preserve"> that</w:t>
      </w:r>
      <w:r w:rsidR="00251A51">
        <w:t xml:space="preserve"> circulate</w:t>
      </w:r>
      <w:r w:rsidR="00A91FF2">
        <w:t xml:space="preserve"> in society</w:t>
      </w:r>
      <w:r w:rsidR="00251A51">
        <w:t>.</w:t>
      </w:r>
      <w:r w:rsidR="008304F2">
        <w:t xml:space="preserve"> </w:t>
      </w:r>
    </w:p>
    <w:p w:rsidR="00343A7E" w:rsidRDefault="001C7AA2" w:rsidP="0054718E">
      <w:pPr>
        <w:pStyle w:val="MDPI31text"/>
        <w:ind w:firstLine="0"/>
      </w:pPr>
      <w:r>
        <w:tab/>
        <w:t>To sum up</w:t>
      </w:r>
      <w:r w:rsidR="00326EBD">
        <w:t xml:space="preserve">, while there is little doubt that feelings of hardship, inadequacy and injustice are genuinely felt by </w:t>
      </w:r>
      <w:r>
        <w:t xml:space="preserve">manuscript authors, and that matters of language and EAL status are frequently invoked and topicalized in manuscript reviews, </w:t>
      </w:r>
      <w:r w:rsidR="00326EBD">
        <w:t xml:space="preserve">it should not be automatically inferred that these concerns pan out in </w:t>
      </w:r>
      <w:r w:rsidR="00254EA0">
        <w:t xml:space="preserve">an </w:t>
      </w:r>
      <w:r w:rsidR="00326EBD">
        <w:t xml:space="preserve">actual </w:t>
      </w:r>
      <w:r w:rsidR="00254EA0">
        <w:t xml:space="preserve">failure to </w:t>
      </w:r>
      <w:r w:rsidR="00326EBD">
        <w:t>publi</w:t>
      </w:r>
      <w:r w:rsidR="00254EA0">
        <w:t>sh</w:t>
      </w:r>
      <w:r w:rsidR="00326EBD">
        <w:t xml:space="preserve">. Let’s now consider the evidence </w:t>
      </w:r>
      <w:r w:rsidR="00A91FF2">
        <w:t>for</w:t>
      </w:r>
      <w:r w:rsidR="00326EBD">
        <w:t xml:space="preserve"> that more carefully.</w:t>
      </w:r>
    </w:p>
    <w:p w:rsidR="006E583D" w:rsidRPr="00501982" w:rsidRDefault="006E583D" w:rsidP="006E583D">
      <w:pPr>
        <w:pStyle w:val="MDPI22heading2"/>
      </w:pPr>
      <w:r>
        <w:t>3.2</w:t>
      </w:r>
      <w:r w:rsidRPr="00501982">
        <w:t xml:space="preserve">. </w:t>
      </w:r>
      <w:r>
        <w:t>Epistemic reflexivity</w:t>
      </w:r>
    </w:p>
    <w:p w:rsidR="004C4AD1" w:rsidRDefault="00251A51" w:rsidP="00870030">
      <w:pPr>
        <w:pStyle w:val="MDPI31text"/>
      </w:pPr>
      <w:r>
        <w:t xml:space="preserve">In the </w:t>
      </w:r>
      <w:r w:rsidR="00A95043">
        <w:t>framework</w:t>
      </w:r>
      <w:r>
        <w:t xml:space="preserve"> of verbal hygiene, </w:t>
      </w:r>
      <w:r w:rsidR="00A95043">
        <w:t xml:space="preserve">Applied Linguists and/or EAP/ERPP scholars </w:t>
      </w:r>
      <w:r w:rsidR="004C4AD1">
        <w:t>should</w:t>
      </w:r>
      <w:r>
        <w:t xml:space="preserve"> ask about the extent to which the strongly felt emotions about matters of language and EAL disadvantage are indeed consequential for publishing success. </w:t>
      </w:r>
      <w:r w:rsidR="006E583D">
        <w:t xml:space="preserve">This, of course, does not mean that we should deny </w:t>
      </w:r>
      <w:r w:rsidR="004C4AD1" w:rsidRPr="002E021E">
        <w:t xml:space="preserve">or ignore </w:t>
      </w:r>
      <w:r w:rsidR="006E583D" w:rsidRPr="002E021E">
        <w:t xml:space="preserve">the </w:t>
      </w:r>
      <w:r w:rsidR="00A95043">
        <w:t xml:space="preserve">clearly </w:t>
      </w:r>
      <w:r w:rsidR="006E583D" w:rsidRPr="002E021E">
        <w:t xml:space="preserve">felt experiences of our </w:t>
      </w:r>
      <w:r w:rsidR="004C4AD1" w:rsidRPr="002E021E">
        <w:t xml:space="preserve">research </w:t>
      </w:r>
      <w:r w:rsidR="006E583D" w:rsidRPr="002E021E">
        <w:t>participants or brush them a</w:t>
      </w:r>
      <w:r w:rsidR="004C4AD1" w:rsidRPr="002E021E">
        <w:t xml:space="preserve">side as </w:t>
      </w:r>
      <w:r w:rsidR="006E583D" w:rsidRPr="002E021E">
        <w:t xml:space="preserve">Marxist ‘false </w:t>
      </w:r>
      <w:r w:rsidR="00326EBD" w:rsidRPr="002E021E">
        <w:t>consciousness’</w:t>
      </w:r>
      <w:r w:rsidR="006E583D" w:rsidRPr="002E021E">
        <w:t xml:space="preserve">. </w:t>
      </w:r>
      <w:r w:rsidR="004C4AD1" w:rsidRPr="002E021E">
        <w:t>What it</w:t>
      </w:r>
      <w:r w:rsidR="000E02E4" w:rsidRPr="002E021E">
        <w:t xml:space="preserve"> </w:t>
      </w:r>
      <w:r w:rsidR="004C4AD1" w:rsidRPr="002E021E">
        <w:t>does mean, however, is</w:t>
      </w:r>
      <w:r w:rsidR="000E02E4" w:rsidRPr="002E021E">
        <w:t xml:space="preserve"> that we need to engage in </w:t>
      </w:r>
      <w:r w:rsidR="004C4AD1" w:rsidRPr="002E021E">
        <w:t>greater ‘</w:t>
      </w:r>
      <w:r w:rsidR="000E02E4" w:rsidRPr="002E021E">
        <w:t>epistemic reflexivity</w:t>
      </w:r>
      <w:r w:rsidR="004C4AD1" w:rsidRPr="002E021E">
        <w:t>’</w:t>
      </w:r>
      <w:r w:rsidR="000E02E4" w:rsidRPr="002E021E">
        <w:t xml:space="preserve"> (</w:t>
      </w:r>
      <w:r w:rsidR="004C4AD1" w:rsidRPr="002E021E">
        <w:rPr>
          <w:lang w:val="en-GB"/>
        </w:rPr>
        <w:t>Salö 201</w:t>
      </w:r>
      <w:r w:rsidR="00E409A7" w:rsidRPr="002E021E">
        <w:rPr>
          <w:lang w:val="en-GB"/>
        </w:rPr>
        <w:t>7</w:t>
      </w:r>
      <w:r w:rsidR="002E021E" w:rsidRPr="002E021E">
        <w:rPr>
          <w:lang w:val="en-GB"/>
        </w:rPr>
        <w:t>, drawing on Bourdieu</w:t>
      </w:r>
      <w:r w:rsidR="000E02E4">
        <w:t xml:space="preserve">) </w:t>
      </w:r>
      <w:r w:rsidR="004C4AD1">
        <w:t xml:space="preserve">in order </w:t>
      </w:r>
      <w:r w:rsidR="000E02E4">
        <w:t xml:space="preserve">to </w:t>
      </w:r>
      <w:r w:rsidR="004C4AD1">
        <w:t>raise our critical awareness</w:t>
      </w:r>
      <w:r w:rsidR="00A95043">
        <w:t>,</w:t>
      </w:r>
      <w:r w:rsidR="004C4AD1">
        <w:t xml:space="preserve"> </w:t>
      </w:r>
      <w:r w:rsidR="00A95043">
        <w:t xml:space="preserve">query </w:t>
      </w:r>
      <w:r w:rsidR="000E02E4">
        <w:t xml:space="preserve">our own </w:t>
      </w:r>
      <w:r w:rsidR="00A95043">
        <w:t xml:space="preserve">epistemological baggage, </w:t>
      </w:r>
      <w:r w:rsidR="000E02E4">
        <w:t>and reflect on th</w:t>
      </w:r>
      <w:r w:rsidR="004C4AD1">
        <w:t>e p</w:t>
      </w:r>
      <w:r w:rsidR="000E02E4">
        <w:t>r</w:t>
      </w:r>
      <w:r w:rsidR="004C4AD1">
        <w:t>e</w:t>
      </w:r>
      <w:r w:rsidR="000E02E4">
        <w:t>suppositions in our field.</w:t>
      </w:r>
      <w:r w:rsidR="004C4AD1">
        <w:t xml:space="preserve"> To </w:t>
      </w:r>
      <w:r w:rsidR="004C4AD1" w:rsidRPr="00B80ADC">
        <w:rPr>
          <w:lang w:val="en-GB"/>
        </w:rPr>
        <w:t>Salö</w:t>
      </w:r>
      <w:r w:rsidR="00E409A7">
        <w:rPr>
          <w:lang w:val="en-GB"/>
        </w:rPr>
        <w:t xml:space="preserve"> (2017</w:t>
      </w:r>
      <w:r w:rsidR="00A95043">
        <w:rPr>
          <w:lang w:val="en-GB"/>
        </w:rPr>
        <w:t>)</w:t>
      </w:r>
    </w:p>
    <w:p w:rsidR="004C4AD1" w:rsidRDefault="004C4AD1" w:rsidP="00870030">
      <w:pPr>
        <w:pStyle w:val="MDPI31text"/>
      </w:pPr>
    </w:p>
    <w:p w:rsidR="004C4AD1" w:rsidRPr="00B80ADC" w:rsidRDefault="004C4AD1" w:rsidP="001C7AA2">
      <w:pPr>
        <w:pStyle w:val="MDPI31text"/>
        <w:numPr>
          <w:ilvl w:val="0"/>
          <w:numId w:val="5"/>
        </w:numPr>
        <w:ind w:right="737"/>
        <w:rPr>
          <w:lang w:val="en-GB"/>
        </w:rPr>
      </w:pPr>
      <w:r w:rsidRPr="00B80ADC">
        <w:rPr>
          <w:lang w:val="en-GB"/>
        </w:rPr>
        <w:t>sociolinguistic research seems to end up showing and saying exactly what one would have expected it to show and say, based on the position – social, academic or otherwise – from which the research was produced. Often, this is because scholars embody the values of the group they investigate and, all too often, fail to create a rupture with their inherited view of the prob</w:t>
      </w:r>
      <w:r w:rsidR="00E409A7">
        <w:rPr>
          <w:lang w:val="en-GB"/>
        </w:rPr>
        <w:t>lem they investigate (Salö 2017</w:t>
      </w:r>
      <w:r w:rsidRPr="00B80ADC">
        <w:rPr>
          <w:lang w:val="en-GB"/>
        </w:rPr>
        <w:t>: 2).</w:t>
      </w:r>
    </w:p>
    <w:p w:rsidR="004C4AD1" w:rsidRDefault="004C4AD1" w:rsidP="004C4AD1">
      <w:pPr>
        <w:pStyle w:val="MDPI31text"/>
        <w:rPr>
          <w:lang w:val="en-GB"/>
        </w:rPr>
      </w:pPr>
    </w:p>
    <w:p w:rsidR="004C4AD1" w:rsidRPr="004C4AD1" w:rsidRDefault="00254EA0" w:rsidP="004C4AD1">
      <w:pPr>
        <w:pStyle w:val="MDPI31text"/>
        <w:ind w:firstLine="0"/>
        <w:rPr>
          <w:lang w:val="en-GB"/>
        </w:rPr>
      </w:pPr>
      <w:r>
        <w:rPr>
          <w:lang w:val="en-GB"/>
        </w:rPr>
        <w:t xml:space="preserve">If this is true, it may mean not only </w:t>
      </w:r>
      <w:r w:rsidR="001C7AA2">
        <w:rPr>
          <w:lang w:val="en-GB"/>
        </w:rPr>
        <w:t xml:space="preserve">that </w:t>
      </w:r>
      <w:r>
        <w:rPr>
          <w:lang w:val="en-GB"/>
        </w:rPr>
        <w:t>we scholars have a tendency to</w:t>
      </w:r>
      <w:r w:rsidR="004C4AD1">
        <w:rPr>
          <w:lang w:val="en-GB"/>
        </w:rPr>
        <w:t xml:space="preserve"> uncritically adopt the views of </w:t>
      </w:r>
      <w:r>
        <w:rPr>
          <w:lang w:val="en-GB"/>
        </w:rPr>
        <w:t xml:space="preserve">our </w:t>
      </w:r>
      <w:r w:rsidR="004C4AD1">
        <w:rPr>
          <w:lang w:val="en-GB"/>
        </w:rPr>
        <w:t>participants</w:t>
      </w:r>
      <w:r w:rsidR="001C7AA2">
        <w:rPr>
          <w:lang w:val="en-GB"/>
        </w:rPr>
        <w:t>,</w:t>
      </w:r>
      <w:r w:rsidR="004C4AD1">
        <w:rPr>
          <w:lang w:val="en-GB"/>
        </w:rPr>
        <w:t xml:space="preserve"> but </w:t>
      </w:r>
      <w:r w:rsidR="001C7AA2">
        <w:rPr>
          <w:lang w:val="en-GB"/>
        </w:rPr>
        <w:t xml:space="preserve">we </w:t>
      </w:r>
      <w:r w:rsidR="004C4AD1">
        <w:rPr>
          <w:lang w:val="en-GB"/>
        </w:rPr>
        <w:t>also</w:t>
      </w:r>
      <w:r w:rsidR="00A95043">
        <w:rPr>
          <w:lang w:val="en-GB"/>
        </w:rPr>
        <w:t xml:space="preserve"> </w:t>
      </w:r>
      <w:r w:rsidR="004C4AD1">
        <w:rPr>
          <w:lang w:val="en-GB"/>
        </w:rPr>
        <w:t>design our research</w:t>
      </w:r>
      <w:r w:rsidR="00A95043">
        <w:rPr>
          <w:lang w:val="en-GB"/>
        </w:rPr>
        <w:t xml:space="preserve"> in a way that </w:t>
      </w:r>
      <w:r w:rsidR="004C4AD1">
        <w:rPr>
          <w:lang w:val="en-GB"/>
        </w:rPr>
        <w:t>reinforce</w:t>
      </w:r>
      <w:r w:rsidR="00A95043">
        <w:rPr>
          <w:lang w:val="en-GB"/>
        </w:rPr>
        <w:t>s</w:t>
      </w:r>
      <w:r w:rsidR="004C4AD1">
        <w:rPr>
          <w:lang w:val="en-GB"/>
        </w:rPr>
        <w:t xml:space="preserve"> </w:t>
      </w:r>
      <w:r w:rsidR="00A95043">
        <w:rPr>
          <w:lang w:val="en-GB"/>
        </w:rPr>
        <w:t>the</w:t>
      </w:r>
      <w:r w:rsidR="004C4AD1">
        <w:rPr>
          <w:lang w:val="en-GB"/>
        </w:rPr>
        <w:t xml:space="preserve"> disciplinary axioms</w:t>
      </w:r>
      <w:r w:rsidR="00A95043">
        <w:rPr>
          <w:lang w:val="en-GB"/>
        </w:rPr>
        <w:t xml:space="preserve"> in our field</w:t>
      </w:r>
      <w:r w:rsidR="004C4AD1">
        <w:rPr>
          <w:lang w:val="en-GB"/>
        </w:rPr>
        <w:t xml:space="preserve">. </w:t>
      </w:r>
      <w:r>
        <w:rPr>
          <w:lang w:val="en-GB"/>
        </w:rPr>
        <w:t>In the particular case of EAP and ERPP, b</w:t>
      </w:r>
      <w:r w:rsidR="00A95043">
        <w:rPr>
          <w:lang w:val="en-GB"/>
        </w:rPr>
        <w:t xml:space="preserve">y looking for disadvantage, we find disadvantage. </w:t>
      </w:r>
      <w:r w:rsidR="004C4AD1">
        <w:rPr>
          <w:lang w:val="en-GB"/>
        </w:rPr>
        <w:t xml:space="preserve">Many of us, of course, also occupy a dual role of both theoreticians and practitioners (as authors, reviewers </w:t>
      </w:r>
      <w:r w:rsidR="00A95043">
        <w:rPr>
          <w:lang w:val="en-GB"/>
        </w:rPr>
        <w:t>or</w:t>
      </w:r>
      <w:r w:rsidR="004C4AD1">
        <w:rPr>
          <w:lang w:val="en-GB"/>
        </w:rPr>
        <w:t xml:space="preserve"> editors</w:t>
      </w:r>
      <w:r w:rsidR="001C7AA2">
        <w:rPr>
          <w:lang w:val="en-GB"/>
        </w:rPr>
        <w:t xml:space="preserve"> actively</w:t>
      </w:r>
      <w:r>
        <w:rPr>
          <w:lang w:val="en-GB"/>
        </w:rPr>
        <w:t xml:space="preserve"> participating i</w:t>
      </w:r>
      <w:r w:rsidR="00A95043">
        <w:rPr>
          <w:lang w:val="en-GB"/>
        </w:rPr>
        <w:t>n the field</w:t>
      </w:r>
      <w:r w:rsidR="004C4AD1">
        <w:rPr>
          <w:lang w:val="en-GB"/>
        </w:rPr>
        <w:t>)</w:t>
      </w:r>
      <w:r w:rsidR="00A95043">
        <w:rPr>
          <w:lang w:val="en-GB"/>
        </w:rPr>
        <w:t xml:space="preserve">, a dual role that might make it even </w:t>
      </w:r>
      <w:r w:rsidR="004C4AD1">
        <w:rPr>
          <w:lang w:val="en-GB"/>
        </w:rPr>
        <w:t>ha</w:t>
      </w:r>
      <w:r>
        <w:rPr>
          <w:lang w:val="en-GB"/>
        </w:rPr>
        <w:t>rder to ‘create’ that ‘rupture’</w:t>
      </w:r>
      <w:r w:rsidRPr="00254EA0">
        <w:rPr>
          <w:lang w:val="en-GB"/>
        </w:rPr>
        <w:t xml:space="preserve"> </w:t>
      </w:r>
      <w:r>
        <w:rPr>
          <w:lang w:val="en-GB"/>
        </w:rPr>
        <w:t>Salö writes about.</w:t>
      </w:r>
    </w:p>
    <w:p w:rsidR="006E583D" w:rsidRPr="00870030" w:rsidRDefault="00870030" w:rsidP="00870030">
      <w:pPr>
        <w:pStyle w:val="MDPI31text"/>
        <w:rPr>
          <w:lang w:val="en-GB"/>
        </w:rPr>
      </w:pPr>
      <w:r>
        <w:t xml:space="preserve">In </w:t>
      </w:r>
      <w:r w:rsidR="00DC7661">
        <w:t>what he</w:t>
      </w:r>
      <w:r>
        <w:t xml:space="preserve"> admit</w:t>
      </w:r>
      <w:r w:rsidR="00DC7661">
        <w:t>s is a</w:t>
      </w:r>
      <w:r>
        <w:t xml:space="preserve"> ‘quick and dirty’ count</w:t>
      </w:r>
      <w:r w:rsidR="00DC7661">
        <w:t>,</w:t>
      </w:r>
      <w:r>
        <w:t xml:space="preserve"> Hyland </w:t>
      </w:r>
      <w:r w:rsidR="00DC7661">
        <w:t>(</w:t>
      </w:r>
      <w:r>
        <w:t>2016</w:t>
      </w:r>
      <w:r w:rsidR="00D96F67">
        <w:t>a</w:t>
      </w:r>
      <w:r w:rsidR="00DC7661">
        <w:t>)</w:t>
      </w:r>
      <w:r>
        <w:t xml:space="preserve"> </w:t>
      </w:r>
      <w:r w:rsidR="00DC7661">
        <w:rPr>
          <w:lang w:val="en-GB"/>
        </w:rPr>
        <w:t>compares Native English Speakers</w:t>
      </w:r>
      <w:r w:rsidR="001C7AA2">
        <w:rPr>
          <w:lang w:val="en-GB"/>
        </w:rPr>
        <w:t>’</w:t>
      </w:r>
      <w:r w:rsidR="00DC7661">
        <w:rPr>
          <w:lang w:val="en-GB"/>
        </w:rPr>
        <w:t xml:space="preserve"> (NES) and English as an Additional Language (EAL) scholars’ publishing share. His analysis is based on </w:t>
      </w:r>
      <w:r w:rsidR="00382758">
        <w:rPr>
          <w:lang w:val="en-GB"/>
        </w:rPr>
        <w:t xml:space="preserve">articles </w:t>
      </w:r>
      <w:r w:rsidR="00DC7661">
        <w:t xml:space="preserve">published in the top five journals by Impact Factor in </w:t>
      </w:r>
      <w:r>
        <w:t>six subject areas.</w:t>
      </w:r>
    </w:p>
    <w:p w:rsidR="00DC7661" w:rsidRPr="00501982" w:rsidRDefault="00DC7661" w:rsidP="00DC7661">
      <w:pPr>
        <w:pStyle w:val="MDPI41tablecaption"/>
        <w:jc w:val="center"/>
      </w:pPr>
      <w:r w:rsidRPr="00501982">
        <w:rPr>
          <w:b/>
        </w:rPr>
        <w:t>Table 1.</w:t>
      </w:r>
      <w:r w:rsidRPr="00501982">
        <w:t xml:space="preserve"> </w:t>
      </w:r>
      <w:r>
        <w:t>First author for articles published in top five journals by Impact Factor</w:t>
      </w:r>
      <w:r w:rsidR="00382758" w:rsidRPr="00DC7661">
        <w:rPr>
          <w:sz w:val="20"/>
          <w:szCs w:val="20"/>
          <w:vertAlign w:val="superscript"/>
        </w:rPr>
        <w:t>1</w:t>
      </w:r>
    </w:p>
    <w:tbl>
      <w:tblPr>
        <w:tblW w:w="0" w:type="auto"/>
        <w:jc w:val="center"/>
        <w:tblBorders>
          <w:top w:val="single" w:sz="8" w:space="0" w:color="auto"/>
          <w:bottom w:val="single" w:sz="8" w:space="0" w:color="auto"/>
        </w:tblBorders>
        <w:tblLook w:val="04A0" w:firstRow="1" w:lastRow="0" w:firstColumn="1" w:lastColumn="0" w:noHBand="0" w:noVBand="1"/>
      </w:tblPr>
      <w:tblGrid>
        <w:gridCol w:w="1985"/>
        <w:gridCol w:w="1417"/>
        <w:gridCol w:w="1395"/>
        <w:gridCol w:w="1599"/>
        <w:gridCol w:w="1599"/>
      </w:tblGrid>
      <w:tr w:rsidR="00DC7661" w:rsidRPr="00DC7661" w:rsidTr="00DC7661">
        <w:trPr>
          <w:jc w:val="center"/>
        </w:trPr>
        <w:tc>
          <w:tcPr>
            <w:tcW w:w="1985" w:type="dxa"/>
            <w:tcBorders>
              <w:bottom w:val="single" w:sz="4" w:space="0" w:color="auto"/>
            </w:tcBorders>
          </w:tcPr>
          <w:p w:rsidR="00DC7661" w:rsidRPr="00DC7661" w:rsidRDefault="00DC7661" w:rsidP="006C2710">
            <w:pPr>
              <w:pStyle w:val="MDPI42tablebody"/>
              <w:spacing w:line="240" w:lineRule="auto"/>
              <w:rPr>
                <w:b/>
              </w:rPr>
            </w:pPr>
          </w:p>
        </w:tc>
        <w:tc>
          <w:tcPr>
            <w:tcW w:w="1417" w:type="dxa"/>
            <w:tcBorders>
              <w:bottom w:val="single" w:sz="4" w:space="0" w:color="auto"/>
            </w:tcBorders>
            <w:shd w:val="clear" w:color="auto" w:fill="auto"/>
            <w:vAlign w:val="center"/>
          </w:tcPr>
          <w:p w:rsidR="00DC7661" w:rsidRPr="00DC7661" w:rsidRDefault="00DC7661" w:rsidP="006C2710">
            <w:pPr>
              <w:pStyle w:val="MDPI42tablebody"/>
              <w:spacing w:line="240" w:lineRule="auto"/>
              <w:rPr>
                <w:b/>
              </w:rPr>
            </w:pPr>
            <w:r w:rsidRPr="00DC7661">
              <w:rPr>
                <w:b/>
              </w:rPr>
              <w:t>2000</w:t>
            </w:r>
          </w:p>
        </w:tc>
        <w:tc>
          <w:tcPr>
            <w:tcW w:w="1395" w:type="dxa"/>
            <w:tcBorders>
              <w:bottom w:val="single" w:sz="4" w:space="0" w:color="auto"/>
            </w:tcBorders>
            <w:shd w:val="clear" w:color="auto" w:fill="auto"/>
            <w:vAlign w:val="center"/>
          </w:tcPr>
          <w:p w:rsidR="00DC7661" w:rsidRPr="00DC7661" w:rsidRDefault="00DC7661" w:rsidP="006C2710">
            <w:pPr>
              <w:pStyle w:val="MDPI42tablebody"/>
              <w:spacing w:line="240" w:lineRule="auto"/>
              <w:rPr>
                <w:b/>
              </w:rPr>
            </w:pPr>
          </w:p>
        </w:tc>
        <w:tc>
          <w:tcPr>
            <w:tcW w:w="1599" w:type="dxa"/>
            <w:tcBorders>
              <w:bottom w:val="single" w:sz="4" w:space="0" w:color="auto"/>
            </w:tcBorders>
            <w:shd w:val="clear" w:color="auto" w:fill="auto"/>
            <w:vAlign w:val="center"/>
          </w:tcPr>
          <w:p w:rsidR="00DC7661" w:rsidRPr="00DC7661" w:rsidRDefault="00DC7661" w:rsidP="006C2710">
            <w:pPr>
              <w:pStyle w:val="MDPI42tablebody"/>
              <w:spacing w:line="240" w:lineRule="auto"/>
              <w:rPr>
                <w:b/>
              </w:rPr>
            </w:pPr>
            <w:r w:rsidRPr="00DC7661">
              <w:rPr>
                <w:b/>
              </w:rPr>
              <w:t>2011</w:t>
            </w:r>
          </w:p>
        </w:tc>
        <w:tc>
          <w:tcPr>
            <w:tcW w:w="1599" w:type="dxa"/>
            <w:tcBorders>
              <w:bottom w:val="single" w:sz="4" w:space="0" w:color="auto"/>
            </w:tcBorders>
          </w:tcPr>
          <w:p w:rsidR="00DC7661" w:rsidRPr="00DC7661" w:rsidRDefault="00DC7661" w:rsidP="006C2710">
            <w:pPr>
              <w:pStyle w:val="MDPI42tablebody"/>
              <w:spacing w:line="240" w:lineRule="auto"/>
              <w:rPr>
                <w:b/>
              </w:rPr>
            </w:pPr>
          </w:p>
        </w:tc>
      </w:tr>
      <w:tr w:rsidR="00DC7661" w:rsidRPr="00DC7661" w:rsidTr="00DC7661">
        <w:trPr>
          <w:jc w:val="center"/>
        </w:trPr>
        <w:tc>
          <w:tcPr>
            <w:tcW w:w="1985" w:type="dxa"/>
            <w:tcBorders>
              <w:bottom w:val="single" w:sz="4" w:space="0" w:color="auto"/>
            </w:tcBorders>
          </w:tcPr>
          <w:p w:rsidR="00DC7661" w:rsidRPr="00DC7661" w:rsidRDefault="00DC7661" w:rsidP="006C2710">
            <w:pPr>
              <w:pStyle w:val="MDPI42tablebody"/>
              <w:spacing w:line="240" w:lineRule="auto"/>
              <w:rPr>
                <w:b/>
              </w:rPr>
            </w:pPr>
          </w:p>
        </w:tc>
        <w:tc>
          <w:tcPr>
            <w:tcW w:w="1417" w:type="dxa"/>
            <w:tcBorders>
              <w:bottom w:val="single" w:sz="4" w:space="0" w:color="auto"/>
            </w:tcBorders>
            <w:shd w:val="clear" w:color="auto" w:fill="auto"/>
            <w:vAlign w:val="center"/>
          </w:tcPr>
          <w:p w:rsidR="00DC7661" w:rsidRPr="00DC7661" w:rsidRDefault="00DC7661" w:rsidP="006C2710">
            <w:pPr>
              <w:pStyle w:val="MDPI42tablebody"/>
              <w:spacing w:line="240" w:lineRule="auto"/>
              <w:rPr>
                <w:b/>
              </w:rPr>
            </w:pPr>
            <w:r w:rsidRPr="00DC7661">
              <w:rPr>
                <w:b/>
              </w:rPr>
              <w:t>NES</w:t>
            </w:r>
          </w:p>
        </w:tc>
        <w:tc>
          <w:tcPr>
            <w:tcW w:w="1395" w:type="dxa"/>
            <w:tcBorders>
              <w:bottom w:val="single" w:sz="4" w:space="0" w:color="auto"/>
            </w:tcBorders>
            <w:shd w:val="clear" w:color="auto" w:fill="auto"/>
            <w:vAlign w:val="center"/>
          </w:tcPr>
          <w:p w:rsidR="00DC7661" w:rsidRPr="00DC7661" w:rsidRDefault="00DC7661" w:rsidP="006C2710">
            <w:pPr>
              <w:pStyle w:val="MDPI42tablebody"/>
              <w:spacing w:line="240" w:lineRule="auto"/>
              <w:rPr>
                <w:b/>
              </w:rPr>
            </w:pPr>
            <w:r w:rsidRPr="00DC7661">
              <w:rPr>
                <w:b/>
              </w:rPr>
              <w:t>EAL</w:t>
            </w:r>
          </w:p>
        </w:tc>
        <w:tc>
          <w:tcPr>
            <w:tcW w:w="1599" w:type="dxa"/>
            <w:tcBorders>
              <w:bottom w:val="single" w:sz="4" w:space="0" w:color="auto"/>
            </w:tcBorders>
            <w:shd w:val="clear" w:color="auto" w:fill="auto"/>
            <w:vAlign w:val="center"/>
          </w:tcPr>
          <w:p w:rsidR="00DC7661" w:rsidRPr="00DC7661" w:rsidRDefault="00DC7661" w:rsidP="006C2710">
            <w:pPr>
              <w:pStyle w:val="MDPI42tablebody"/>
              <w:spacing w:line="240" w:lineRule="auto"/>
              <w:rPr>
                <w:b/>
              </w:rPr>
            </w:pPr>
            <w:r w:rsidRPr="00DC7661">
              <w:rPr>
                <w:b/>
              </w:rPr>
              <w:t>NES</w:t>
            </w:r>
          </w:p>
        </w:tc>
        <w:tc>
          <w:tcPr>
            <w:tcW w:w="1599" w:type="dxa"/>
            <w:tcBorders>
              <w:bottom w:val="single" w:sz="4" w:space="0" w:color="auto"/>
            </w:tcBorders>
          </w:tcPr>
          <w:p w:rsidR="00DC7661" w:rsidRPr="00DC7661" w:rsidRDefault="00DC7661" w:rsidP="006C2710">
            <w:pPr>
              <w:pStyle w:val="MDPI42tablebody"/>
              <w:spacing w:line="240" w:lineRule="auto"/>
              <w:rPr>
                <w:b/>
              </w:rPr>
            </w:pPr>
            <w:r w:rsidRPr="00DC7661">
              <w:rPr>
                <w:b/>
              </w:rPr>
              <w:t>EAL</w:t>
            </w:r>
          </w:p>
        </w:tc>
      </w:tr>
      <w:tr w:rsidR="00DC7661" w:rsidRPr="00DC7661" w:rsidTr="00DC7661">
        <w:trPr>
          <w:jc w:val="center"/>
        </w:trPr>
        <w:tc>
          <w:tcPr>
            <w:tcW w:w="1985" w:type="dxa"/>
          </w:tcPr>
          <w:p w:rsidR="00DC7661" w:rsidRPr="00DC7661" w:rsidRDefault="00DC7661" w:rsidP="006C2710">
            <w:pPr>
              <w:pStyle w:val="MDPI42tablebody"/>
              <w:spacing w:line="240" w:lineRule="auto"/>
            </w:pPr>
            <w:r w:rsidRPr="00DC7661">
              <w:t>Biology</w:t>
            </w:r>
          </w:p>
        </w:tc>
        <w:tc>
          <w:tcPr>
            <w:tcW w:w="1417" w:type="dxa"/>
            <w:shd w:val="clear" w:color="auto" w:fill="auto"/>
            <w:vAlign w:val="center"/>
          </w:tcPr>
          <w:p w:rsidR="00DC7661" w:rsidRPr="00DC7661" w:rsidRDefault="00DC7661" w:rsidP="006C2710">
            <w:pPr>
              <w:pStyle w:val="MDPI42tablebody"/>
              <w:spacing w:line="240" w:lineRule="auto"/>
            </w:pPr>
            <w:r w:rsidRPr="00DC7661">
              <w:t>424 (61.4%)</w:t>
            </w:r>
          </w:p>
        </w:tc>
        <w:tc>
          <w:tcPr>
            <w:tcW w:w="1395" w:type="dxa"/>
            <w:shd w:val="clear" w:color="auto" w:fill="auto"/>
            <w:vAlign w:val="center"/>
          </w:tcPr>
          <w:p w:rsidR="00DC7661" w:rsidRPr="00DC7661" w:rsidRDefault="00382758" w:rsidP="006C2710">
            <w:pPr>
              <w:pStyle w:val="MDPI42tablebody"/>
              <w:spacing w:line="240" w:lineRule="auto"/>
            </w:pPr>
            <w:r>
              <w:t>267 (38.6%)</w:t>
            </w:r>
          </w:p>
        </w:tc>
        <w:tc>
          <w:tcPr>
            <w:tcW w:w="1599" w:type="dxa"/>
            <w:shd w:val="clear" w:color="auto" w:fill="auto"/>
            <w:vAlign w:val="center"/>
          </w:tcPr>
          <w:p w:rsidR="00DC7661" w:rsidRPr="00DC7661" w:rsidRDefault="00382758" w:rsidP="006C2710">
            <w:pPr>
              <w:pStyle w:val="MDPI42tablebody"/>
              <w:spacing w:line="240" w:lineRule="auto"/>
            </w:pPr>
            <w:r>
              <w:t>740 (58.7%)</w:t>
            </w:r>
          </w:p>
        </w:tc>
        <w:tc>
          <w:tcPr>
            <w:tcW w:w="1599" w:type="dxa"/>
          </w:tcPr>
          <w:p w:rsidR="00DC7661" w:rsidRPr="00DC7661" w:rsidRDefault="00382758" w:rsidP="006C2710">
            <w:pPr>
              <w:pStyle w:val="MDPI42tablebody"/>
              <w:spacing w:line="240" w:lineRule="auto"/>
            </w:pPr>
            <w:r>
              <w:t>521 (41.3%)</w:t>
            </w:r>
          </w:p>
        </w:tc>
      </w:tr>
      <w:tr w:rsidR="00DC7661" w:rsidRPr="00DC7661" w:rsidTr="00DC7661">
        <w:trPr>
          <w:jc w:val="center"/>
        </w:trPr>
        <w:tc>
          <w:tcPr>
            <w:tcW w:w="1985" w:type="dxa"/>
          </w:tcPr>
          <w:p w:rsidR="00DC7661" w:rsidRPr="00DC7661" w:rsidRDefault="00DC7661" w:rsidP="006C2710">
            <w:pPr>
              <w:pStyle w:val="MDPI42tablebody"/>
              <w:spacing w:line="240" w:lineRule="auto"/>
            </w:pPr>
            <w:r w:rsidRPr="00DC7661">
              <w:t>Elec Engineering</w:t>
            </w:r>
          </w:p>
        </w:tc>
        <w:tc>
          <w:tcPr>
            <w:tcW w:w="1417" w:type="dxa"/>
            <w:shd w:val="clear" w:color="auto" w:fill="auto"/>
            <w:vAlign w:val="center"/>
          </w:tcPr>
          <w:p w:rsidR="00DC7661" w:rsidRPr="00DC7661" w:rsidRDefault="00DC7661" w:rsidP="006C2710">
            <w:pPr>
              <w:pStyle w:val="MDPI42tablebody"/>
              <w:spacing w:line="240" w:lineRule="auto"/>
            </w:pPr>
            <w:r w:rsidRPr="00DC7661">
              <w:t>2</w:t>
            </w:r>
            <w:r>
              <w:t>14 (46.0%)</w:t>
            </w:r>
          </w:p>
        </w:tc>
        <w:tc>
          <w:tcPr>
            <w:tcW w:w="1395" w:type="dxa"/>
            <w:shd w:val="clear" w:color="auto" w:fill="auto"/>
            <w:vAlign w:val="center"/>
          </w:tcPr>
          <w:p w:rsidR="00DC7661" w:rsidRPr="00DC7661" w:rsidRDefault="00382758" w:rsidP="006C2710">
            <w:pPr>
              <w:pStyle w:val="MDPI42tablebody"/>
              <w:spacing w:line="240" w:lineRule="auto"/>
            </w:pPr>
            <w:r>
              <w:t>251 (54.0%)</w:t>
            </w:r>
          </w:p>
        </w:tc>
        <w:tc>
          <w:tcPr>
            <w:tcW w:w="1599" w:type="dxa"/>
            <w:shd w:val="clear" w:color="auto" w:fill="auto"/>
            <w:vAlign w:val="center"/>
          </w:tcPr>
          <w:p w:rsidR="00DC7661" w:rsidRPr="00DC7661" w:rsidRDefault="00382758" w:rsidP="00382758">
            <w:pPr>
              <w:pStyle w:val="MDPI42tablebody"/>
              <w:spacing w:line="240" w:lineRule="auto"/>
            </w:pPr>
            <w:r>
              <w:t>256 (24.7%)</w:t>
            </w:r>
            <w:r w:rsidR="00DC7661" w:rsidRPr="00DC7661">
              <w:t xml:space="preserve"> </w:t>
            </w:r>
          </w:p>
        </w:tc>
        <w:tc>
          <w:tcPr>
            <w:tcW w:w="1599" w:type="dxa"/>
          </w:tcPr>
          <w:p w:rsidR="00DC7661" w:rsidRPr="00DC7661" w:rsidRDefault="00382758" w:rsidP="006C2710">
            <w:pPr>
              <w:pStyle w:val="MDPI42tablebody"/>
              <w:spacing w:line="240" w:lineRule="auto"/>
            </w:pPr>
            <w:r>
              <w:t>780 (75.3%)</w:t>
            </w:r>
          </w:p>
        </w:tc>
      </w:tr>
      <w:tr w:rsidR="00DC7661" w:rsidRPr="00DC7661" w:rsidTr="00DC7661">
        <w:trPr>
          <w:jc w:val="center"/>
        </w:trPr>
        <w:tc>
          <w:tcPr>
            <w:tcW w:w="1985" w:type="dxa"/>
          </w:tcPr>
          <w:p w:rsidR="00DC7661" w:rsidRPr="00DC7661" w:rsidRDefault="00DC7661" w:rsidP="006C2710">
            <w:pPr>
              <w:pStyle w:val="MDPI42tablebody"/>
              <w:spacing w:line="240" w:lineRule="auto"/>
            </w:pPr>
            <w:r w:rsidRPr="00DC7661">
              <w:t>Physics</w:t>
            </w:r>
          </w:p>
        </w:tc>
        <w:tc>
          <w:tcPr>
            <w:tcW w:w="1417" w:type="dxa"/>
            <w:shd w:val="clear" w:color="auto" w:fill="auto"/>
            <w:vAlign w:val="center"/>
          </w:tcPr>
          <w:p w:rsidR="00DC7661" w:rsidRPr="00DC7661" w:rsidRDefault="00DC7661" w:rsidP="006C2710">
            <w:pPr>
              <w:pStyle w:val="MDPI42tablebody"/>
              <w:spacing w:line="240" w:lineRule="auto"/>
            </w:pPr>
            <w:r>
              <w:t>109 (27.8%)</w:t>
            </w:r>
          </w:p>
        </w:tc>
        <w:tc>
          <w:tcPr>
            <w:tcW w:w="1395" w:type="dxa"/>
            <w:shd w:val="clear" w:color="auto" w:fill="auto"/>
            <w:vAlign w:val="center"/>
          </w:tcPr>
          <w:p w:rsidR="00DC7661" w:rsidRPr="00DC7661" w:rsidRDefault="00382758" w:rsidP="006C2710">
            <w:pPr>
              <w:pStyle w:val="MDPI42tablebody"/>
              <w:spacing w:line="240" w:lineRule="auto"/>
            </w:pPr>
            <w:r>
              <w:t>283 (72.2%)</w:t>
            </w:r>
          </w:p>
        </w:tc>
        <w:tc>
          <w:tcPr>
            <w:tcW w:w="1599" w:type="dxa"/>
            <w:shd w:val="clear" w:color="auto" w:fill="auto"/>
            <w:vAlign w:val="center"/>
          </w:tcPr>
          <w:p w:rsidR="00DC7661" w:rsidRPr="00DC7661" w:rsidRDefault="00382758" w:rsidP="006C2710">
            <w:pPr>
              <w:pStyle w:val="MDPI42tablebody"/>
              <w:spacing w:line="240" w:lineRule="auto"/>
            </w:pPr>
            <w:r>
              <w:t>714 (31.1%)</w:t>
            </w:r>
          </w:p>
        </w:tc>
        <w:tc>
          <w:tcPr>
            <w:tcW w:w="1599" w:type="dxa"/>
          </w:tcPr>
          <w:p w:rsidR="00DC7661" w:rsidRPr="00DC7661" w:rsidRDefault="00382758" w:rsidP="006C2710">
            <w:pPr>
              <w:pStyle w:val="MDPI42tablebody"/>
              <w:spacing w:line="240" w:lineRule="auto"/>
            </w:pPr>
            <w:r>
              <w:t>1583 (68.9%)</w:t>
            </w:r>
          </w:p>
        </w:tc>
      </w:tr>
      <w:tr w:rsidR="00DC7661" w:rsidRPr="00DC7661" w:rsidTr="00DC7661">
        <w:trPr>
          <w:jc w:val="center"/>
        </w:trPr>
        <w:tc>
          <w:tcPr>
            <w:tcW w:w="1985" w:type="dxa"/>
          </w:tcPr>
          <w:p w:rsidR="00DC7661" w:rsidRPr="00DC7661" w:rsidRDefault="00DC7661" w:rsidP="006C2710">
            <w:pPr>
              <w:pStyle w:val="MDPI42tablebody"/>
              <w:spacing w:line="240" w:lineRule="auto"/>
            </w:pPr>
            <w:r w:rsidRPr="00DC7661">
              <w:t>Economics</w:t>
            </w:r>
          </w:p>
        </w:tc>
        <w:tc>
          <w:tcPr>
            <w:tcW w:w="1417" w:type="dxa"/>
            <w:shd w:val="clear" w:color="auto" w:fill="auto"/>
            <w:vAlign w:val="center"/>
          </w:tcPr>
          <w:p w:rsidR="00DC7661" w:rsidRPr="00DC7661" w:rsidRDefault="00DC7661" w:rsidP="006C2710">
            <w:pPr>
              <w:pStyle w:val="MDPI42tablebody"/>
              <w:spacing w:line="240" w:lineRule="auto"/>
            </w:pPr>
            <w:r>
              <w:t>340 (79.4%)</w:t>
            </w:r>
          </w:p>
        </w:tc>
        <w:tc>
          <w:tcPr>
            <w:tcW w:w="1395" w:type="dxa"/>
            <w:shd w:val="clear" w:color="auto" w:fill="auto"/>
            <w:vAlign w:val="center"/>
          </w:tcPr>
          <w:p w:rsidR="00DC7661" w:rsidRPr="00DC7661" w:rsidRDefault="00382758" w:rsidP="006C2710">
            <w:pPr>
              <w:pStyle w:val="MDPI42tablebody"/>
              <w:spacing w:line="240" w:lineRule="auto"/>
            </w:pPr>
            <w:r>
              <w:t>88 (20.6%)</w:t>
            </w:r>
          </w:p>
        </w:tc>
        <w:tc>
          <w:tcPr>
            <w:tcW w:w="1599" w:type="dxa"/>
            <w:shd w:val="clear" w:color="auto" w:fill="auto"/>
            <w:vAlign w:val="center"/>
          </w:tcPr>
          <w:p w:rsidR="00DC7661" w:rsidRPr="00DC7661" w:rsidRDefault="00382758" w:rsidP="006C2710">
            <w:pPr>
              <w:pStyle w:val="MDPI42tablebody"/>
              <w:spacing w:line="240" w:lineRule="auto"/>
            </w:pPr>
            <w:r>
              <w:t>270 (68/5%)</w:t>
            </w:r>
          </w:p>
        </w:tc>
        <w:tc>
          <w:tcPr>
            <w:tcW w:w="1599" w:type="dxa"/>
          </w:tcPr>
          <w:p w:rsidR="00DC7661" w:rsidRPr="00DC7661" w:rsidRDefault="00382758" w:rsidP="006C2710">
            <w:pPr>
              <w:pStyle w:val="MDPI42tablebody"/>
              <w:spacing w:line="240" w:lineRule="auto"/>
            </w:pPr>
            <w:r>
              <w:t>124 (31.5%)</w:t>
            </w:r>
          </w:p>
        </w:tc>
      </w:tr>
      <w:tr w:rsidR="00DC7661" w:rsidRPr="00DC7661" w:rsidTr="00DC7661">
        <w:trPr>
          <w:jc w:val="center"/>
        </w:trPr>
        <w:tc>
          <w:tcPr>
            <w:tcW w:w="1985" w:type="dxa"/>
          </w:tcPr>
          <w:p w:rsidR="00DC7661" w:rsidRPr="00DC7661" w:rsidRDefault="00DC7661" w:rsidP="006C2710">
            <w:pPr>
              <w:pStyle w:val="MDPI42tablebody"/>
              <w:spacing w:line="240" w:lineRule="auto"/>
            </w:pPr>
            <w:r w:rsidRPr="00DC7661">
              <w:t>Linguistics</w:t>
            </w:r>
          </w:p>
        </w:tc>
        <w:tc>
          <w:tcPr>
            <w:tcW w:w="1417" w:type="dxa"/>
            <w:shd w:val="clear" w:color="auto" w:fill="auto"/>
            <w:vAlign w:val="center"/>
          </w:tcPr>
          <w:p w:rsidR="00DC7661" w:rsidRPr="00DC7661" w:rsidRDefault="00DC7661" w:rsidP="006C2710">
            <w:pPr>
              <w:pStyle w:val="MDPI42tablebody"/>
              <w:spacing w:line="240" w:lineRule="auto"/>
            </w:pPr>
            <w:r>
              <w:t>288 (74.8%)</w:t>
            </w:r>
          </w:p>
        </w:tc>
        <w:tc>
          <w:tcPr>
            <w:tcW w:w="1395" w:type="dxa"/>
            <w:shd w:val="clear" w:color="auto" w:fill="auto"/>
            <w:vAlign w:val="center"/>
          </w:tcPr>
          <w:p w:rsidR="00DC7661" w:rsidRPr="00DC7661" w:rsidRDefault="00382758" w:rsidP="006C2710">
            <w:pPr>
              <w:pStyle w:val="MDPI42tablebody"/>
              <w:spacing w:line="240" w:lineRule="auto"/>
            </w:pPr>
            <w:r>
              <w:t>97 (25.2%)</w:t>
            </w:r>
          </w:p>
        </w:tc>
        <w:tc>
          <w:tcPr>
            <w:tcW w:w="1599" w:type="dxa"/>
            <w:shd w:val="clear" w:color="auto" w:fill="auto"/>
            <w:vAlign w:val="center"/>
          </w:tcPr>
          <w:p w:rsidR="00DC7661" w:rsidRPr="00DC7661" w:rsidRDefault="00382758" w:rsidP="006C2710">
            <w:pPr>
              <w:pStyle w:val="MDPI42tablebody"/>
              <w:spacing w:line="240" w:lineRule="auto"/>
            </w:pPr>
            <w:r>
              <w:t>242 (61.2%)</w:t>
            </w:r>
          </w:p>
        </w:tc>
        <w:tc>
          <w:tcPr>
            <w:tcW w:w="1599" w:type="dxa"/>
          </w:tcPr>
          <w:p w:rsidR="00DC7661" w:rsidRPr="00DC7661" w:rsidRDefault="00382758" w:rsidP="006C2710">
            <w:pPr>
              <w:pStyle w:val="MDPI42tablebody"/>
              <w:spacing w:line="240" w:lineRule="auto"/>
            </w:pPr>
            <w:r>
              <w:t>153 (38.8%)</w:t>
            </w:r>
          </w:p>
        </w:tc>
      </w:tr>
      <w:tr w:rsidR="00DC7661" w:rsidRPr="00DC7661" w:rsidTr="00DC7661">
        <w:trPr>
          <w:jc w:val="center"/>
        </w:trPr>
        <w:tc>
          <w:tcPr>
            <w:tcW w:w="1985" w:type="dxa"/>
          </w:tcPr>
          <w:p w:rsidR="00DC7661" w:rsidRPr="00DC7661" w:rsidRDefault="00DC7661" w:rsidP="006C2710">
            <w:pPr>
              <w:pStyle w:val="MDPI42tablebody"/>
              <w:spacing w:line="240" w:lineRule="auto"/>
            </w:pPr>
            <w:r w:rsidRPr="00DC7661">
              <w:t>Sociology</w:t>
            </w:r>
          </w:p>
        </w:tc>
        <w:tc>
          <w:tcPr>
            <w:tcW w:w="1417" w:type="dxa"/>
            <w:shd w:val="clear" w:color="auto" w:fill="auto"/>
            <w:vAlign w:val="center"/>
          </w:tcPr>
          <w:p w:rsidR="00DC7661" w:rsidRPr="00DC7661" w:rsidRDefault="00DC7661" w:rsidP="006C2710">
            <w:pPr>
              <w:pStyle w:val="MDPI42tablebody"/>
              <w:spacing w:line="240" w:lineRule="auto"/>
            </w:pPr>
            <w:r>
              <w:t>312 (79.0%)</w:t>
            </w:r>
          </w:p>
        </w:tc>
        <w:tc>
          <w:tcPr>
            <w:tcW w:w="1395" w:type="dxa"/>
            <w:shd w:val="clear" w:color="auto" w:fill="auto"/>
            <w:vAlign w:val="center"/>
          </w:tcPr>
          <w:p w:rsidR="00DC7661" w:rsidRPr="00DC7661" w:rsidRDefault="00382758" w:rsidP="006C2710">
            <w:pPr>
              <w:pStyle w:val="MDPI42tablebody"/>
              <w:spacing w:line="240" w:lineRule="auto"/>
            </w:pPr>
            <w:r>
              <w:t>83 (21.0%)</w:t>
            </w:r>
          </w:p>
        </w:tc>
        <w:tc>
          <w:tcPr>
            <w:tcW w:w="1599" w:type="dxa"/>
            <w:shd w:val="clear" w:color="auto" w:fill="auto"/>
            <w:vAlign w:val="center"/>
          </w:tcPr>
          <w:p w:rsidR="00DC7661" w:rsidRPr="00DC7661" w:rsidRDefault="00382758" w:rsidP="006C2710">
            <w:pPr>
              <w:pStyle w:val="MDPI42tablebody"/>
              <w:spacing w:line="240" w:lineRule="auto"/>
            </w:pPr>
            <w:r>
              <w:t>284 (69.8%)</w:t>
            </w:r>
          </w:p>
        </w:tc>
        <w:tc>
          <w:tcPr>
            <w:tcW w:w="1599" w:type="dxa"/>
          </w:tcPr>
          <w:p w:rsidR="00DC7661" w:rsidRPr="00DC7661" w:rsidRDefault="00382758" w:rsidP="006C2710">
            <w:pPr>
              <w:pStyle w:val="MDPI42tablebody"/>
              <w:spacing w:line="240" w:lineRule="auto"/>
            </w:pPr>
            <w:r>
              <w:t>123 (30.2%)</w:t>
            </w:r>
          </w:p>
        </w:tc>
      </w:tr>
      <w:tr w:rsidR="00DC7661" w:rsidRPr="00DC7661" w:rsidTr="00DC7661">
        <w:trPr>
          <w:jc w:val="center"/>
        </w:trPr>
        <w:tc>
          <w:tcPr>
            <w:tcW w:w="1985" w:type="dxa"/>
          </w:tcPr>
          <w:p w:rsidR="00DC7661" w:rsidRPr="00DC7661" w:rsidRDefault="00DC7661" w:rsidP="006C2710">
            <w:pPr>
              <w:pStyle w:val="MDPI42tablebody"/>
              <w:spacing w:line="240" w:lineRule="auto"/>
            </w:pPr>
            <w:r w:rsidRPr="00DC7661">
              <w:t>Overall</w:t>
            </w:r>
          </w:p>
        </w:tc>
        <w:tc>
          <w:tcPr>
            <w:tcW w:w="1417" w:type="dxa"/>
            <w:shd w:val="clear" w:color="auto" w:fill="auto"/>
            <w:vAlign w:val="center"/>
          </w:tcPr>
          <w:p w:rsidR="00DC7661" w:rsidRPr="00DC7661" w:rsidRDefault="00382758" w:rsidP="006C2710">
            <w:pPr>
              <w:pStyle w:val="MDPI42tablebody"/>
              <w:spacing w:line="240" w:lineRule="auto"/>
            </w:pPr>
            <w:r>
              <w:t>1687 (61.2%)</w:t>
            </w:r>
          </w:p>
        </w:tc>
        <w:tc>
          <w:tcPr>
            <w:tcW w:w="1395" w:type="dxa"/>
            <w:shd w:val="clear" w:color="auto" w:fill="auto"/>
            <w:vAlign w:val="center"/>
          </w:tcPr>
          <w:p w:rsidR="00DC7661" w:rsidRPr="00DC7661" w:rsidRDefault="00E83656" w:rsidP="006C2710">
            <w:pPr>
              <w:pStyle w:val="MDPI42tablebody"/>
              <w:spacing w:line="240" w:lineRule="auto"/>
            </w:pPr>
            <w:r>
              <w:t>1069 (38.</w:t>
            </w:r>
            <w:r w:rsidR="00382758">
              <w:t>8%)</w:t>
            </w:r>
          </w:p>
        </w:tc>
        <w:tc>
          <w:tcPr>
            <w:tcW w:w="1599" w:type="dxa"/>
            <w:shd w:val="clear" w:color="auto" w:fill="auto"/>
            <w:vAlign w:val="center"/>
          </w:tcPr>
          <w:p w:rsidR="00DC7661" w:rsidRPr="00DC7661" w:rsidRDefault="00382758" w:rsidP="006C2710">
            <w:pPr>
              <w:pStyle w:val="MDPI42tablebody"/>
              <w:spacing w:line="240" w:lineRule="auto"/>
            </w:pPr>
            <w:r>
              <w:t>2506 (43.3%)</w:t>
            </w:r>
          </w:p>
        </w:tc>
        <w:tc>
          <w:tcPr>
            <w:tcW w:w="1599" w:type="dxa"/>
          </w:tcPr>
          <w:p w:rsidR="00DC7661" w:rsidRPr="00DC7661" w:rsidRDefault="00382758" w:rsidP="006C2710">
            <w:pPr>
              <w:pStyle w:val="MDPI42tablebody"/>
              <w:spacing w:line="240" w:lineRule="auto"/>
            </w:pPr>
            <w:r>
              <w:t>3284 (56.7%)</w:t>
            </w:r>
          </w:p>
        </w:tc>
      </w:tr>
    </w:tbl>
    <w:p w:rsidR="00DC7661" w:rsidRDefault="00DC7661" w:rsidP="00DC7661">
      <w:pPr>
        <w:pStyle w:val="MDPI43tablefooter"/>
        <w:spacing w:after="240"/>
        <w:jc w:val="center"/>
      </w:pPr>
      <w:r w:rsidRPr="00501982">
        <w:rPr>
          <w:vertAlign w:val="superscript"/>
        </w:rPr>
        <w:t>1</w:t>
      </w:r>
      <w:r w:rsidRPr="00501982">
        <w:t xml:space="preserve"> </w:t>
      </w:r>
      <w:r>
        <w:t>Source: Hyland 2016</w:t>
      </w:r>
      <w:r w:rsidR="00D96F67">
        <w:t>a</w:t>
      </w:r>
    </w:p>
    <w:p w:rsidR="00256950" w:rsidRDefault="00256950" w:rsidP="001E128A">
      <w:pPr>
        <w:pStyle w:val="MDPI31text"/>
        <w:ind w:firstLine="0"/>
        <w:rPr>
          <w:lang w:val="en-GB"/>
        </w:rPr>
      </w:pPr>
      <w:r>
        <w:rPr>
          <w:lang w:val="en-GB"/>
        </w:rPr>
        <w:t xml:space="preserve">As can be seen, </w:t>
      </w:r>
      <w:r w:rsidR="00870030">
        <w:rPr>
          <w:lang w:val="en-GB"/>
        </w:rPr>
        <w:t xml:space="preserve">Table 1 </w:t>
      </w:r>
      <w:r w:rsidR="00382758">
        <w:rPr>
          <w:lang w:val="en-GB"/>
        </w:rPr>
        <w:t xml:space="preserve">shows that in 2011, </w:t>
      </w:r>
      <w:r w:rsidR="00DC7661">
        <w:t>EAL scholars ha</w:t>
      </w:r>
      <w:r w:rsidR="00382758">
        <w:t>d the larger part of the publication share</w:t>
      </w:r>
      <w:r>
        <w:t>:</w:t>
      </w:r>
      <w:r w:rsidR="00382758">
        <w:t xml:space="preserve"> </w:t>
      </w:r>
      <w:r>
        <w:t>56.7% compared to 43</w:t>
      </w:r>
      <w:r w:rsidR="00E83656">
        <w:t>.3% for NES, although in 2000 NES had the larger share (61.2% compared to 38.8% for EAL scholars).</w:t>
      </w:r>
      <w:r>
        <w:t xml:space="preserve"> There </w:t>
      </w:r>
      <w:r w:rsidR="00E83656">
        <w:t xml:space="preserve">seems to have been </w:t>
      </w:r>
      <w:r>
        <w:t xml:space="preserve">a trend upwards since 2000, </w:t>
      </w:r>
      <w:r w:rsidR="00E83656">
        <w:t xml:space="preserve">and certainly in recent </w:t>
      </w:r>
      <w:r w:rsidR="00E83656">
        <w:lastRenderedPageBreak/>
        <w:t xml:space="preserve">years, the numbers suggest that </w:t>
      </w:r>
      <w:r>
        <w:t xml:space="preserve">EAL scholars may not </w:t>
      </w:r>
      <w:r w:rsidR="00382758">
        <w:t>fare</w:t>
      </w:r>
      <w:r>
        <w:t xml:space="preserve"> as badly as one might have assumed</w:t>
      </w:r>
      <w:r w:rsidR="00382758">
        <w:t xml:space="preserve">. Of course, these numbers do not tell us anything about the </w:t>
      </w:r>
      <w:r>
        <w:t xml:space="preserve">trial and tribulations authors of both kind may have gone through </w:t>
      </w:r>
      <w:r w:rsidR="001C7AA2">
        <w:t>to get</w:t>
      </w:r>
      <w:r>
        <w:t xml:space="preserve"> their work published. The </w:t>
      </w:r>
      <w:r w:rsidR="00382758">
        <w:t>number</w:t>
      </w:r>
      <w:r>
        <w:t>s</w:t>
      </w:r>
      <w:r w:rsidR="00382758">
        <w:t xml:space="preserve"> </w:t>
      </w:r>
      <w:r>
        <w:t>only give us insights into number of</w:t>
      </w:r>
      <w:r w:rsidR="00382758">
        <w:t xml:space="preserve"> manuscripts</w:t>
      </w:r>
      <w:r>
        <w:t xml:space="preserve"> published, not how many have been submitted and rejected</w:t>
      </w:r>
      <w:r w:rsidR="001C7AA2">
        <w:t>;</w:t>
      </w:r>
      <w:r>
        <w:t xml:space="preserve"> drafted and never submitted</w:t>
      </w:r>
      <w:r w:rsidR="001C7AA2">
        <w:t>; or indeed never drafted in the first place</w:t>
      </w:r>
      <w:r>
        <w:t xml:space="preserve">. </w:t>
      </w:r>
      <w:r>
        <w:rPr>
          <w:lang w:val="en-GB"/>
        </w:rPr>
        <w:t xml:space="preserve">The numbers also do not take into account the proportion of scholars who are EAL users. If EAL scholars constitute the larger proportion of the global academic workforce, then it is </w:t>
      </w:r>
      <w:r w:rsidR="00D96F67">
        <w:rPr>
          <w:lang w:val="en-GB"/>
        </w:rPr>
        <w:t xml:space="preserve">only right </w:t>
      </w:r>
      <w:r>
        <w:rPr>
          <w:lang w:val="en-GB"/>
        </w:rPr>
        <w:t xml:space="preserve">to be expect that </w:t>
      </w:r>
      <w:r w:rsidR="00D96F67">
        <w:rPr>
          <w:lang w:val="en-GB"/>
        </w:rPr>
        <w:t xml:space="preserve">they should have a larger </w:t>
      </w:r>
      <w:r>
        <w:rPr>
          <w:lang w:val="en-GB"/>
        </w:rPr>
        <w:t xml:space="preserve">publishing share. </w:t>
      </w:r>
      <w:r w:rsidR="00E83656">
        <w:rPr>
          <w:lang w:val="en-GB"/>
        </w:rPr>
        <w:t xml:space="preserve">There is also an additional complexity in that </w:t>
      </w:r>
      <w:r>
        <w:rPr>
          <w:lang w:val="en-GB"/>
        </w:rPr>
        <w:t xml:space="preserve">the analysis is based on a classification of scholars according to their name, which, as Hyland concedes, is a </w:t>
      </w:r>
      <w:r w:rsidR="00D96F67">
        <w:rPr>
          <w:lang w:val="en-GB"/>
        </w:rPr>
        <w:t>method fraught with difficulties</w:t>
      </w:r>
      <w:r>
        <w:rPr>
          <w:lang w:val="en-GB"/>
        </w:rPr>
        <w:t>. Nevertheless,</w:t>
      </w:r>
      <w:r w:rsidR="001E128A">
        <w:rPr>
          <w:lang w:val="en-GB"/>
        </w:rPr>
        <w:t xml:space="preserve"> on its own, the data</w:t>
      </w:r>
      <w:r w:rsidR="00E83656">
        <w:rPr>
          <w:lang w:val="en-GB"/>
        </w:rPr>
        <w:t xml:space="preserve"> does</w:t>
      </w:r>
      <w:r w:rsidR="001E128A">
        <w:rPr>
          <w:lang w:val="en-GB"/>
        </w:rPr>
        <w:t xml:space="preserve"> offer a useful complement to interview and questionnaire studies </w:t>
      </w:r>
      <w:r w:rsidR="00E83656">
        <w:rPr>
          <w:lang w:val="en-GB"/>
        </w:rPr>
        <w:t xml:space="preserve">focusing on </w:t>
      </w:r>
      <w:r w:rsidR="001E128A">
        <w:rPr>
          <w:lang w:val="en-GB"/>
        </w:rPr>
        <w:t>the challenges faced by non-</w:t>
      </w:r>
      <w:r w:rsidR="00254EA0">
        <w:rPr>
          <w:lang w:val="en-GB"/>
        </w:rPr>
        <w:t>A</w:t>
      </w:r>
      <w:r w:rsidR="001E128A">
        <w:rPr>
          <w:lang w:val="en-GB"/>
        </w:rPr>
        <w:t>nglophone scholars.</w:t>
      </w:r>
      <w:r>
        <w:rPr>
          <w:lang w:val="en-GB"/>
        </w:rPr>
        <w:t xml:space="preserve"> </w:t>
      </w:r>
      <w:r w:rsidR="001E128A">
        <w:rPr>
          <w:lang w:val="en-GB"/>
        </w:rPr>
        <w:t xml:space="preserve">Reflecting on the </w:t>
      </w:r>
      <w:r w:rsidR="00D96F67">
        <w:rPr>
          <w:lang w:val="en-GB"/>
        </w:rPr>
        <w:t xml:space="preserve">sometimes brutal </w:t>
      </w:r>
      <w:r w:rsidR="001E128A">
        <w:rPr>
          <w:lang w:val="en-GB"/>
        </w:rPr>
        <w:t xml:space="preserve">nature of </w:t>
      </w:r>
      <w:r>
        <w:rPr>
          <w:lang w:val="en-GB"/>
        </w:rPr>
        <w:t>reviewer comments</w:t>
      </w:r>
      <w:r w:rsidR="001E128A">
        <w:rPr>
          <w:lang w:val="en-GB"/>
        </w:rPr>
        <w:t>, Hyland speculates</w:t>
      </w:r>
      <w:r>
        <w:rPr>
          <w:lang w:val="en-GB"/>
        </w:rPr>
        <w:t xml:space="preserve">: </w:t>
      </w:r>
    </w:p>
    <w:p w:rsidR="00870030" w:rsidRDefault="00256950" w:rsidP="001E128A">
      <w:pPr>
        <w:pStyle w:val="MDPI31text"/>
        <w:ind w:firstLine="0"/>
        <w:rPr>
          <w:lang w:val="en-GB"/>
        </w:rPr>
      </w:pPr>
      <w:r>
        <w:rPr>
          <w:lang w:val="en-GB"/>
        </w:rPr>
        <w:t xml:space="preserve"> </w:t>
      </w:r>
    </w:p>
    <w:p w:rsidR="004C4AD1" w:rsidRPr="00B80ADC" w:rsidRDefault="004C4AD1" w:rsidP="00B80ADC">
      <w:pPr>
        <w:pStyle w:val="MDPI31text"/>
        <w:numPr>
          <w:ilvl w:val="0"/>
          <w:numId w:val="4"/>
        </w:numPr>
        <w:rPr>
          <w:lang w:val="en-GB"/>
        </w:rPr>
      </w:pPr>
      <w:r w:rsidRPr="00B80ADC">
        <w:rPr>
          <w:lang w:val="en-GB"/>
        </w:rPr>
        <w:t>It is possible that the frequency of these comments, and occasionally their bluntness, may lead EAL writers to believe that language has played a decisive role in the rejection of their contributions</w:t>
      </w:r>
      <w:r w:rsidR="00382758">
        <w:rPr>
          <w:lang w:val="en-GB"/>
        </w:rPr>
        <w:t xml:space="preserve"> (</w:t>
      </w:r>
      <w:r w:rsidR="00382758" w:rsidRPr="00B80ADC">
        <w:t>2016</w:t>
      </w:r>
      <w:r w:rsidR="00D96F67">
        <w:t>a</w:t>
      </w:r>
      <w:r w:rsidR="00382758" w:rsidRPr="00B80ADC">
        <w:t>: 65</w:t>
      </w:r>
      <w:r w:rsidR="00382758">
        <w:t>)</w:t>
      </w:r>
      <w:r w:rsidRPr="00B80ADC">
        <w:rPr>
          <w:lang w:val="en-GB"/>
        </w:rPr>
        <w:t>.</w:t>
      </w:r>
    </w:p>
    <w:p w:rsidR="00870030" w:rsidRDefault="00870030" w:rsidP="00B80ADC">
      <w:pPr>
        <w:pStyle w:val="MDPI31text"/>
        <w:numPr>
          <w:ilvl w:val="0"/>
          <w:numId w:val="4"/>
        </w:numPr>
        <w:rPr>
          <w:lang w:val="en-GB"/>
        </w:rPr>
      </w:pPr>
    </w:p>
    <w:p w:rsidR="00870030" w:rsidRDefault="00870030" w:rsidP="00D96F67">
      <w:pPr>
        <w:pStyle w:val="MDPI31text"/>
        <w:ind w:firstLine="0"/>
        <w:rPr>
          <w:lang w:val="en-GB"/>
        </w:rPr>
      </w:pPr>
      <w:r>
        <w:rPr>
          <w:lang w:val="en-GB"/>
        </w:rPr>
        <w:t>He also cites research to suggest that:</w:t>
      </w:r>
    </w:p>
    <w:p w:rsidR="00870030" w:rsidRDefault="00870030" w:rsidP="00870030">
      <w:pPr>
        <w:pStyle w:val="MDPI31text"/>
        <w:rPr>
          <w:lang w:val="en-GB"/>
        </w:rPr>
      </w:pPr>
    </w:p>
    <w:p w:rsidR="00B80ADC" w:rsidRPr="00B80ADC" w:rsidRDefault="004C4AD1" w:rsidP="00B80ADC">
      <w:pPr>
        <w:pStyle w:val="MDPI31text"/>
        <w:numPr>
          <w:ilvl w:val="0"/>
          <w:numId w:val="4"/>
        </w:numPr>
      </w:pPr>
      <w:r w:rsidRPr="00B80ADC">
        <w:rPr>
          <w:lang w:val="en-GB"/>
        </w:rPr>
        <w:t>Certainly, in applied linguistics at least, reviewers do not typically take the non-native speaker status of authors in account in making decisions and the quality of the language is rarely</w:t>
      </w:r>
      <w:r w:rsidR="001E128A">
        <w:rPr>
          <w:lang w:val="en-GB"/>
        </w:rPr>
        <w:t xml:space="preserve"> a decisive factor in rejection</w:t>
      </w:r>
      <w:r w:rsidR="00B80ADC">
        <w:rPr>
          <w:lang w:val="en-GB"/>
        </w:rPr>
        <w:t xml:space="preserve"> </w:t>
      </w:r>
      <w:r w:rsidR="001E128A">
        <w:rPr>
          <w:lang w:val="en-GB"/>
        </w:rPr>
        <w:t>(</w:t>
      </w:r>
      <w:r w:rsidR="00B80ADC" w:rsidRPr="00B80ADC">
        <w:t>Hyland 2016</w:t>
      </w:r>
      <w:r w:rsidR="00D96F67">
        <w:t>a</w:t>
      </w:r>
      <w:r w:rsidR="00B80ADC" w:rsidRPr="00B80ADC">
        <w:t>: 65, citing Belcher 2007</w:t>
      </w:r>
      <w:r w:rsidR="001E128A">
        <w:t>)</w:t>
      </w:r>
      <w:r w:rsidR="00CE2098">
        <w:t>.</w:t>
      </w:r>
    </w:p>
    <w:p w:rsidR="004C4AD1" w:rsidRPr="00B80ADC" w:rsidRDefault="004C4AD1" w:rsidP="00B80ADC">
      <w:pPr>
        <w:pStyle w:val="MDPI31text"/>
        <w:numPr>
          <w:ilvl w:val="0"/>
          <w:numId w:val="4"/>
        </w:numPr>
        <w:rPr>
          <w:lang w:val="en-GB"/>
        </w:rPr>
      </w:pPr>
    </w:p>
    <w:p w:rsidR="001E128A" w:rsidRDefault="00870030" w:rsidP="001E128A">
      <w:pPr>
        <w:pStyle w:val="MDPI31text"/>
        <w:ind w:firstLine="0"/>
        <w:rPr>
          <w:lang w:val="en-GB"/>
        </w:rPr>
      </w:pPr>
      <w:r>
        <w:rPr>
          <w:lang w:val="en-GB"/>
        </w:rPr>
        <w:t>This statement resonates with Lillis and Curry</w:t>
      </w:r>
      <w:r w:rsidR="00606C34">
        <w:rPr>
          <w:lang w:val="en-GB"/>
        </w:rPr>
        <w:t xml:space="preserve"> </w:t>
      </w:r>
      <w:r w:rsidR="001E128A">
        <w:rPr>
          <w:lang w:val="en-GB"/>
        </w:rPr>
        <w:t xml:space="preserve">(2015) </w:t>
      </w:r>
      <w:r w:rsidR="00606C34">
        <w:rPr>
          <w:lang w:val="en-GB"/>
        </w:rPr>
        <w:t>a</w:t>
      </w:r>
      <w:r w:rsidR="00E83656">
        <w:rPr>
          <w:lang w:val="en-GB"/>
        </w:rPr>
        <w:t xml:space="preserve">s well as </w:t>
      </w:r>
      <w:r w:rsidR="00E57F5A">
        <w:t>Ferguson</w:t>
      </w:r>
      <w:r w:rsidR="001E128A" w:rsidRPr="002D1420">
        <w:t xml:space="preserve"> et al. </w:t>
      </w:r>
      <w:r w:rsidR="001E128A">
        <w:t>(</w:t>
      </w:r>
      <w:r w:rsidR="001E128A" w:rsidRPr="002D1420">
        <w:t>2011</w:t>
      </w:r>
      <w:r w:rsidR="001E128A">
        <w:t xml:space="preserve">) </w:t>
      </w:r>
      <w:r>
        <w:rPr>
          <w:lang w:val="en-GB"/>
        </w:rPr>
        <w:t xml:space="preserve">who also </w:t>
      </w:r>
      <w:r w:rsidR="00E83656">
        <w:rPr>
          <w:lang w:val="en-GB"/>
        </w:rPr>
        <w:t>conclude</w:t>
      </w:r>
      <w:r w:rsidR="001E128A">
        <w:rPr>
          <w:lang w:val="en-GB"/>
        </w:rPr>
        <w:t xml:space="preserve"> that </w:t>
      </w:r>
      <w:r>
        <w:rPr>
          <w:lang w:val="en-GB"/>
        </w:rPr>
        <w:t xml:space="preserve">despite the undeniable </w:t>
      </w:r>
      <w:r w:rsidR="001E128A">
        <w:rPr>
          <w:lang w:val="en-GB"/>
        </w:rPr>
        <w:t>attention</w:t>
      </w:r>
      <w:r>
        <w:rPr>
          <w:lang w:val="en-GB"/>
        </w:rPr>
        <w:t xml:space="preserve"> accorded to </w:t>
      </w:r>
      <w:r w:rsidR="001E128A">
        <w:rPr>
          <w:lang w:val="en-GB"/>
        </w:rPr>
        <w:t>ma</w:t>
      </w:r>
      <w:r>
        <w:rPr>
          <w:lang w:val="en-GB"/>
        </w:rPr>
        <w:t xml:space="preserve">tters of language and </w:t>
      </w:r>
      <w:r w:rsidR="001E128A">
        <w:rPr>
          <w:lang w:val="en-GB"/>
        </w:rPr>
        <w:t>non-nativeness by journal authors, reviewers and editors</w:t>
      </w:r>
      <w:r>
        <w:rPr>
          <w:lang w:val="en-GB"/>
        </w:rPr>
        <w:t xml:space="preserve">, there </w:t>
      </w:r>
      <w:r w:rsidR="00E83656">
        <w:rPr>
          <w:lang w:val="en-GB"/>
        </w:rPr>
        <w:t>is</w:t>
      </w:r>
      <w:r>
        <w:rPr>
          <w:lang w:val="en-GB"/>
        </w:rPr>
        <w:t xml:space="preserve"> </w:t>
      </w:r>
      <w:r w:rsidR="00E83656">
        <w:rPr>
          <w:lang w:val="en-GB"/>
        </w:rPr>
        <w:t xml:space="preserve">little </w:t>
      </w:r>
      <w:r>
        <w:rPr>
          <w:lang w:val="en-GB"/>
        </w:rPr>
        <w:t xml:space="preserve">evidence that </w:t>
      </w:r>
      <w:r w:rsidR="001E128A">
        <w:rPr>
          <w:lang w:val="en-GB"/>
        </w:rPr>
        <w:t>this</w:t>
      </w:r>
      <w:r>
        <w:rPr>
          <w:lang w:val="en-GB"/>
        </w:rPr>
        <w:t xml:space="preserve"> </w:t>
      </w:r>
      <w:r w:rsidR="00E83656">
        <w:rPr>
          <w:lang w:val="en-GB"/>
        </w:rPr>
        <w:t>is</w:t>
      </w:r>
      <w:r w:rsidR="001E128A">
        <w:rPr>
          <w:lang w:val="en-GB"/>
        </w:rPr>
        <w:t xml:space="preserve"> a </w:t>
      </w:r>
      <w:r>
        <w:rPr>
          <w:lang w:val="en-GB"/>
        </w:rPr>
        <w:t xml:space="preserve">decisive factor in </w:t>
      </w:r>
      <w:r w:rsidR="001E128A">
        <w:rPr>
          <w:lang w:val="en-GB"/>
        </w:rPr>
        <w:t xml:space="preserve">the </w:t>
      </w:r>
      <w:r>
        <w:rPr>
          <w:lang w:val="en-GB"/>
        </w:rPr>
        <w:t>rejection or accepta</w:t>
      </w:r>
      <w:r w:rsidR="001E128A">
        <w:rPr>
          <w:lang w:val="en-GB"/>
        </w:rPr>
        <w:t>n</w:t>
      </w:r>
      <w:r>
        <w:rPr>
          <w:lang w:val="en-GB"/>
        </w:rPr>
        <w:t>ce</w:t>
      </w:r>
      <w:r w:rsidR="001E128A">
        <w:rPr>
          <w:lang w:val="en-GB"/>
        </w:rPr>
        <w:t xml:space="preserve"> of a manuscript</w:t>
      </w:r>
      <w:r>
        <w:rPr>
          <w:lang w:val="en-GB"/>
        </w:rPr>
        <w:t>.</w:t>
      </w:r>
    </w:p>
    <w:p w:rsidR="001E128A" w:rsidRDefault="001E128A" w:rsidP="001E128A">
      <w:pPr>
        <w:pStyle w:val="MDPI31text"/>
        <w:ind w:firstLine="0"/>
        <w:rPr>
          <w:lang w:val="en-GB"/>
        </w:rPr>
      </w:pPr>
      <w:r>
        <w:rPr>
          <w:lang w:val="en-GB"/>
        </w:rPr>
        <w:tab/>
        <w:t>To sum up, it seems that when discourses on language and non-nativeness are complemented with data on actual publication success, the picture change</w:t>
      </w:r>
      <w:r w:rsidR="00254EA0">
        <w:rPr>
          <w:lang w:val="en-GB"/>
        </w:rPr>
        <w:t>s</w:t>
      </w:r>
      <w:r>
        <w:rPr>
          <w:lang w:val="en-GB"/>
        </w:rPr>
        <w:t xml:space="preserve"> </w:t>
      </w:r>
      <w:r w:rsidR="00D96F67">
        <w:rPr>
          <w:lang w:val="en-GB"/>
        </w:rPr>
        <w:t>somewhat</w:t>
      </w:r>
      <w:r>
        <w:rPr>
          <w:lang w:val="en-GB"/>
        </w:rPr>
        <w:t xml:space="preserve">. It seems that perhaps some of these scholars’ anxieties are just </w:t>
      </w:r>
      <w:r w:rsidR="00D96F67">
        <w:rPr>
          <w:lang w:val="en-GB"/>
        </w:rPr>
        <w:t>‘</w:t>
      </w:r>
      <w:r>
        <w:rPr>
          <w:lang w:val="en-GB"/>
        </w:rPr>
        <w:t>normal</w:t>
      </w:r>
      <w:r w:rsidR="00D96F67">
        <w:rPr>
          <w:lang w:val="en-GB"/>
        </w:rPr>
        <w:t>’</w:t>
      </w:r>
      <w:r>
        <w:rPr>
          <w:lang w:val="en-GB"/>
        </w:rPr>
        <w:t xml:space="preserve"> verbal hygiene discourses,</w:t>
      </w:r>
      <w:r w:rsidR="00E83656">
        <w:rPr>
          <w:lang w:val="en-GB"/>
        </w:rPr>
        <w:t xml:space="preserve"> akin to the ones that circulate in any other </w:t>
      </w:r>
      <w:r w:rsidR="00254EA0">
        <w:rPr>
          <w:lang w:val="en-GB"/>
        </w:rPr>
        <w:t xml:space="preserve">societal </w:t>
      </w:r>
      <w:r w:rsidR="00E83656">
        <w:rPr>
          <w:lang w:val="en-GB"/>
        </w:rPr>
        <w:t xml:space="preserve">domain. </w:t>
      </w:r>
      <w:r>
        <w:rPr>
          <w:lang w:val="en-GB"/>
        </w:rPr>
        <w:t xml:space="preserve">Of course, questioning the role of first language </w:t>
      </w:r>
      <w:r w:rsidR="008F0AB4">
        <w:rPr>
          <w:lang w:val="en-GB"/>
        </w:rPr>
        <w:t>for</w:t>
      </w:r>
      <w:r>
        <w:rPr>
          <w:lang w:val="en-GB"/>
        </w:rPr>
        <w:t xml:space="preserve"> publishing success </w:t>
      </w:r>
      <w:r w:rsidR="008F0AB4">
        <w:rPr>
          <w:lang w:val="en-GB"/>
        </w:rPr>
        <w:t xml:space="preserve">is not to deny that there </w:t>
      </w:r>
      <w:r w:rsidR="008F0AB4" w:rsidRPr="00D96F67">
        <w:rPr>
          <w:i/>
          <w:lang w:val="en-GB"/>
        </w:rPr>
        <w:t>are</w:t>
      </w:r>
      <w:r w:rsidR="008F0AB4">
        <w:rPr>
          <w:lang w:val="en-GB"/>
        </w:rPr>
        <w:t xml:space="preserve"> gross inequalities in global academic publishing. Quite the contrary.</w:t>
      </w:r>
      <w:r w:rsidR="00E83656">
        <w:rPr>
          <w:lang w:val="en-GB"/>
        </w:rPr>
        <w:t xml:space="preserve"> The next section turns to this</w:t>
      </w:r>
      <w:r w:rsidR="00254EA0">
        <w:rPr>
          <w:lang w:val="en-GB"/>
        </w:rPr>
        <w:t xml:space="preserve"> issue</w:t>
      </w:r>
      <w:r w:rsidR="00E83656">
        <w:rPr>
          <w:lang w:val="en-GB"/>
        </w:rPr>
        <w:t>.</w:t>
      </w:r>
    </w:p>
    <w:p w:rsidR="002C443C" w:rsidRDefault="002C443C" w:rsidP="00A900D9">
      <w:pPr>
        <w:pStyle w:val="MDPI31text"/>
        <w:rPr>
          <w:lang w:val="en-GB"/>
        </w:rPr>
      </w:pPr>
    </w:p>
    <w:p w:rsidR="00870030" w:rsidRDefault="00870030" w:rsidP="00870030">
      <w:pPr>
        <w:pStyle w:val="MDPI22heading2"/>
      </w:pPr>
      <w:r>
        <w:t>3.3</w:t>
      </w:r>
      <w:r w:rsidRPr="00501982">
        <w:t xml:space="preserve">. </w:t>
      </w:r>
      <w:r>
        <w:t>Inequities</w:t>
      </w:r>
      <w:r w:rsidR="002C463E">
        <w:t xml:space="preserve"> in global academic publishing</w:t>
      </w:r>
    </w:p>
    <w:p w:rsidR="00AF518F" w:rsidRDefault="00CD2A4C" w:rsidP="00E83656">
      <w:pPr>
        <w:pStyle w:val="MDPI22heading2"/>
        <w:ind w:firstLine="420"/>
        <w:rPr>
          <w:i w:val="0"/>
        </w:rPr>
      </w:pPr>
      <w:r>
        <w:rPr>
          <w:i w:val="0"/>
        </w:rPr>
        <w:t xml:space="preserve">Inequities in global knowledge production are abundantly clear. </w:t>
      </w:r>
      <w:r w:rsidR="00606C34">
        <w:rPr>
          <w:i w:val="0"/>
        </w:rPr>
        <w:t xml:space="preserve">In a recent </w:t>
      </w:r>
      <w:r w:rsidR="002C463E">
        <w:rPr>
          <w:i w:val="0"/>
        </w:rPr>
        <w:t>study using b</w:t>
      </w:r>
      <w:r w:rsidR="002C463E" w:rsidRPr="00A62F09">
        <w:rPr>
          <w:i w:val="0"/>
        </w:rPr>
        <w:t>ibliometric</w:t>
      </w:r>
      <w:r w:rsidR="002C463E">
        <w:rPr>
          <w:i w:val="0"/>
        </w:rPr>
        <w:t xml:space="preserve"> </w:t>
      </w:r>
      <w:r w:rsidR="002C463E" w:rsidRPr="00A62F09">
        <w:rPr>
          <w:i w:val="0"/>
        </w:rPr>
        <w:t>data from Scimago's index of Elsevier's Scopus databa</w:t>
      </w:r>
      <w:r w:rsidR="002C463E">
        <w:rPr>
          <w:i w:val="0"/>
        </w:rPr>
        <w:t>se</w:t>
      </w:r>
      <w:r w:rsidR="00606C34">
        <w:rPr>
          <w:i w:val="0"/>
        </w:rPr>
        <w:t xml:space="preserve">, </w:t>
      </w:r>
      <w:r w:rsidR="00F67B95">
        <w:rPr>
          <w:i w:val="0"/>
        </w:rPr>
        <w:t>O’Nei</w:t>
      </w:r>
      <w:r w:rsidR="00A62F09">
        <w:rPr>
          <w:i w:val="0"/>
        </w:rPr>
        <w:t xml:space="preserve">l (2018) identifies </w:t>
      </w:r>
      <w:r w:rsidR="00E83656">
        <w:rPr>
          <w:i w:val="0"/>
        </w:rPr>
        <w:t>gross</w:t>
      </w:r>
      <w:r w:rsidR="00366D4F">
        <w:rPr>
          <w:i w:val="0"/>
        </w:rPr>
        <w:t xml:space="preserve"> disparities in the share of academic outputs. </w:t>
      </w:r>
      <w:r w:rsidR="00AF518F">
        <w:rPr>
          <w:i w:val="0"/>
        </w:rPr>
        <w:t>Table 2</w:t>
      </w:r>
      <w:r w:rsidR="002C463E">
        <w:rPr>
          <w:i w:val="0"/>
        </w:rPr>
        <w:t xml:space="preserve"> shows that </w:t>
      </w:r>
      <w:r w:rsidR="00AF518F">
        <w:rPr>
          <w:i w:val="0"/>
        </w:rPr>
        <w:t xml:space="preserve">only </w:t>
      </w:r>
      <w:r w:rsidR="002C463E">
        <w:rPr>
          <w:i w:val="0"/>
        </w:rPr>
        <w:t xml:space="preserve">ten countries in the world produce well over half of the world’s </w:t>
      </w:r>
      <w:r w:rsidR="00AF518F">
        <w:rPr>
          <w:i w:val="0"/>
        </w:rPr>
        <w:t xml:space="preserve">total </w:t>
      </w:r>
      <w:r w:rsidR="002C463E">
        <w:rPr>
          <w:i w:val="0"/>
        </w:rPr>
        <w:t>academic output (63.3%) with the reamining 221 countries producing the rest.</w:t>
      </w:r>
      <w:r w:rsidR="00AF518F">
        <w:rPr>
          <w:i w:val="0"/>
        </w:rPr>
        <w:t xml:space="preserve"> </w:t>
      </w:r>
      <w:r>
        <w:rPr>
          <w:i w:val="0"/>
        </w:rPr>
        <w:t>In other words,</w:t>
      </w:r>
      <w:r w:rsidR="00AF518F">
        <w:rPr>
          <w:i w:val="0"/>
        </w:rPr>
        <w:t xml:space="preserve"> the publication of academic output is concentrated in a small minority of countries. </w:t>
      </w:r>
      <w:r w:rsidR="002C463E">
        <w:rPr>
          <w:i w:val="0"/>
        </w:rPr>
        <w:t xml:space="preserve">Moreover, </w:t>
      </w:r>
      <w:r w:rsidR="00AF518F">
        <w:rPr>
          <w:i w:val="0"/>
        </w:rPr>
        <w:t xml:space="preserve">and perhaps </w:t>
      </w:r>
      <w:r w:rsidR="002C463E">
        <w:rPr>
          <w:i w:val="0"/>
        </w:rPr>
        <w:t xml:space="preserve">unsurprisingly, </w:t>
      </w:r>
      <w:r w:rsidR="00F67B95">
        <w:rPr>
          <w:i w:val="0"/>
        </w:rPr>
        <w:t>O’Nei</w:t>
      </w:r>
      <w:r w:rsidR="00AF518F">
        <w:rPr>
          <w:i w:val="0"/>
        </w:rPr>
        <w:t>l</w:t>
      </w:r>
      <w:r w:rsidR="002C463E">
        <w:rPr>
          <w:i w:val="0"/>
        </w:rPr>
        <w:t xml:space="preserve"> demonstrates </w:t>
      </w:r>
      <w:r w:rsidR="00A62F09">
        <w:rPr>
          <w:i w:val="0"/>
        </w:rPr>
        <w:t xml:space="preserve">a </w:t>
      </w:r>
      <w:r w:rsidR="002C463E">
        <w:rPr>
          <w:i w:val="0"/>
        </w:rPr>
        <w:t xml:space="preserve">statistically significant </w:t>
      </w:r>
      <w:r w:rsidR="00A62F09">
        <w:rPr>
          <w:i w:val="0"/>
        </w:rPr>
        <w:t xml:space="preserve">correlation between the GDP of a nation state and its share of scientific output. In other words, the richer a </w:t>
      </w:r>
      <w:r w:rsidR="002C463E">
        <w:rPr>
          <w:i w:val="0"/>
        </w:rPr>
        <w:t>nation</w:t>
      </w:r>
      <w:r w:rsidR="00A62F09">
        <w:rPr>
          <w:i w:val="0"/>
        </w:rPr>
        <w:t xml:space="preserve">, the more </w:t>
      </w:r>
      <w:r w:rsidR="002C463E">
        <w:rPr>
          <w:i w:val="0"/>
        </w:rPr>
        <w:t>scientific output</w:t>
      </w:r>
      <w:r w:rsidR="00A62F09">
        <w:rPr>
          <w:i w:val="0"/>
        </w:rPr>
        <w:t xml:space="preserve"> </w:t>
      </w:r>
      <w:r w:rsidR="00AF518F">
        <w:rPr>
          <w:i w:val="0"/>
        </w:rPr>
        <w:t>it</w:t>
      </w:r>
      <w:r w:rsidR="00A62F09">
        <w:rPr>
          <w:i w:val="0"/>
        </w:rPr>
        <w:t xml:space="preserve"> p</w:t>
      </w:r>
      <w:r w:rsidR="002C463E">
        <w:rPr>
          <w:i w:val="0"/>
        </w:rPr>
        <w:t>roduce</w:t>
      </w:r>
      <w:r w:rsidR="00AF518F">
        <w:rPr>
          <w:i w:val="0"/>
        </w:rPr>
        <w:t>s</w:t>
      </w:r>
      <w:r w:rsidR="00A62F09">
        <w:rPr>
          <w:i w:val="0"/>
        </w:rPr>
        <w:t>.</w:t>
      </w:r>
    </w:p>
    <w:p w:rsidR="008F0AB4" w:rsidRPr="008F0AB4" w:rsidRDefault="00B15043" w:rsidP="00CD2A4C">
      <w:pPr>
        <w:pStyle w:val="MDPI22heading2"/>
        <w:ind w:firstLine="420"/>
        <w:rPr>
          <w:i w:val="0"/>
        </w:rPr>
      </w:pPr>
      <w:r>
        <w:rPr>
          <w:i w:val="0"/>
        </w:rPr>
        <w:t>Unlike</w:t>
      </w:r>
      <w:r w:rsidR="00AF518F">
        <w:rPr>
          <w:i w:val="0"/>
        </w:rPr>
        <w:t xml:space="preserve"> Hyland’s</w:t>
      </w:r>
      <w:r>
        <w:rPr>
          <w:i w:val="0"/>
        </w:rPr>
        <w:t xml:space="preserve"> </w:t>
      </w:r>
      <w:r w:rsidR="00D96F67">
        <w:rPr>
          <w:i w:val="0"/>
        </w:rPr>
        <w:t xml:space="preserve">(2016a) </w:t>
      </w:r>
      <w:r>
        <w:rPr>
          <w:i w:val="0"/>
        </w:rPr>
        <w:t>study</w:t>
      </w:r>
      <w:r w:rsidR="00AF518F">
        <w:rPr>
          <w:i w:val="0"/>
        </w:rPr>
        <w:t>,</w:t>
      </w:r>
      <w:r>
        <w:rPr>
          <w:i w:val="0"/>
        </w:rPr>
        <w:t xml:space="preserve"> O’Neil does not</w:t>
      </w:r>
      <w:r w:rsidR="00AF518F">
        <w:rPr>
          <w:i w:val="0"/>
        </w:rPr>
        <w:t xml:space="preserve"> take into account</w:t>
      </w:r>
      <w:r w:rsidR="003E0DD5" w:rsidRPr="003E0DD5">
        <w:rPr>
          <w:i w:val="0"/>
        </w:rPr>
        <w:t xml:space="preserve"> author</w:t>
      </w:r>
      <w:r w:rsidR="00AF518F">
        <w:rPr>
          <w:i w:val="0"/>
        </w:rPr>
        <w:t>’s</w:t>
      </w:r>
      <w:r w:rsidR="003E0DD5" w:rsidRPr="003E0DD5">
        <w:rPr>
          <w:i w:val="0"/>
        </w:rPr>
        <w:t xml:space="preserve"> first language</w:t>
      </w:r>
      <w:r w:rsidR="00AF518F">
        <w:rPr>
          <w:i w:val="0"/>
        </w:rPr>
        <w:t xml:space="preserve">. As we know, global academia is </w:t>
      </w:r>
      <w:r w:rsidR="00CD2A4C">
        <w:rPr>
          <w:i w:val="0"/>
        </w:rPr>
        <w:t xml:space="preserve">a </w:t>
      </w:r>
      <w:r w:rsidR="00AF518F">
        <w:rPr>
          <w:i w:val="0"/>
        </w:rPr>
        <w:t>highly internationalized</w:t>
      </w:r>
      <w:r w:rsidR="00CD2A4C">
        <w:rPr>
          <w:i w:val="0"/>
        </w:rPr>
        <w:t xml:space="preserve"> domain</w:t>
      </w:r>
      <w:r>
        <w:rPr>
          <w:i w:val="0"/>
        </w:rPr>
        <w:t xml:space="preserve"> with many scholars working and living in countries where the dominant language is another than the</w:t>
      </w:r>
      <w:r w:rsidR="00D96F67">
        <w:rPr>
          <w:i w:val="0"/>
        </w:rPr>
        <w:t>ir</w:t>
      </w:r>
      <w:r>
        <w:rPr>
          <w:i w:val="0"/>
        </w:rPr>
        <w:t xml:space="preserve"> first language. Also, although O’Neil’s data does not explicitly show the language in which the output is published, it seems likely that it is predominantly if not exclusively written in English, given that indexed journals tend to be English-medium.</w:t>
      </w:r>
      <w:r w:rsidR="00CD2A4C">
        <w:rPr>
          <w:i w:val="0"/>
        </w:rPr>
        <w:t xml:space="preserve"> Despite such complexities, however, </w:t>
      </w:r>
      <w:r>
        <w:rPr>
          <w:i w:val="0"/>
        </w:rPr>
        <w:t xml:space="preserve">both </w:t>
      </w:r>
      <w:r w:rsidR="00612C2E">
        <w:rPr>
          <w:i w:val="0"/>
        </w:rPr>
        <w:t xml:space="preserve">O’Neil’s and Hyland’s macro-level </w:t>
      </w:r>
      <w:r w:rsidR="00CD2A4C">
        <w:rPr>
          <w:i w:val="0"/>
        </w:rPr>
        <w:t>data on</w:t>
      </w:r>
      <w:r w:rsidR="00612C2E">
        <w:rPr>
          <w:i w:val="0"/>
        </w:rPr>
        <w:t xml:space="preserve"> share of global </w:t>
      </w:r>
      <w:r w:rsidR="00CD2A4C">
        <w:rPr>
          <w:i w:val="0"/>
        </w:rPr>
        <w:t xml:space="preserve">publishing </w:t>
      </w:r>
      <w:r w:rsidR="003E0DD5" w:rsidRPr="003E0DD5">
        <w:rPr>
          <w:i w:val="0"/>
        </w:rPr>
        <w:t xml:space="preserve">do </w:t>
      </w:r>
      <w:r w:rsidR="00612C2E">
        <w:rPr>
          <w:i w:val="0"/>
        </w:rPr>
        <w:t>seem important to consider along</w:t>
      </w:r>
      <w:r w:rsidR="003E0DD5" w:rsidRPr="003E0DD5">
        <w:rPr>
          <w:i w:val="0"/>
        </w:rPr>
        <w:t xml:space="preserve">side </w:t>
      </w:r>
      <w:r w:rsidR="00612C2E">
        <w:rPr>
          <w:i w:val="0"/>
        </w:rPr>
        <w:lastRenderedPageBreak/>
        <w:t>more micro-level self-reports of publication</w:t>
      </w:r>
      <w:r w:rsidR="003E0DD5" w:rsidRPr="003E0DD5">
        <w:rPr>
          <w:i w:val="0"/>
        </w:rPr>
        <w:t xml:space="preserve"> </w:t>
      </w:r>
      <w:r w:rsidR="00612C2E">
        <w:rPr>
          <w:i w:val="0"/>
        </w:rPr>
        <w:t>a</w:t>
      </w:r>
      <w:r w:rsidR="00E57F5A">
        <w:rPr>
          <w:i w:val="0"/>
        </w:rPr>
        <w:t>n</w:t>
      </w:r>
      <w:r w:rsidR="00612C2E">
        <w:rPr>
          <w:i w:val="0"/>
        </w:rPr>
        <w:t xml:space="preserve">xieties and </w:t>
      </w:r>
      <w:r w:rsidR="003E0DD5" w:rsidRPr="003E0DD5">
        <w:rPr>
          <w:i w:val="0"/>
        </w:rPr>
        <w:t>frustration</w:t>
      </w:r>
      <w:r w:rsidR="00E83656">
        <w:rPr>
          <w:i w:val="0"/>
        </w:rPr>
        <w:t>s</w:t>
      </w:r>
      <w:r w:rsidR="003E0DD5" w:rsidRPr="003E0DD5">
        <w:rPr>
          <w:i w:val="0"/>
        </w:rPr>
        <w:t xml:space="preserve">. </w:t>
      </w:r>
      <w:r w:rsidR="002C463E">
        <w:rPr>
          <w:i w:val="0"/>
        </w:rPr>
        <w:t xml:space="preserve">Certainly, </w:t>
      </w:r>
      <w:r w:rsidR="00254EA0">
        <w:rPr>
          <w:i w:val="0"/>
        </w:rPr>
        <w:t xml:space="preserve">these findings </w:t>
      </w:r>
      <w:r w:rsidR="00D96F67">
        <w:rPr>
          <w:i w:val="0"/>
        </w:rPr>
        <w:t xml:space="preserve">appear </w:t>
      </w:r>
      <w:r w:rsidR="00612C2E">
        <w:rPr>
          <w:i w:val="0"/>
        </w:rPr>
        <w:t xml:space="preserve">to </w:t>
      </w:r>
      <w:r w:rsidR="003E0DD5">
        <w:rPr>
          <w:i w:val="0"/>
        </w:rPr>
        <w:t>cement the</w:t>
      </w:r>
      <w:r w:rsidR="00612C2E">
        <w:rPr>
          <w:i w:val="0"/>
        </w:rPr>
        <w:t xml:space="preserve"> view that</w:t>
      </w:r>
      <w:r w:rsidR="003E0DD5">
        <w:rPr>
          <w:i w:val="0"/>
        </w:rPr>
        <w:t xml:space="preserve"> </w:t>
      </w:r>
      <w:r w:rsidR="00E83656">
        <w:rPr>
          <w:i w:val="0"/>
        </w:rPr>
        <w:t>grotesque</w:t>
      </w:r>
      <w:r w:rsidR="003E0DD5">
        <w:rPr>
          <w:i w:val="0"/>
        </w:rPr>
        <w:t xml:space="preserve"> inequalities </w:t>
      </w:r>
      <w:r w:rsidR="00612C2E">
        <w:rPr>
          <w:i w:val="0"/>
        </w:rPr>
        <w:t xml:space="preserve">exist </w:t>
      </w:r>
      <w:r w:rsidR="00D96F67">
        <w:rPr>
          <w:i w:val="0"/>
        </w:rPr>
        <w:t>when it comes to</w:t>
      </w:r>
      <w:r w:rsidR="00612C2E">
        <w:rPr>
          <w:i w:val="0"/>
        </w:rPr>
        <w:t xml:space="preserve"> participation </w:t>
      </w:r>
      <w:r w:rsidR="00D96F67">
        <w:rPr>
          <w:i w:val="0"/>
        </w:rPr>
        <w:t>in</w:t>
      </w:r>
      <w:r w:rsidR="00612C2E">
        <w:rPr>
          <w:i w:val="0"/>
        </w:rPr>
        <w:t xml:space="preserve"> </w:t>
      </w:r>
      <w:r w:rsidR="00D96F67">
        <w:rPr>
          <w:i w:val="0"/>
        </w:rPr>
        <w:t xml:space="preserve">global </w:t>
      </w:r>
      <w:r w:rsidR="003E0DD5">
        <w:rPr>
          <w:i w:val="0"/>
        </w:rPr>
        <w:t>knowledge production and that wealth is a key</w:t>
      </w:r>
      <w:r w:rsidR="00612C2E">
        <w:rPr>
          <w:i w:val="0"/>
        </w:rPr>
        <w:t xml:space="preserve"> correlate for a nation’s likeli</w:t>
      </w:r>
      <w:r w:rsidR="003E0DD5">
        <w:rPr>
          <w:i w:val="0"/>
        </w:rPr>
        <w:t xml:space="preserve">hood </w:t>
      </w:r>
      <w:r w:rsidR="00E83656">
        <w:rPr>
          <w:i w:val="0"/>
        </w:rPr>
        <w:t>to</w:t>
      </w:r>
      <w:r w:rsidR="003E0DD5">
        <w:rPr>
          <w:i w:val="0"/>
        </w:rPr>
        <w:t xml:space="preserve"> participat</w:t>
      </w:r>
      <w:r w:rsidR="00E83656">
        <w:rPr>
          <w:i w:val="0"/>
        </w:rPr>
        <w:t>e</w:t>
      </w:r>
      <w:r w:rsidR="003E0DD5">
        <w:rPr>
          <w:i w:val="0"/>
        </w:rPr>
        <w:t xml:space="preserve">. </w:t>
      </w:r>
    </w:p>
    <w:p w:rsidR="008F0AB4" w:rsidRPr="00501982" w:rsidRDefault="00870030" w:rsidP="00AF518F">
      <w:pPr>
        <w:pStyle w:val="MDPI31text"/>
      </w:pPr>
      <w:r>
        <w:rPr>
          <w:lang w:val="en-GB"/>
        </w:rPr>
        <w:t xml:space="preserve"> </w:t>
      </w:r>
      <w:r w:rsidR="008F0AB4" w:rsidRPr="002E021E">
        <w:rPr>
          <w:b/>
        </w:rPr>
        <w:t>Table 2.</w:t>
      </w:r>
      <w:r w:rsidR="008F0AB4" w:rsidRPr="002E021E">
        <w:t xml:space="preserve"> </w:t>
      </w:r>
      <w:r w:rsidR="002E021E" w:rsidRPr="002E021E">
        <w:t>Comparison of scientific output and GDP</w:t>
      </w:r>
      <w:r w:rsidR="002E021E">
        <w:rPr>
          <w:szCs w:val="20"/>
          <w:vertAlign w:val="superscript"/>
        </w:rPr>
        <w:t>2</w:t>
      </w:r>
    </w:p>
    <w:tbl>
      <w:tblPr>
        <w:tblW w:w="0" w:type="auto"/>
        <w:jc w:val="center"/>
        <w:tblBorders>
          <w:top w:val="single" w:sz="8" w:space="0" w:color="auto"/>
          <w:bottom w:val="single" w:sz="8" w:space="0" w:color="auto"/>
        </w:tblBorders>
        <w:tblLook w:val="04A0" w:firstRow="1" w:lastRow="0" w:firstColumn="1" w:lastColumn="0" w:noHBand="0" w:noVBand="1"/>
      </w:tblPr>
      <w:tblGrid>
        <w:gridCol w:w="1985"/>
        <w:gridCol w:w="1417"/>
        <w:gridCol w:w="1395"/>
      </w:tblGrid>
      <w:tr w:rsidR="008F0AB4" w:rsidRPr="00CE2098" w:rsidTr="006C2710">
        <w:trPr>
          <w:jc w:val="center"/>
        </w:trPr>
        <w:tc>
          <w:tcPr>
            <w:tcW w:w="1985" w:type="dxa"/>
            <w:tcBorders>
              <w:bottom w:val="single" w:sz="4" w:space="0" w:color="auto"/>
            </w:tcBorders>
          </w:tcPr>
          <w:p w:rsidR="008F0AB4" w:rsidRPr="00CE2098" w:rsidRDefault="008F0AB4" w:rsidP="008F0AB4">
            <w:pPr>
              <w:pStyle w:val="MDPI42tablebody"/>
              <w:spacing w:line="240" w:lineRule="auto"/>
              <w:rPr>
                <w:b/>
              </w:rPr>
            </w:pPr>
            <w:r w:rsidRPr="00CE2098">
              <w:rPr>
                <w:b/>
              </w:rPr>
              <w:t>Countries</w:t>
            </w:r>
          </w:p>
        </w:tc>
        <w:tc>
          <w:tcPr>
            <w:tcW w:w="1417" w:type="dxa"/>
            <w:tcBorders>
              <w:bottom w:val="single" w:sz="4" w:space="0" w:color="auto"/>
            </w:tcBorders>
            <w:shd w:val="clear" w:color="auto" w:fill="auto"/>
            <w:vAlign w:val="bottom"/>
          </w:tcPr>
          <w:p w:rsidR="008F0AB4" w:rsidRPr="00CE2098" w:rsidRDefault="008F0AB4" w:rsidP="008F0AB4">
            <w:pPr>
              <w:pStyle w:val="MDPI42tablebody"/>
              <w:spacing w:line="240" w:lineRule="auto"/>
              <w:rPr>
                <w:b/>
              </w:rPr>
            </w:pPr>
            <w:r w:rsidRPr="00CE2098">
              <w:rPr>
                <w:b/>
              </w:rPr>
              <w:t>Documents</w:t>
            </w:r>
          </w:p>
        </w:tc>
        <w:tc>
          <w:tcPr>
            <w:tcW w:w="1395" w:type="dxa"/>
            <w:tcBorders>
              <w:bottom w:val="single" w:sz="4" w:space="0" w:color="auto"/>
            </w:tcBorders>
            <w:shd w:val="clear" w:color="auto" w:fill="auto"/>
            <w:vAlign w:val="bottom"/>
          </w:tcPr>
          <w:p w:rsidR="008F0AB4" w:rsidRPr="00CE2098" w:rsidRDefault="008F0AB4" w:rsidP="008F0AB4">
            <w:pPr>
              <w:pStyle w:val="MDPI42tablebody"/>
              <w:spacing w:line="240" w:lineRule="auto"/>
              <w:rPr>
                <w:b/>
              </w:rPr>
            </w:pPr>
            <w:r w:rsidRPr="00CE2098">
              <w:rPr>
                <w:b/>
              </w:rPr>
              <w:t>GDP</w:t>
            </w:r>
          </w:p>
        </w:tc>
      </w:tr>
      <w:tr w:rsidR="008F0AB4" w:rsidRPr="00CE2098" w:rsidTr="006C2710">
        <w:trPr>
          <w:jc w:val="center"/>
        </w:trPr>
        <w:tc>
          <w:tcPr>
            <w:tcW w:w="1985" w:type="dxa"/>
          </w:tcPr>
          <w:p w:rsidR="008F0AB4" w:rsidRPr="00CE2098" w:rsidRDefault="008F0AB4" w:rsidP="008F0AB4">
            <w:pPr>
              <w:rPr>
                <w:sz w:val="20"/>
              </w:rPr>
            </w:pPr>
            <w:r w:rsidRPr="00CE2098">
              <w:rPr>
                <w:sz w:val="20"/>
              </w:rPr>
              <w:t>1-10</w:t>
            </w:r>
          </w:p>
        </w:tc>
        <w:tc>
          <w:tcPr>
            <w:tcW w:w="1417" w:type="dxa"/>
            <w:shd w:val="clear" w:color="auto" w:fill="auto"/>
          </w:tcPr>
          <w:p w:rsidR="008F0AB4" w:rsidRPr="00CE2098" w:rsidRDefault="008F0AB4" w:rsidP="008F0AB4">
            <w:pPr>
              <w:rPr>
                <w:sz w:val="20"/>
              </w:rPr>
            </w:pPr>
            <w:r w:rsidRPr="00CE2098">
              <w:rPr>
                <w:sz w:val="20"/>
              </w:rPr>
              <w:t>63.3%</w:t>
            </w:r>
          </w:p>
        </w:tc>
        <w:tc>
          <w:tcPr>
            <w:tcW w:w="1395" w:type="dxa"/>
            <w:shd w:val="clear" w:color="auto" w:fill="auto"/>
          </w:tcPr>
          <w:p w:rsidR="008F0AB4" w:rsidRPr="00CE2098" w:rsidRDefault="008F0AB4" w:rsidP="008F0AB4">
            <w:pPr>
              <w:rPr>
                <w:sz w:val="20"/>
              </w:rPr>
            </w:pPr>
            <w:r w:rsidRPr="00CE2098">
              <w:rPr>
                <w:sz w:val="20"/>
              </w:rPr>
              <w:t>66.0%</w:t>
            </w:r>
          </w:p>
        </w:tc>
      </w:tr>
      <w:tr w:rsidR="008F0AB4" w:rsidRPr="00CE2098" w:rsidTr="006C2710">
        <w:trPr>
          <w:jc w:val="center"/>
        </w:trPr>
        <w:tc>
          <w:tcPr>
            <w:tcW w:w="1985" w:type="dxa"/>
          </w:tcPr>
          <w:p w:rsidR="008F0AB4" w:rsidRPr="00CE2098" w:rsidRDefault="008F0AB4" w:rsidP="008F0AB4">
            <w:pPr>
              <w:rPr>
                <w:sz w:val="20"/>
              </w:rPr>
            </w:pPr>
            <w:r w:rsidRPr="00CE2098">
              <w:rPr>
                <w:sz w:val="20"/>
              </w:rPr>
              <w:t>11-20</w:t>
            </w:r>
          </w:p>
        </w:tc>
        <w:tc>
          <w:tcPr>
            <w:tcW w:w="1417" w:type="dxa"/>
            <w:shd w:val="clear" w:color="auto" w:fill="auto"/>
          </w:tcPr>
          <w:p w:rsidR="008F0AB4" w:rsidRPr="00CE2098" w:rsidRDefault="008F0AB4" w:rsidP="008F0AB4">
            <w:pPr>
              <w:rPr>
                <w:sz w:val="20"/>
              </w:rPr>
            </w:pPr>
            <w:r w:rsidRPr="00CE2098">
              <w:rPr>
                <w:sz w:val="20"/>
              </w:rPr>
              <w:t>17.1%</w:t>
            </w:r>
          </w:p>
        </w:tc>
        <w:tc>
          <w:tcPr>
            <w:tcW w:w="1395" w:type="dxa"/>
            <w:shd w:val="clear" w:color="auto" w:fill="auto"/>
          </w:tcPr>
          <w:p w:rsidR="008F0AB4" w:rsidRPr="00CE2098" w:rsidRDefault="008F0AB4" w:rsidP="008F0AB4">
            <w:pPr>
              <w:rPr>
                <w:sz w:val="20"/>
              </w:rPr>
            </w:pPr>
            <w:r w:rsidRPr="00CE2098">
              <w:rPr>
                <w:sz w:val="20"/>
              </w:rPr>
              <w:t>12.4%</w:t>
            </w:r>
          </w:p>
        </w:tc>
      </w:tr>
      <w:tr w:rsidR="008F0AB4" w:rsidRPr="00CE2098" w:rsidTr="006C2710">
        <w:trPr>
          <w:jc w:val="center"/>
        </w:trPr>
        <w:tc>
          <w:tcPr>
            <w:tcW w:w="1985" w:type="dxa"/>
          </w:tcPr>
          <w:p w:rsidR="008F0AB4" w:rsidRPr="00CE2098" w:rsidRDefault="008F0AB4" w:rsidP="008F0AB4">
            <w:pPr>
              <w:rPr>
                <w:sz w:val="20"/>
              </w:rPr>
            </w:pPr>
            <w:r w:rsidRPr="00CE2098">
              <w:rPr>
                <w:sz w:val="20"/>
              </w:rPr>
              <w:t>21-30</w:t>
            </w:r>
          </w:p>
        </w:tc>
        <w:tc>
          <w:tcPr>
            <w:tcW w:w="1417" w:type="dxa"/>
            <w:shd w:val="clear" w:color="auto" w:fill="auto"/>
          </w:tcPr>
          <w:p w:rsidR="008F0AB4" w:rsidRPr="00CE2098" w:rsidRDefault="008F0AB4" w:rsidP="008F0AB4">
            <w:pPr>
              <w:rPr>
                <w:sz w:val="20"/>
              </w:rPr>
            </w:pPr>
            <w:r w:rsidRPr="00CE2098">
              <w:rPr>
                <w:sz w:val="20"/>
              </w:rPr>
              <w:t>7.6%</w:t>
            </w:r>
          </w:p>
        </w:tc>
        <w:tc>
          <w:tcPr>
            <w:tcW w:w="1395" w:type="dxa"/>
            <w:shd w:val="clear" w:color="auto" w:fill="auto"/>
          </w:tcPr>
          <w:p w:rsidR="008F0AB4" w:rsidRPr="00CE2098" w:rsidRDefault="008F0AB4" w:rsidP="008F0AB4">
            <w:pPr>
              <w:rPr>
                <w:sz w:val="20"/>
              </w:rPr>
            </w:pPr>
            <w:r w:rsidRPr="00CE2098">
              <w:rPr>
                <w:sz w:val="20"/>
              </w:rPr>
              <w:t>5.6%</w:t>
            </w:r>
          </w:p>
        </w:tc>
      </w:tr>
      <w:tr w:rsidR="008F0AB4" w:rsidRPr="00CE2098" w:rsidTr="006C2710">
        <w:trPr>
          <w:jc w:val="center"/>
        </w:trPr>
        <w:tc>
          <w:tcPr>
            <w:tcW w:w="1985" w:type="dxa"/>
          </w:tcPr>
          <w:p w:rsidR="008F0AB4" w:rsidRPr="00CE2098" w:rsidRDefault="008F0AB4" w:rsidP="008F0AB4">
            <w:pPr>
              <w:rPr>
                <w:sz w:val="20"/>
              </w:rPr>
            </w:pPr>
            <w:r w:rsidRPr="00CE2098">
              <w:rPr>
                <w:sz w:val="20"/>
              </w:rPr>
              <w:t>31-40</w:t>
            </w:r>
          </w:p>
        </w:tc>
        <w:tc>
          <w:tcPr>
            <w:tcW w:w="1417" w:type="dxa"/>
            <w:shd w:val="clear" w:color="auto" w:fill="auto"/>
          </w:tcPr>
          <w:p w:rsidR="008F0AB4" w:rsidRPr="00CE2098" w:rsidRDefault="008F0AB4" w:rsidP="008F0AB4">
            <w:pPr>
              <w:rPr>
                <w:sz w:val="20"/>
              </w:rPr>
            </w:pPr>
            <w:r w:rsidRPr="00CE2098">
              <w:rPr>
                <w:sz w:val="20"/>
              </w:rPr>
              <w:t>5.1%</w:t>
            </w:r>
          </w:p>
        </w:tc>
        <w:tc>
          <w:tcPr>
            <w:tcW w:w="1395" w:type="dxa"/>
            <w:shd w:val="clear" w:color="auto" w:fill="auto"/>
          </w:tcPr>
          <w:p w:rsidR="008F0AB4" w:rsidRPr="00CE2098" w:rsidRDefault="008F0AB4" w:rsidP="008F0AB4">
            <w:pPr>
              <w:rPr>
                <w:sz w:val="20"/>
              </w:rPr>
            </w:pPr>
            <w:r w:rsidRPr="00CE2098">
              <w:rPr>
                <w:sz w:val="20"/>
              </w:rPr>
              <w:t>4.4%</w:t>
            </w:r>
          </w:p>
        </w:tc>
      </w:tr>
      <w:tr w:rsidR="008F0AB4" w:rsidRPr="00CE2098" w:rsidTr="006C2710">
        <w:trPr>
          <w:jc w:val="center"/>
        </w:trPr>
        <w:tc>
          <w:tcPr>
            <w:tcW w:w="1985" w:type="dxa"/>
          </w:tcPr>
          <w:p w:rsidR="008F0AB4" w:rsidRPr="00CE2098" w:rsidRDefault="008F0AB4" w:rsidP="008F0AB4">
            <w:pPr>
              <w:rPr>
                <w:sz w:val="20"/>
              </w:rPr>
            </w:pPr>
            <w:r w:rsidRPr="00CE2098">
              <w:rPr>
                <w:sz w:val="20"/>
              </w:rPr>
              <w:t>41-50</w:t>
            </w:r>
          </w:p>
        </w:tc>
        <w:tc>
          <w:tcPr>
            <w:tcW w:w="1417" w:type="dxa"/>
            <w:shd w:val="clear" w:color="auto" w:fill="auto"/>
          </w:tcPr>
          <w:p w:rsidR="008F0AB4" w:rsidRPr="00CE2098" w:rsidRDefault="008F0AB4" w:rsidP="008F0AB4">
            <w:pPr>
              <w:rPr>
                <w:sz w:val="20"/>
              </w:rPr>
            </w:pPr>
            <w:r w:rsidRPr="00CE2098">
              <w:rPr>
                <w:sz w:val="20"/>
              </w:rPr>
              <w:t>3.0%</w:t>
            </w:r>
          </w:p>
        </w:tc>
        <w:tc>
          <w:tcPr>
            <w:tcW w:w="1395" w:type="dxa"/>
            <w:shd w:val="clear" w:color="auto" w:fill="auto"/>
          </w:tcPr>
          <w:p w:rsidR="008F0AB4" w:rsidRPr="00CE2098" w:rsidRDefault="008F0AB4" w:rsidP="008F0AB4">
            <w:pPr>
              <w:rPr>
                <w:sz w:val="20"/>
              </w:rPr>
            </w:pPr>
            <w:r w:rsidRPr="00CE2098">
              <w:rPr>
                <w:sz w:val="20"/>
              </w:rPr>
              <w:t>3.6%</w:t>
            </w:r>
          </w:p>
        </w:tc>
      </w:tr>
      <w:tr w:rsidR="008F0AB4" w:rsidRPr="00CE2098" w:rsidTr="006C2710">
        <w:trPr>
          <w:jc w:val="center"/>
        </w:trPr>
        <w:tc>
          <w:tcPr>
            <w:tcW w:w="1985" w:type="dxa"/>
          </w:tcPr>
          <w:p w:rsidR="008F0AB4" w:rsidRPr="00CE2098" w:rsidRDefault="008F0AB4" w:rsidP="008F0AB4">
            <w:pPr>
              <w:rPr>
                <w:sz w:val="20"/>
              </w:rPr>
            </w:pPr>
            <w:r w:rsidRPr="00CE2098">
              <w:rPr>
                <w:sz w:val="20"/>
              </w:rPr>
              <w:t>51-60</w:t>
            </w:r>
          </w:p>
        </w:tc>
        <w:tc>
          <w:tcPr>
            <w:tcW w:w="1417" w:type="dxa"/>
            <w:shd w:val="clear" w:color="auto" w:fill="auto"/>
          </w:tcPr>
          <w:p w:rsidR="008F0AB4" w:rsidRPr="00CE2098" w:rsidRDefault="008F0AB4" w:rsidP="008F0AB4">
            <w:pPr>
              <w:rPr>
                <w:sz w:val="20"/>
              </w:rPr>
            </w:pPr>
            <w:r w:rsidRPr="00CE2098">
              <w:rPr>
                <w:sz w:val="20"/>
              </w:rPr>
              <w:t>1.5%</w:t>
            </w:r>
          </w:p>
        </w:tc>
        <w:tc>
          <w:tcPr>
            <w:tcW w:w="1395" w:type="dxa"/>
            <w:shd w:val="clear" w:color="auto" w:fill="auto"/>
          </w:tcPr>
          <w:p w:rsidR="008F0AB4" w:rsidRPr="00CE2098" w:rsidRDefault="008F0AB4" w:rsidP="008F0AB4">
            <w:pPr>
              <w:rPr>
                <w:sz w:val="20"/>
              </w:rPr>
            </w:pPr>
            <w:r w:rsidRPr="00CE2098">
              <w:rPr>
                <w:sz w:val="20"/>
              </w:rPr>
              <w:t>2.3%</w:t>
            </w:r>
          </w:p>
        </w:tc>
      </w:tr>
      <w:tr w:rsidR="008F0AB4" w:rsidRPr="00CE2098" w:rsidTr="006C2710">
        <w:trPr>
          <w:jc w:val="center"/>
        </w:trPr>
        <w:tc>
          <w:tcPr>
            <w:tcW w:w="1985" w:type="dxa"/>
          </w:tcPr>
          <w:p w:rsidR="008F0AB4" w:rsidRPr="00CE2098" w:rsidRDefault="008F0AB4" w:rsidP="008F0AB4">
            <w:pPr>
              <w:rPr>
                <w:sz w:val="20"/>
              </w:rPr>
            </w:pPr>
            <w:r w:rsidRPr="00CE2098">
              <w:rPr>
                <w:sz w:val="20"/>
              </w:rPr>
              <w:t>61-70</w:t>
            </w:r>
          </w:p>
        </w:tc>
        <w:tc>
          <w:tcPr>
            <w:tcW w:w="1417" w:type="dxa"/>
            <w:shd w:val="clear" w:color="auto" w:fill="auto"/>
          </w:tcPr>
          <w:p w:rsidR="008F0AB4" w:rsidRPr="00CE2098" w:rsidRDefault="008F0AB4" w:rsidP="008F0AB4">
            <w:pPr>
              <w:rPr>
                <w:sz w:val="20"/>
              </w:rPr>
            </w:pPr>
            <w:r w:rsidRPr="00CE2098">
              <w:rPr>
                <w:sz w:val="20"/>
              </w:rPr>
              <w:t>0.8%</w:t>
            </w:r>
          </w:p>
        </w:tc>
        <w:tc>
          <w:tcPr>
            <w:tcW w:w="1395" w:type="dxa"/>
            <w:shd w:val="clear" w:color="auto" w:fill="auto"/>
          </w:tcPr>
          <w:p w:rsidR="008F0AB4" w:rsidRPr="00CE2098" w:rsidRDefault="008F0AB4" w:rsidP="008F0AB4">
            <w:pPr>
              <w:rPr>
                <w:sz w:val="20"/>
              </w:rPr>
            </w:pPr>
            <w:r w:rsidRPr="00CE2098">
              <w:rPr>
                <w:sz w:val="20"/>
              </w:rPr>
              <w:t>1.6%</w:t>
            </w:r>
          </w:p>
        </w:tc>
      </w:tr>
      <w:tr w:rsidR="00305B24" w:rsidRPr="00CE2098" w:rsidTr="006C2710">
        <w:trPr>
          <w:jc w:val="center"/>
        </w:trPr>
        <w:tc>
          <w:tcPr>
            <w:tcW w:w="1985" w:type="dxa"/>
          </w:tcPr>
          <w:p w:rsidR="00305B24" w:rsidRPr="00CE2098" w:rsidRDefault="00305B24" w:rsidP="008F0AB4">
            <w:pPr>
              <w:rPr>
                <w:sz w:val="20"/>
              </w:rPr>
            </w:pPr>
            <w:r w:rsidRPr="00CE2098">
              <w:rPr>
                <w:sz w:val="20"/>
              </w:rPr>
              <w:t>71-80</w:t>
            </w:r>
          </w:p>
        </w:tc>
        <w:tc>
          <w:tcPr>
            <w:tcW w:w="1417" w:type="dxa"/>
            <w:shd w:val="clear" w:color="auto" w:fill="auto"/>
          </w:tcPr>
          <w:p w:rsidR="00305B24" w:rsidRPr="00CE2098" w:rsidRDefault="00305B24" w:rsidP="008F0AB4">
            <w:pPr>
              <w:rPr>
                <w:sz w:val="20"/>
              </w:rPr>
            </w:pPr>
            <w:r w:rsidRPr="00CE2098">
              <w:rPr>
                <w:sz w:val="20"/>
              </w:rPr>
              <w:t>0.5%</w:t>
            </w:r>
          </w:p>
        </w:tc>
        <w:tc>
          <w:tcPr>
            <w:tcW w:w="1395" w:type="dxa"/>
            <w:shd w:val="clear" w:color="auto" w:fill="auto"/>
          </w:tcPr>
          <w:p w:rsidR="00305B24" w:rsidRPr="00CE2098" w:rsidRDefault="00305B24" w:rsidP="008F0AB4">
            <w:pPr>
              <w:rPr>
                <w:sz w:val="20"/>
              </w:rPr>
            </w:pPr>
            <w:r w:rsidRPr="00CE2098">
              <w:rPr>
                <w:sz w:val="20"/>
              </w:rPr>
              <w:t>1.1%</w:t>
            </w:r>
          </w:p>
        </w:tc>
      </w:tr>
      <w:tr w:rsidR="00305B24" w:rsidRPr="00CE2098" w:rsidTr="006C2710">
        <w:trPr>
          <w:jc w:val="center"/>
        </w:trPr>
        <w:tc>
          <w:tcPr>
            <w:tcW w:w="1985" w:type="dxa"/>
          </w:tcPr>
          <w:p w:rsidR="00305B24" w:rsidRPr="00CE2098" w:rsidRDefault="00305B24" w:rsidP="008F0AB4">
            <w:pPr>
              <w:rPr>
                <w:sz w:val="20"/>
              </w:rPr>
            </w:pPr>
            <w:r w:rsidRPr="00CE2098">
              <w:rPr>
                <w:sz w:val="20"/>
              </w:rPr>
              <w:t>81-90</w:t>
            </w:r>
          </w:p>
        </w:tc>
        <w:tc>
          <w:tcPr>
            <w:tcW w:w="1417" w:type="dxa"/>
            <w:shd w:val="clear" w:color="auto" w:fill="auto"/>
          </w:tcPr>
          <w:p w:rsidR="00305B24" w:rsidRPr="00CE2098" w:rsidRDefault="00305B24" w:rsidP="008F0AB4">
            <w:pPr>
              <w:rPr>
                <w:sz w:val="20"/>
              </w:rPr>
            </w:pPr>
            <w:r w:rsidRPr="00CE2098">
              <w:rPr>
                <w:sz w:val="20"/>
              </w:rPr>
              <w:t>0.4%</w:t>
            </w:r>
          </w:p>
        </w:tc>
        <w:tc>
          <w:tcPr>
            <w:tcW w:w="1395" w:type="dxa"/>
            <w:shd w:val="clear" w:color="auto" w:fill="auto"/>
          </w:tcPr>
          <w:p w:rsidR="00305B24" w:rsidRPr="00CE2098" w:rsidRDefault="00305B24" w:rsidP="008F0AB4">
            <w:pPr>
              <w:rPr>
                <w:sz w:val="20"/>
              </w:rPr>
            </w:pPr>
            <w:r w:rsidRPr="00CE2098">
              <w:rPr>
                <w:sz w:val="20"/>
              </w:rPr>
              <w:t>0.6%</w:t>
            </w:r>
          </w:p>
        </w:tc>
      </w:tr>
      <w:tr w:rsidR="00305B24" w:rsidRPr="00CE2098" w:rsidTr="006C2710">
        <w:trPr>
          <w:jc w:val="center"/>
        </w:trPr>
        <w:tc>
          <w:tcPr>
            <w:tcW w:w="1985" w:type="dxa"/>
          </w:tcPr>
          <w:p w:rsidR="00305B24" w:rsidRPr="00CE2098" w:rsidRDefault="00305B24" w:rsidP="008F0AB4">
            <w:pPr>
              <w:rPr>
                <w:sz w:val="20"/>
              </w:rPr>
            </w:pPr>
            <w:r w:rsidRPr="00CE2098">
              <w:rPr>
                <w:sz w:val="20"/>
              </w:rPr>
              <w:t>91-100</w:t>
            </w:r>
          </w:p>
        </w:tc>
        <w:tc>
          <w:tcPr>
            <w:tcW w:w="1417" w:type="dxa"/>
            <w:shd w:val="clear" w:color="auto" w:fill="auto"/>
          </w:tcPr>
          <w:p w:rsidR="00305B24" w:rsidRPr="00CE2098" w:rsidRDefault="00305B24" w:rsidP="008F0AB4">
            <w:pPr>
              <w:rPr>
                <w:sz w:val="20"/>
              </w:rPr>
            </w:pPr>
            <w:r w:rsidRPr="00CE2098">
              <w:rPr>
                <w:sz w:val="20"/>
              </w:rPr>
              <w:t>0.2%</w:t>
            </w:r>
          </w:p>
        </w:tc>
        <w:tc>
          <w:tcPr>
            <w:tcW w:w="1395" w:type="dxa"/>
            <w:shd w:val="clear" w:color="auto" w:fill="auto"/>
          </w:tcPr>
          <w:p w:rsidR="00305B24" w:rsidRPr="00CE2098" w:rsidRDefault="00305B24" w:rsidP="008F0AB4">
            <w:pPr>
              <w:rPr>
                <w:sz w:val="20"/>
              </w:rPr>
            </w:pPr>
            <w:r w:rsidRPr="00CE2098">
              <w:rPr>
                <w:sz w:val="20"/>
              </w:rPr>
              <w:t>0.6%</w:t>
            </w:r>
          </w:p>
        </w:tc>
      </w:tr>
      <w:tr w:rsidR="00305B24" w:rsidRPr="00CE2098" w:rsidTr="006C2710">
        <w:trPr>
          <w:jc w:val="center"/>
        </w:trPr>
        <w:tc>
          <w:tcPr>
            <w:tcW w:w="1985" w:type="dxa"/>
          </w:tcPr>
          <w:p w:rsidR="00305B24" w:rsidRPr="00CE2098" w:rsidRDefault="00305B24" w:rsidP="008F0AB4">
            <w:pPr>
              <w:rPr>
                <w:sz w:val="20"/>
              </w:rPr>
            </w:pPr>
            <w:r w:rsidRPr="00CE2098">
              <w:rPr>
                <w:sz w:val="20"/>
              </w:rPr>
              <w:t>101-231</w:t>
            </w:r>
          </w:p>
        </w:tc>
        <w:tc>
          <w:tcPr>
            <w:tcW w:w="1417" w:type="dxa"/>
            <w:shd w:val="clear" w:color="auto" w:fill="auto"/>
          </w:tcPr>
          <w:p w:rsidR="00305B24" w:rsidRPr="00CE2098" w:rsidRDefault="00305B24" w:rsidP="008F0AB4">
            <w:pPr>
              <w:rPr>
                <w:sz w:val="20"/>
              </w:rPr>
            </w:pPr>
            <w:r w:rsidRPr="00CE2098">
              <w:rPr>
                <w:sz w:val="20"/>
              </w:rPr>
              <w:t>0.5%</w:t>
            </w:r>
          </w:p>
        </w:tc>
        <w:tc>
          <w:tcPr>
            <w:tcW w:w="1395" w:type="dxa"/>
            <w:shd w:val="clear" w:color="auto" w:fill="auto"/>
          </w:tcPr>
          <w:p w:rsidR="00305B24" w:rsidRPr="00CE2098" w:rsidRDefault="00305B24" w:rsidP="008F0AB4">
            <w:pPr>
              <w:rPr>
                <w:sz w:val="20"/>
              </w:rPr>
            </w:pPr>
            <w:r w:rsidRPr="00CE2098">
              <w:rPr>
                <w:sz w:val="20"/>
              </w:rPr>
              <w:t>21.6%</w:t>
            </w:r>
          </w:p>
        </w:tc>
      </w:tr>
    </w:tbl>
    <w:p w:rsidR="008F0AB4" w:rsidRDefault="002E021E" w:rsidP="008F0AB4">
      <w:pPr>
        <w:pStyle w:val="MDPI43tablefooter"/>
        <w:spacing w:after="240"/>
        <w:jc w:val="center"/>
      </w:pPr>
      <w:r>
        <w:rPr>
          <w:vertAlign w:val="superscript"/>
        </w:rPr>
        <w:t>2</w:t>
      </w:r>
      <w:r>
        <w:t>Adapted from</w:t>
      </w:r>
      <w:r w:rsidR="008F0AB4">
        <w:t xml:space="preserve"> </w:t>
      </w:r>
      <w:r w:rsidR="00F67B95">
        <w:t>O’Neil</w:t>
      </w:r>
      <w:r w:rsidR="00305B24">
        <w:t xml:space="preserve"> 2018</w:t>
      </w:r>
    </w:p>
    <w:p w:rsidR="008F0AB4" w:rsidRPr="006C0CE6" w:rsidRDefault="008F0AB4" w:rsidP="006C0CE6">
      <w:pPr>
        <w:pStyle w:val="MDPI42tablebody"/>
        <w:spacing w:line="240" w:lineRule="auto"/>
        <w:rPr>
          <w:b/>
        </w:rPr>
      </w:pPr>
    </w:p>
    <w:p w:rsidR="00DB60D1" w:rsidRDefault="003E0DD5" w:rsidP="00177700">
      <w:pPr>
        <w:pStyle w:val="MDPI31text"/>
        <w:ind w:firstLine="360"/>
        <w:rPr>
          <w:lang w:val="en-GB"/>
        </w:rPr>
      </w:pPr>
      <w:r>
        <w:rPr>
          <w:lang w:val="en-GB"/>
        </w:rPr>
        <w:t xml:space="preserve">If we look more closely at the nations that are in the top </w:t>
      </w:r>
      <w:r w:rsidR="007F3EC7">
        <w:rPr>
          <w:lang w:val="en-GB"/>
        </w:rPr>
        <w:t>tier</w:t>
      </w:r>
      <w:r>
        <w:rPr>
          <w:lang w:val="en-GB"/>
        </w:rPr>
        <w:t xml:space="preserve"> of global academic knowledge production</w:t>
      </w:r>
      <w:r w:rsidR="00E83656">
        <w:rPr>
          <w:lang w:val="en-GB"/>
        </w:rPr>
        <w:t>,</w:t>
      </w:r>
      <w:r>
        <w:rPr>
          <w:lang w:val="en-GB"/>
        </w:rPr>
        <w:t xml:space="preserve"> it becomes clear that the idea of EAL disadvantage is only partially supported. </w:t>
      </w:r>
      <w:r w:rsidR="006E2655">
        <w:rPr>
          <w:lang w:val="en-GB"/>
        </w:rPr>
        <w:t xml:space="preserve">Certainly, the English-dominant countries Australia, United Kingdom, Canada and the United States </w:t>
      </w:r>
      <w:r>
        <w:rPr>
          <w:lang w:val="en-GB"/>
        </w:rPr>
        <w:t>feature in the top ten;</w:t>
      </w:r>
      <w:r w:rsidR="006E2655">
        <w:rPr>
          <w:lang w:val="en-GB"/>
        </w:rPr>
        <w:t xml:space="preserve"> but so </w:t>
      </w:r>
      <w:r>
        <w:rPr>
          <w:lang w:val="en-GB"/>
        </w:rPr>
        <w:t>too do</w:t>
      </w:r>
      <w:r w:rsidR="006E2655">
        <w:rPr>
          <w:lang w:val="en-GB"/>
        </w:rPr>
        <w:t xml:space="preserve"> the non-English-dominant countries Switzerland, Sweden, Netherlands, Germany, Spain and France. This suggests that the language of the author is not the only and may not even be the most important factor determining publishing success</w:t>
      </w:r>
      <w:r w:rsidR="007F3EC7">
        <w:rPr>
          <w:lang w:val="en-GB"/>
        </w:rPr>
        <w:t>, bearing in mind the aforementioned caveats that the data does not reveal authors’ first language nor the language of publication</w:t>
      </w:r>
      <w:r w:rsidR="006E2655">
        <w:rPr>
          <w:lang w:val="en-GB"/>
        </w:rPr>
        <w:t xml:space="preserve">. </w:t>
      </w:r>
      <w:r w:rsidR="00612C2E">
        <w:rPr>
          <w:lang w:val="en-GB"/>
        </w:rPr>
        <w:t xml:space="preserve">In other words, there </w:t>
      </w:r>
      <w:r w:rsidR="00BB7AE0">
        <w:rPr>
          <w:lang w:val="en-GB"/>
        </w:rPr>
        <w:t>are</w:t>
      </w:r>
      <w:r w:rsidR="00612C2E">
        <w:rPr>
          <w:lang w:val="en-GB"/>
        </w:rPr>
        <w:t xml:space="preserve"> certainly </w:t>
      </w:r>
      <w:r w:rsidR="00BB7AE0">
        <w:rPr>
          <w:lang w:val="en-GB"/>
        </w:rPr>
        <w:t>inequities in global academic publishing</w:t>
      </w:r>
      <w:r w:rsidR="00612C2E">
        <w:rPr>
          <w:lang w:val="en-GB"/>
        </w:rPr>
        <w:t xml:space="preserve">, but </w:t>
      </w:r>
      <w:r w:rsidR="00BB7AE0">
        <w:rPr>
          <w:lang w:val="en-GB"/>
        </w:rPr>
        <w:t>they</w:t>
      </w:r>
      <w:r w:rsidR="00612C2E">
        <w:rPr>
          <w:lang w:val="en-GB"/>
        </w:rPr>
        <w:t xml:space="preserve"> may be more economically than linguistically founded.</w:t>
      </w:r>
      <w:r w:rsidR="00BB7AE0">
        <w:rPr>
          <w:lang w:val="en-GB"/>
        </w:rPr>
        <w:t xml:space="preserve"> </w:t>
      </w:r>
      <w:r w:rsidR="00CC1E43">
        <w:rPr>
          <w:lang w:val="en-GB"/>
        </w:rPr>
        <w:t xml:space="preserve">To get your work published, it </w:t>
      </w:r>
      <w:r w:rsidR="007F3EC7">
        <w:rPr>
          <w:lang w:val="en-GB"/>
        </w:rPr>
        <w:t>may be</w:t>
      </w:r>
      <w:r w:rsidR="00CC1E43">
        <w:rPr>
          <w:lang w:val="en-GB"/>
        </w:rPr>
        <w:t xml:space="preserve"> more important that you find yourself in the right environment </w:t>
      </w:r>
      <w:r w:rsidR="00DB60D1">
        <w:rPr>
          <w:lang w:val="en-GB"/>
        </w:rPr>
        <w:t>and that</w:t>
      </w:r>
      <w:r w:rsidR="00CC1E43">
        <w:rPr>
          <w:lang w:val="en-GB"/>
        </w:rPr>
        <w:t xml:space="preserve"> you </w:t>
      </w:r>
      <w:r w:rsidR="00DB60D1">
        <w:rPr>
          <w:lang w:val="en-GB"/>
        </w:rPr>
        <w:t xml:space="preserve">have </w:t>
      </w:r>
      <w:r w:rsidR="00CC1E43">
        <w:rPr>
          <w:lang w:val="en-GB"/>
        </w:rPr>
        <w:t>access to the resources and networks you need, than whether or not you a</w:t>
      </w:r>
      <w:r w:rsidR="00DB60D1">
        <w:rPr>
          <w:lang w:val="en-GB"/>
        </w:rPr>
        <w:t>re a native speaker of English.</w:t>
      </w:r>
    </w:p>
    <w:p w:rsidR="00643C5A" w:rsidRDefault="00643C5A" w:rsidP="007B371E">
      <w:pPr>
        <w:pStyle w:val="MDPI31text"/>
        <w:ind w:firstLine="0"/>
        <w:rPr>
          <w:lang w:val="en-GB"/>
        </w:rPr>
      </w:pPr>
    </w:p>
    <w:p w:rsidR="00693502" w:rsidRPr="00501982" w:rsidRDefault="00693502" w:rsidP="00693502">
      <w:pPr>
        <w:pStyle w:val="MDPI31text"/>
      </w:pPr>
      <w:r w:rsidRPr="002E021E">
        <w:rPr>
          <w:b/>
        </w:rPr>
        <w:t xml:space="preserve">Table </w:t>
      </w:r>
      <w:r>
        <w:rPr>
          <w:b/>
        </w:rPr>
        <w:t>3</w:t>
      </w:r>
      <w:r w:rsidRPr="002E021E">
        <w:rPr>
          <w:b/>
        </w:rPr>
        <w:t>.</w:t>
      </w:r>
      <w:r w:rsidRPr="002E021E">
        <w:t xml:space="preserve"> Comparison of scientific output and GDP</w:t>
      </w:r>
      <w:r>
        <w:rPr>
          <w:szCs w:val="20"/>
          <w:vertAlign w:val="superscript"/>
        </w:rPr>
        <w:t>2</w:t>
      </w:r>
    </w:p>
    <w:tbl>
      <w:tblPr>
        <w:tblW w:w="0" w:type="auto"/>
        <w:jc w:val="center"/>
        <w:tblBorders>
          <w:top w:val="single" w:sz="8" w:space="0" w:color="auto"/>
          <w:bottom w:val="single" w:sz="8" w:space="0" w:color="auto"/>
        </w:tblBorders>
        <w:tblLayout w:type="fixed"/>
        <w:tblLook w:val="04A0" w:firstRow="1" w:lastRow="0" w:firstColumn="1" w:lastColumn="0" w:noHBand="0" w:noVBand="1"/>
      </w:tblPr>
      <w:tblGrid>
        <w:gridCol w:w="851"/>
        <w:gridCol w:w="2126"/>
        <w:gridCol w:w="2167"/>
      </w:tblGrid>
      <w:tr w:rsidR="00693502" w:rsidRPr="00CE2098" w:rsidTr="00693502">
        <w:trPr>
          <w:jc w:val="center"/>
        </w:trPr>
        <w:tc>
          <w:tcPr>
            <w:tcW w:w="851" w:type="dxa"/>
            <w:tcBorders>
              <w:bottom w:val="single" w:sz="4" w:space="0" w:color="auto"/>
            </w:tcBorders>
          </w:tcPr>
          <w:p w:rsidR="00693502" w:rsidRPr="00CE2098" w:rsidRDefault="00693502" w:rsidP="006C2710">
            <w:pPr>
              <w:pStyle w:val="MDPI42tablebody"/>
              <w:spacing w:line="240" w:lineRule="auto"/>
              <w:rPr>
                <w:b/>
              </w:rPr>
            </w:pPr>
            <w:r w:rsidRPr="00CE2098">
              <w:rPr>
                <w:b/>
              </w:rPr>
              <w:t>Rank</w:t>
            </w:r>
          </w:p>
        </w:tc>
        <w:tc>
          <w:tcPr>
            <w:tcW w:w="2126" w:type="dxa"/>
            <w:tcBorders>
              <w:bottom w:val="single" w:sz="4" w:space="0" w:color="auto"/>
            </w:tcBorders>
            <w:shd w:val="clear" w:color="auto" w:fill="auto"/>
            <w:vAlign w:val="bottom"/>
          </w:tcPr>
          <w:p w:rsidR="00693502" w:rsidRPr="00CE2098" w:rsidRDefault="00693502" w:rsidP="00693502">
            <w:pPr>
              <w:pStyle w:val="MDPI42tablebody"/>
              <w:spacing w:line="240" w:lineRule="auto"/>
              <w:jc w:val="left"/>
              <w:rPr>
                <w:b/>
              </w:rPr>
            </w:pPr>
            <w:r w:rsidRPr="00CE2098">
              <w:rPr>
                <w:b/>
              </w:rPr>
              <w:t>Country</w:t>
            </w:r>
          </w:p>
        </w:tc>
        <w:tc>
          <w:tcPr>
            <w:tcW w:w="2167" w:type="dxa"/>
            <w:tcBorders>
              <w:bottom w:val="single" w:sz="4" w:space="0" w:color="auto"/>
            </w:tcBorders>
            <w:shd w:val="clear" w:color="auto" w:fill="auto"/>
            <w:vAlign w:val="bottom"/>
          </w:tcPr>
          <w:p w:rsidR="00693502" w:rsidRPr="00CE2098" w:rsidRDefault="00693502" w:rsidP="00693502">
            <w:pPr>
              <w:pStyle w:val="MDPI42tablebody"/>
              <w:spacing w:line="240" w:lineRule="auto"/>
              <w:jc w:val="left"/>
              <w:rPr>
                <w:b/>
              </w:rPr>
            </w:pPr>
            <w:r w:rsidRPr="00CE2098">
              <w:rPr>
                <w:b/>
              </w:rPr>
              <w:t>Docs/population</w:t>
            </w:r>
          </w:p>
        </w:tc>
      </w:tr>
      <w:tr w:rsidR="00693502" w:rsidRPr="00CE2098" w:rsidTr="00693502">
        <w:trPr>
          <w:jc w:val="center"/>
        </w:trPr>
        <w:tc>
          <w:tcPr>
            <w:tcW w:w="851" w:type="dxa"/>
          </w:tcPr>
          <w:p w:rsidR="00693502" w:rsidRPr="00CE2098" w:rsidRDefault="00693502" w:rsidP="00693502">
            <w:pPr>
              <w:rPr>
                <w:sz w:val="20"/>
              </w:rPr>
            </w:pPr>
            <w:r w:rsidRPr="00CE2098">
              <w:rPr>
                <w:sz w:val="20"/>
              </w:rPr>
              <w:t>1</w:t>
            </w:r>
          </w:p>
        </w:tc>
        <w:tc>
          <w:tcPr>
            <w:tcW w:w="2126" w:type="dxa"/>
            <w:shd w:val="clear" w:color="auto" w:fill="auto"/>
          </w:tcPr>
          <w:p w:rsidR="00693502" w:rsidRPr="00CE2098" w:rsidRDefault="00693502" w:rsidP="00693502">
            <w:pPr>
              <w:rPr>
                <w:sz w:val="20"/>
              </w:rPr>
            </w:pPr>
            <w:r w:rsidRPr="00CE2098">
              <w:rPr>
                <w:sz w:val="20"/>
              </w:rPr>
              <w:t>Switzerland</w:t>
            </w:r>
          </w:p>
        </w:tc>
        <w:tc>
          <w:tcPr>
            <w:tcW w:w="2167" w:type="dxa"/>
            <w:shd w:val="clear" w:color="auto" w:fill="auto"/>
          </w:tcPr>
          <w:p w:rsidR="00693502" w:rsidRPr="00CE2098" w:rsidRDefault="00693502" w:rsidP="00693502">
            <w:pPr>
              <w:rPr>
                <w:sz w:val="20"/>
              </w:rPr>
            </w:pPr>
            <w:r w:rsidRPr="00CE2098">
              <w:rPr>
                <w:sz w:val="20"/>
              </w:rPr>
              <w:t>11.68</w:t>
            </w:r>
          </w:p>
        </w:tc>
      </w:tr>
      <w:tr w:rsidR="00693502" w:rsidRPr="00CE2098" w:rsidTr="00693502">
        <w:trPr>
          <w:jc w:val="center"/>
        </w:trPr>
        <w:tc>
          <w:tcPr>
            <w:tcW w:w="851" w:type="dxa"/>
          </w:tcPr>
          <w:p w:rsidR="00693502" w:rsidRPr="00CE2098" w:rsidRDefault="00693502" w:rsidP="00693502">
            <w:pPr>
              <w:rPr>
                <w:sz w:val="20"/>
              </w:rPr>
            </w:pPr>
            <w:r w:rsidRPr="00CE2098">
              <w:rPr>
                <w:sz w:val="20"/>
              </w:rPr>
              <w:t>2</w:t>
            </w:r>
          </w:p>
        </w:tc>
        <w:tc>
          <w:tcPr>
            <w:tcW w:w="2126" w:type="dxa"/>
            <w:shd w:val="clear" w:color="auto" w:fill="auto"/>
          </w:tcPr>
          <w:p w:rsidR="00693502" w:rsidRPr="00CE2098" w:rsidRDefault="00693502" w:rsidP="00693502">
            <w:pPr>
              <w:rPr>
                <w:sz w:val="20"/>
              </w:rPr>
            </w:pPr>
            <w:r w:rsidRPr="00CE2098">
              <w:rPr>
                <w:sz w:val="20"/>
              </w:rPr>
              <w:t>Australia</w:t>
            </w:r>
          </w:p>
        </w:tc>
        <w:tc>
          <w:tcPr>
            <w:tcW w:w="2167" w:type="dxa"/>
            <w:shd w:val="clear" w:color="auto" w:fill="auto"/>
          </w:tcPr>
          <w:p w:rsidR="00693502" w:rsidRPr="00CE2098" w:rsidRDefault="00693502" w:rsidP="00693502">
            <w:pPr>
              <w:rPr>
                <w:sz w:val="20"/>
              </w:rPr>
            </w:pPr>
            <w:r w:rsidRPr="00CE2098">
              <w:rPr>
                <w:sz w:val="20"/>
              </w:rPr>
              <w:t>8.72</w:t>
            </w:r>
          </w:p>
        </w:tc>
      </w:tr>
      <w:tr w:rsidR="00693502" w:rsidRPr="00CE2098" w:rsidTr="00693502">
        <w:trPr>
          <w:jc w:val="center"/>
        </w:trPr>
        <w:tc>
          <w:tcPr>
            <w:tcW w:w="851" w:type="dxa"/>
          </w:tcPr>
          <w:p w:rsidR="00693502" w:rsidRPr="00CE2098" w:rsidRDefault="00693502" w:rsidP="00693502">
            <w:pPr>
              <w:rPr>
                <w:sz w:val="20"/>
              </w:rPr>
            </w:pPr>
            <w:r w:rsidRPr="00CE2098">
              <w:rPr>
                <w:sz w:val="20"/>
              </w:rPr>
              <w:t>3</w:t>
            </w:r>
          </w:p>
        </w:tc>
        <w:tc>
          <w:tcPr>
            <w:tcW w:w="2126" w:type="dxa"/>
            <w:shd w:val="clear" w:color="auto" w:fill="auto"/>
          </w:tcPr>
          <w:p w:rsidR="00693502" w:rsidRPr="00CE2098" w:rsidRDefault="00693502" w:rsidP="00693502">
            <w:pPr>
              <w:rPr>
                <w:sz w:val="20"/>
              </w:rPr>
            </w:pPr>
            <w:r w:rsidRPr="00CE2098">
              <w:rPr>
                <w:sz w:val="20"/>
              </w:rPr>
              <w:t>Sweden</w:t>
            </w:r>
          </w:p>
        </w:tc>
        <w:tc>
          <w:tcPr>
            <w:tcW w:w="2167" w:type="dxa"/>
            <w:shd w:val="clear" w:color="auto" w:fill="auto"/>
          </w:tcPr>
          <w:p w:rsidR="00693502" w:rsidRPr="00CE2098" w:rsidRDefault="00693502" w:rsidP="00693502">
            <w:pPr>
              <w:rPr>
                <w:sz w:val="20"/>
              </w:rPr>
            </w:pPr>
            <w:r w:rsidRPr="00CE2098">
              <w:rPr>
                <w:sz w:val="20"/>
              </w:rPr>
              <w:t>8.61</w:t>
            </w:r>
          </w:p>
        </w:tc>
      </w:tr>
      <w:tr w:rsidR="00693502" w:rsidRPr="00CE2098" w:rsidTr="00693502">
        <w:trPr>
          <w:jc w:val="center"/>
        </w:trPr>
        <w:tc>
          <w:tcPr>
            <w:tcW w:w="851" w:type="dxa"/>
          </w:tcPr>
          <w:p w:rsidR="00693502" w:rsidRPr="00CE2098" w:rsidRDefault="00693502" w:rsidP="00693502">
            <w:pPr>
              <w:rPr>
                <w:sz w:val="20"/>
              </w:rPr>
            </w:pPr>
            <w:r w:rsidRPr="00CE2098">
              <w:rPr>
                <w:sz w:val="20"/>
              </w:rPr>
              <w:t>4</w:t>
            </w:r>
          </w:p>
        </w:tc>
        <w:tc>
          <w:tcPr>
            <w:tcW w:w="2126" w:type="dxa"/>
            <w:shd w:val="clear" w:color="auto" w:fill="auto"/>
          </w:tcPr>
          <w:p w:rsidR="00693502" w:rsidRPr="00CE2098" w:rsidRDefault="00693502" w:rsidP="00693502">
            <w:pPr>
              <w:rPr>
                <w:sz w:val="20"/>
              </w:rPr>
            </w:pPr>
            <w:r w:rsidRPr="00CE2098">
              <w:rPr>
                <w:sz w:val="20"/>
              </w:rPr>
              <w:t>Netherlands</w:t>
            </w:r>
          </w:p>
        </w:tc>
        <w:tc>
          <w:tcPr>
            <w:tcW w:w="2167" w:type="dxa"/>
            <w:shd w:val="clear" w:color="auto" w:fill="auto"/>
          </w:tcPr>
          <w:p w:rsidR="00693502" w:rsidRPr="00CE2098" w:rsidRDefault="00693502" w:rsidP="00693502">
            <w:pPr>
              <w:rPr>
                <w:sz w:val="20"/>
              </w:rPr>
            </w:pPr>
            <w:r w:rsidRPr="00CE2098">
              <w:rPr>
                <w:sz w:val="20"/>
              </w:rPr>
              <w:t>7.34</w:t>
            </w:r>
          </w:p>
        </w:tc>
      </w:tr>
      <w:tr w:rsidR="00693502" w:rsidRPr="00CE2098" w:rsidTr="00693502">
        <w:trPr>
          <w:jc w:val="center"/>
        </w:trPr>
        <w:tc>
          <w:tcPr>
            <w:tcW w:w="851" w:type="dxa"/>
          </w:tcPr>
          <w:p w:rsidR="00693502" w:rsidRPr="00CE2098" w:rsidRDefault="00693502" w:rsidP="00693502">
            <w:pPr>
              <w:rPr>
                <w:sz w:val="20"/>
              </w:rPr>
            </w:pPr>
            <w:r w:rsidRPr="00CE2098">
              <w:rPr>
                <w:sz w:val="20"/>
              </w:rPr>
              <w:t>5</w:t>
            </w:r>
          </w:p>
        </w:tc>
        <w:tc>
          <w:tcPr>
            <w:tcW w:w="2126" w:type="dxa"/>
            <w:shd w:val="clear" w:color="auto" w:fill="auto"/>
          </w:tcPr>
          <w:p w:rsidR="00693502" w:rsidRPr="00CE2098" w:rsidRDefault="00693502" w:rsidP="00693502">
            <w:pPr>
              <w:rPr>
                <w:sz w:val="20"/>
              </w:rPr>
            </w:pPr>
            <w:r w:rsidRPr="00CE2098">
              <w:rPr>
                <w:sz w:val="20"/>
              </w:rPr>
              <w:t>United Kingdom</w:t>
            </w:r>
          </w:p>
        </w:tc>
        <w:tc>
          <w:tcPr>
            <w:tcW w:w="2167" w:type="dxa"/>
            <w:shd w:val="clear" w:color="auto" w:fill="auto"/>
          </w:tcPr>
          <w:p w:rsidR="00693502" w:rsidRPr="00CE2098" w:rsidRDefault="00693502" w:rsidP="00693502">
            <w:pPr>
              <w:rPr>
                <w:sz w:val="20"/>
              </w:rPr>
            </w:pPr>
            <w:r w:rsidRPr="00CE2098">
              <w:rPr>
                <w:sz w:val="20"/>
              </w:rPr>
              <w:t>6.39</w:t>
            </w:r>
          </w:p>
        </w:tc>
      </w:tr>
      <w:tr w:rsidR="00693502" w:rsidRPr="00CE2098" w:rsidTr="00693502">
        <w:trPr>
          <w:jc w:val="center"/>
        </w:trPr>
        <w:tc>
          <w:tcPr>
            <w:tcW w:w="851" w:type="dxa"/>
          </w:tcPr>
          <w:p w:rsidR="00693502" w:rsidRPr="00CE2098" w:rsidRDefault="00693502" w:rsidP="00693502">
            <w:pPr>
              <w:rPr>
                <w:sz w:val="20"/>
              </w:rPr>
            </w:pPr>
            <w:r w:rsidRPr="00CE2098">
              <w:rPr>
                <w:sz w:val="20"/>
              </w:rPr>
              <w:t>6</w:t>
            </w:r>
          </w:p>
        </w:tc>
        <w:tc>
          <w:tcPr>
            <w:tcW w:w="2126" w:type="dxa"/>
            <w:shd w:val="clear" w:color="auto" w:fill="auto"/>
          </w:tcPr>
          <w:p w:rsidR="00693502" w:rsidRPr="00CE2098" w:rsidRDefault="00693502" w:rsidP="00693502">
            <w:pPr>
              <w:rPr>
                <w:sz w:val="20"/>
              </w:rPr>
            </w:pPr>
            <w:r w:rsidRPr="00CE2098">
              <w:rPr>
                <w:sz w:val="20"/>
              </w:rPr>
              <w:t>Canada</w:t>
            </w:r>
          </w:p>
        </w:tc>
        <w:tc>
          <w:tcPr>
            <w:tcW w:w="2167" w:type="dxa"/>
            <w:shd w:val="clear" w:color="auto" w:fill="auto"/>
          </w:tcPr>
          <w:p w:rsidR="00693502" w:rsidRPr="00CE2098" w:rsidRDefault="00693502" w:rsidP="00693502">
            <w:pPr>
              <w:rPr>
                <w:sz w:val="20"/>
              </w:rPr>
            </w:pPr>
            <w:r w:rsidRPr="00CE2098">
              <w:rPr>
                <w:sz w:val="20"/>
              </w:rPr>
              <w:t>6.13</w:t>
            </w:r>
          </w:p>
        </w:tc>
      </w:tr>
      <w:tr w:rsidR="00693502" w:rsidRPr="00CE2098" w:rsidTr="00693502">
        <w:trPr>
          <w:jc w:val="center"/>
        </w:trPr>
        <w:tc>
          <w:tcPr>
            <w:tcW w:w="851" w:type="dxa"/>
          </w:tcPr>
          <w:p w:rsidR="00693502" w:rsidRPr="00CE2098" w:rsidRDefault="00693502" w:rsidP="00693502">
            <w:pPr>
              <w:rPr>
                <w:sz w:val="20"/>
              </w:rPr>
            </w:pPr>
            <w:r w:rsidRPr="00CE2098">
              <w:rPr>
                <w:sz w:val="20"/>
              </w:rPr>
              <w:t>7</w:t>
            </w:r>
          </w:p>
        </w:tc>
        <w:tc>
          <w:tcPr>
            <w:tcW w:w="2126" w:type="dxa"/>
            <w:shd w:val="clear" w:color="auto" w:fill="auto"/>
            <w:vAlign w:val="bottom"/>
          </w:tcPr>
          <w:p w:rsidR="00693502" w:rsidRPr="00CE2098" w:rsidRDefault="00693502" w:rsidP="00693502">
            <w:pPr>
              <w:rPr>
                <w:sz w:val="20"/>
              </w:rPr>
            </w:pPr>
            <w:r w:rsidRPr="00CE2098">
              <w:rPr>
                <w:sz w:val="20"/>
              </w:rPr>
              <w:t>Germany</w:t>
            </w:r>
          </w:p>
        </w:tc>
        <w:tc>
          <w:tcPr>
            <w:tcW w:w="2167" w:type="dxa"/>
            <w:shd w:val="clear" w:color="auto" w:fill="auto"/>
            <w:vAlign w:val="bottom"/>
          </w:tcPr>
          <w:p w:rsidR="00693502" w:rsidRPr="00CE2098" w:rsidRDefault="00693502" w:rsidP="00693502">
            <w:pPr>
              <w:rPr>
                <w:sz w:val="20"/>
              </w:rPr>
            </w:pPr>
            <w:r w:rsidRPr="00CE2098">
              <w:rPr>
                <w:sz w:val="20"/>
              </w:rPr>
              <w:t>4.51</w:t>
            </w:r>
          </w:p>
        </w:tc>
      </w:tr>
      <w:tr w:rsidR="00693502" w:rsidRPr="00CE2098" w:rsidTr="00693502">
        <w:trPr>
          <w:jc w:val="center"/>
        </w:trPr>
        <w:tc>
          <w:tcPr>
            <w:tcW w:w="851" w:type="dxa"/>
          </w:tcPr>
          <w:p w:rsidR="00693502" w:rsidRPr="00CE2098" w:rsidRDefault="00693502" w:rsidP="00693502">
            <w:pPr>
              <w:rPr>
                <w:sz w:val="20"/>
              </w:rPr>
            </w:pPr>
            <w:r w:rsidRPr="00CE2098">
              <w:rPr>
                <w:sz w:val="20"/>
              </w:rPr>
              <w:t>8</w:t>
            </w:r>
          </w:p>
        </w:tc>
        <w:tc>
          <w:tcPr>
            <w:tcW w:w="2126" w:type="dxa"/>
            <w:shd w:val="clear" w:color="auto" w:fill="auto"/>
            <w:vAlign w:val="bottom"/>
          </w:tcPr>
          <w:p w:rsidR="00693502" w:rsidRPr="00CE2098" w:rsidRDefault="00693502" w:rsidP="00693502">
            <w:pPr>
              <w:rPr>
                <w:sz w:val="20"/>
              </w:rPr>
            </w:pPr>
            <w:r w:rsidRPr="00CE2098">
              <w:rPr>
                <w:sz w:val="20"/>
              </w:rPr>
              <w:t>United States</w:t>
            </w:r>
          </w:p>
        </w:tc>
        <w:tc>
          <w:tcPr>
            <w:tcW w:w="2167" w:type="dxa"/>
            <w:shd w:val="clear" w:color="auto" w:fill="auto"/>
            <w:vAlign w:val="bottom"/>
          </w:tcPr>
          <w:p w:rsidR="00693502" w:rsidRPr="00CE2098" w:rsidRDefault="00693502" w:rsidP="00693502">
            <w:pPr>
              <w:rPr>
                <w:sz w:val="20"/>
              </w:rPr>
            </w:pPr>
            <w:r w:rsidRPr="00CE2098">
              <w:rPr>
                <w:sz w:val="20"/>
              </w:rPr>
              <w:t>4.25</w:t>
            </w:r>
          </w:p>
        </w:tc>
      </w:tr>
      <w:tr w:rsidR="00693502" w:rsidRPr="00CE2098" w:rsidTr="00693502">
        <w:trPr>
          <w:jc w:val="center"/>
        </w:trPr>
        <w:tc>
          <w:tcPr>
            <w:tcW w:w="851" w:type="dxa"/>
          </w:tcPr>
          <w:p w:rsidR="00693502" w:rsidRPr="00CE2098" w:rsidRDefault="00693502" w:rsidP="00693502">
            <w:pPr>
              <w:rPr>
                <w:sz w:val="20"/>
              </w:rPr>
            </w:pPr>
            <w:r w:rsidRPr="00CE2098">
              <w:rPr>
                <w:sz w:val="20"/>
              </w:rPr>
              <w:t>9</w:t>
            </w:r>
          </w:p>
        </w:tc>
        <w:tc>
          <w:tcPr>
            <w:tcW w:w="2126" w:type="dxa"/>
            <w:shd w:val="clear" w:color="auto" w:fill="auto"/>
            <w:vAlign w:val="bottom"/>
          </w:tcPr>
          <w:p w:rsidR="00693502" w:rsidRPr="00CE2098" w:rsidRDefault="00693502" w:rsidP="00693502">
            <w:pPr>
              <w:rPr>
                <w:sz w:val="20"/>
              </w:rPr>
            </w:pPr>
            <w:r w:rsidRPr="00CE2098">
              <w:rPr>
                <w:sz w:val="20"/>
              </w:rPr>
              <w:t>Spain</w:t>
            </w:r>
          </w:p>
        </w:tc>
        <w:tc>
          <w:tcPr>
            <w:tcW w:w="2167" w:type="dxa"/>
            <w:shd w:val="clear" w:color="auto" w:fill="auto"/>
            <w:vAlign w:val="bottom"/>
          </w:tcPr>
          <w:p w:rsidR="00693502" w:rsidRPr="00CE2098" w:rsidRDefault="00693502" w:rsidP="00693502">
            <w:pPr>
              <w:rPr>
                <w:sz w:val="20"/>
              </w:rPr>
            </w:pPr>
            <w:r w:rsidRPr="00CE2098">
              <w:rPr>
                <w:sz w:val="20"/>
              </w:rPr>
              <w:t>3.96</w:t>
            </w:r>
          </w:p>
        </w:tc>
      </w:tr>
      <w:tr w:rsidR="00693502" w:rsidRPr="00CE2098" w:rsidTr="00693502">
        <w:trPr>
          <w:jc w:val="center"/>
        </w:trPr>
        <w:tc>
          <w:tcPr>
            <w:tcW w:w="851" w:type="dxa"/>
          </w:tcPr>
          <w:p w:rsidR="00693502" w:rsidRPr="00CE2098" w:rsidRDefault="00693502" w:rsidP="00693502">
            <w:pPr>
              <w:rPr>
                <w:sz w:val="20"/>
              </w:rPr>
            </w:pPr>
            <w:r w:rsidRPr="00CE2098">
              <w:rPr>
                <w:sz w:val="20"/>
              </w:rPr>
              <w:t>10</w:t>
            </w:r>
          </w:p>
        </w:tc>
        <w:tc>
          <w:tcPr>
            <w:tcW w:w="2126" w:type="dxa"/>
            <w:shd w:val="clear" w:color="auto" w:fill="auto"/>
            <w:vAlign w:val="bottom"/>
          </w:tcPr>
          <w:p w:rsidR="00693502" w:rsidRPr="00CE2098" w:rsidRDefault="00693502" w:rsidP="00693502">
            <w:pPr>
              <w:rPr>
                <w:sz w:val="20"/>
              </w:rPr>
            </w:pPr>
            <w:r w:rsidRPr="00CE2098">
              <w:rPr>
                <w:sz w:val="20"/>
              </w:rPr>
              <w:t>France</w:t>
            </w:r>
          </w:p>
        </w:tc>
        <w:tc>
          <w:tcPr>
            <w:tcW w:w="2167" w:type="dxa"/>
            <w:shd w:val="clear" w:color="auto" w:fill="auto"/>
            <w:vAlign w:val="bottom"/>
          </w:tcPr>
          <w:p w:rsidR="00693502" w:rsidRPr="00CE2098" w:rsidRDefault="00693502" w:rsidP="00693502">
            <w:pPr>
              <w:rPr>
                <w:sz w:val="20"/>
              </w:rPr>
            </w:pPr>
            <w:r w:rsidRPr="00CE2098">
              <w:rPr>
                <w:sz w:val="20"/>
              </w:rPr>
              <w:t>3.77</w:t>
            </w:r>
          </w:p>
        </w:tc>
      </w:tr>
      <w:tr w:rsidR="00693502" w:rsidRPr="00CE2098" w:rsidTr="00693502">
        <w:trPr>
          <w:jc w:val="center"/>
        </w:trPr>
        <w:tc>
          <w:tcPr>
            <w:tcW w:w="851" w:type="dxa"/>
          </w:tcPr>
          <w:p w:rsidR="00693502" w:rsidRPr="00CE2098" w:rsidRDefault="00693502" w:rsidP="00693502">
            <w:pPr>
              <w:rPr>
                <w:sz w:val="20"/>
              </w:rPr>
            </w:pPr>
            <w:r w:rsidRPr="00CE2098">
              <w:rPr>
                <w:sz w:val="20"/>
              </w:rPr>
              <w:t>11</w:t>
            </w:r>
          </w:p>
        </w:tc>
        <w:tc>
          <w:tcPr>
            <w:tcW w:w="2126" w:type="dxa"/>
            <w:shd w:val="clear" w:color="auto" w:fill="auto"/>
            <w:vAlign w:val="bottom"/>
          </w:tcPr>
          <w:p w:rsidR="00693502" w:rsidRPr="00CE2098" w:rsidRDefault="00693502" w:rsidP="00693502">
            <w:pPr>
              <w:rPr>
                <w:sz w:val="20"/>
              </w:rPr>
            </w:pPr>
            <w:r w:rsidRPr="00CE2098">
              <w:rPr>
                <w:sz w:val="20"/>
              </w:rPr>
              <w:t>Italy</w:t>
            </w:r>
          </w:p>
        </w:tc>
        <w:tc>
          <w:tcPr>
            <w:tcW w:w="2167" w:type="dxa"/>
            <w:shd w:val="clear" w:color="auto" w:fill="auto"/>
            <w:vAlign w:val="bottom"/>
          </w:tcPr>
          <w:p w:rsidR="00693502" w:rsidRPr="00CE2098" w:rsidRDefault="00693502" w:rsidP="00693502">
            <w:pPr>
              <w:rPr>
                <w:sz w:val="20"/>
              </w:rPr>
            </w:pPr>
            <w:r w:rsidRPr="00CE2098">
              <w:rPr>
                <w:sz w:val="20"/>
              </w:rPr>
              <w:t>3.75</w:t>
            </w:r>
          </w:p>
        </w:tc>
      </w:tr>
      <w:tr w:rsidR="00693502" w:rsidRPr="00CE2098" w:rsidTr="00693502">
        <w:trPr>
          <w:jc w:val="center"/>
        </w:trPr>
        <w:tc>
          <w:tcPr>
            <w:tcW w:w="851" w:type="dxa"/>
          </w:tcPr>
          <w:p w:rsidR="00693502" w:rsidRPr="00CE2098" w:rsidRDefault="00693502" w:rsidP="00693502">
            <w:pPr>
              <w:rPr>
                <w:sz w:val="20"/>
              </w:rPr>
            </w:pPr>
            <w:r w:rsidRPr="00CE2098">
              <w:rPr>
                <w:sz w:val="20"/>
              </w:rPr>
              <w:t>12</w:t>
            </w:r>
          </w:p>
        </w:tc>
        <w:tc>
          <w:tcPr>
            <w:tcW w:w="2126" w:type="dxa"/>
            <w:shd w:val="clear" w:color="auto" w:fill="auto"/>
          </w:tcPr>
          <w:p w:rsidR="00693502" w:rsidRPr="00CE2098" w:rsidRDefault="00693502" w:rsidP="00693502">
            <w:pPr>
              <w:rPr>
                <w:sz w:val="20"/>
              </w:rPr>
            </w:pPr>
            <w:r w:rsidRPr="00CE2098">
              <w:rPr>
                <w:sz w:val="20"/>
              </w:rPr>
              <w:t>South Korea</w:t>
            </w:r>
          </w:p>
        </w:tc>
        <w:tc>
          <w:tcPr>
            <w:tcW w:w="2167" w:type="dxa"/>
            <w:shd w:val="clear" w:color="auto" w:fill="auto"/>
          </w:tcPr>
          <w:p w:rsidR="00693502" w:rsidRPr="00CE2098" w:rsidRDefault="00693502" w:rsidP="00693502">
            <w:pPr>
              <w:rPr>
                <w:sz w:val="20"/>
              </w:rPr>
            </w:pPr>
            <w:r w:rsidRPr="00CE2098">
              <w:rPr>
                <w:sz w:val="20"/>
              </w:rPr>
              <w:t>3.5</w:t>
            </w:r>
          </w:p>
        </w:tc>
      </w:tr>
      <w:tr w:rsidR="006C2710" w:rsidRPr="00CE2098" w:rsidTr="006C2710">
        <w:trPr>
          <w:jc w:val="center"/>
        </w:trPr>
        <w:tc>
          <w:tcPr>
            <w:tcW w:w="851" w:type="dxa"/>
          </w:tcPr>
          <w:p w:rsidR="006C2710" w:rsidRPr="00CE2098" w:rsidRDefault="006C2710" w:rsidP="006C2710">
            <w:pPr>
              <w:rPr>
                <w:sz w:val="20"/>
              </w:rPr>
            </w:pPr>
            <w:r w:rsidRPr="00CE2098">
              <w:rPr>
                <w:sz w:val="20"/>
              </w:rPr>
              <w:t>13</w:t>
            </w:r>
          </w:p>
        </w:tc>
        <w:tc>
          <w:tcPr>
            <w:tcW w:w="2126" w:type="dxa"/>
            <w:shd w:val="clear" w:color="auto" w:fill="auto"/>
          </w:tcPr>
          <w:p w:rsidR="006C2710" w:rsidRPr="00CE2098" w:rsidRDefault="006C2710" w:rsidP="006C2710">
            <w:pPr>
              <w:rPr>
                <w:sz w:val="20"/>
              </w:rPr>
            </w:pPr>
            <w:r w:rsidRPr="00CE2098">
              <w:rPr>
                <w:sz w:val="20"/>
              </w:rPr>
              <w:t>Poland</w:t>
            </w:r>
          </w:p>
        </w:tc>
        <w:tc>
          <w:tcPr>
            <w:tcW w:w="2167" w:type="dxa"/>
            <w:shd w:val="clear" w:color="auto" w:fill="auto"/>
          </w:tcPr>
          <w:p w:rsidR="006C2710" w:rsidRPr="00CE2098" w:rsidRDefault="006C2710" w:rsidP="006C2710">
            <w:pPr>
              <w:rPr>
                <w:sz w:val="20"/>
              </w:rPr>
            </w:pPr>
            <w:r w:rsidRPr="00CE2098">
              <w:rPr>
                <w:sz w:val="20"/>
              </w:rPr>
              <w:t>2.35</w:t>
            </w:r>
          </w:p>
        </w:tc>
      </w:tr>
      <w:tr w:rsidR="006C2710" w:rsidRPr="00CE2098" w:rsidTr="00693502">
        <w:trPr>
          <w:jc w:val="center"/>
        </w:trPr>
        <w:tc>
          <w:tcPr>
            <w:tcW w:w="851" w:type="dxa"/>
          </w:tcPr>
          <w:p w:rsidR="006C2710" w:rsidRPr="00CE2098" w:rsidRDefault="006C2710" w:rsidP="006C2710">
            <w:pPr>
              <w:rPr>
                <w:sz w:val="20"/>
              </w:rPr>
            </w:pPr>
            <w:r w:rsidRPr="00CE2098">
              <w:rPr>
                <w:sz w:val="20"/>
              </w:rPr>
              <w:lastRenderedPageBreak/>
              <w:t>14</w:t>
            </w:r>
          </w:p>
        </w:tc>
        <w:tc>
          <w:tcPr>
            <w:tcW w:w="2126" w:type="dxa"/>
            <w:shd w:val="clear" w:color="auto" w:fill="auto"/>
            <w:vAlign w:val="bottom"/>
          </w:tcPr>
          <w:p w:rsidR="006C2710" w:rsidRPr="00CE2098" w:rsidRDefault="006C2710" w:rsidP="006C2710">
            <w:pPr>
              <w:rPr>
                <w:sz w:val="20"/>
              </w:rPr>
            </w:pPr>
            <w:r w:rsidRPr="00CE2098">
              <w:rPr>
                <w:sz w:val="20"/>
              </w:rPr>
              <w:t>Japan</w:t>
            </w:r>
          </w:p>
        </w:tc>
        <w:tc>
          <w:tcPr>
            <w:tcW w:w="2167" w:type="dxa"/>
            <w:shd w:val="clear" w:color="auto" w:fill="auto"/>
            <w:vAlign w:val="bottom"/>
          </w:tcPr>
          <w:p w:rsidR="006C2710" w:rsidRPr="00CE2098" w:rsidRDefault="006C2710" w:rsidP="006C2710">
            <w:pPr>
              <w:rPr>
                <w:sz w:val="20"/>
              </w:rPr>
            </w:pPr>
            <w:r w:rsidRPr="00CE2098">
              <w:rPr>
                <w:sz w:val="20"/>
              </w:rPr>
              <w:t>2.09</w:t>
            </w:r>
          </w:p>
        </w:tc>
      </w:tr>
      <w:tr w:rsidR="006C2710" w:rsidRPr="00CE2098" w:rsidTr="00693502">
        <w:trPr>
          <w:jc w:val="center"/>
        </w:trPr>
        <w:tc>
          <w:tcPr>
            <w:tcW w:w="851" w:type="dxa"/>
          </w:tcPr>
          <w:p w:rsidR="006C2710" w:rsidRPr="00CE2098" w:rsidRDefault="006C2710" w:rsidP="006C2710">
            <w:pPr>
              <w:rPr>
                <w:sz w:val="20"/>
              </w:rPr>
            </w:pPr>
            <w:r w:rsidRPr="00CE2098">
              <w:rPr>
                <w:sz w:val="20"/>
              </w:rPr>
              <w:t>15</w:t>
            </w:r>
          </w:p>
        </w:tc>
        <w:tc>
          <w:tcPr>
            <w:tcW w:w="2126" w:type="dxa"/>
            <w:shd w:val="clear" w:color="auto" w:fill="auto"/>
            <w:vAlign w:val="bottom"/>
          </w:tcPr>
          <w:p w:rsidR="006C2710" w:rsidRPr="00CE2098" w:rsidRDefault="006C2710" w:rsidP="006C2710">
            <w:pPr>
              <w:rPr>
                <w:sz w:val="20"/>
              </w:rPr>
            </w:pPr>
            <w:r w:rsidRPr="00CE2098">
              <w:rPr>
                <w:sz w:val="20"/>
              </w:rPr>
              <w:t>Turkey</w:t>
            </w:r>
          </w:p>
        </w:tc>
        <w:tc>
          <w:tcPr>
            <w:tcW w:w="2167" w:type="dxa"/>
            <w:shd w:val="clear" w:color="auto" w:fill="auto"/>
            <w:vAlign w:val="bottom"/>
          </w:tcPr>
          <w:p w:rsidR="006C2710" w:rsidRPr="00CE2098" w:rsidRDefault="006C2710" w:rsidP="006C2710">
            <w:pPr>
              <w:rPr>
                <w:sz w:val="20"/>
              </w:rPr>
            </w:pPr>
            <w:r w:rsidRPr="00CE2098">
              <w:rPr>
                <w:sz w:val="20"/>
              </w:rPr>
              <w:t>1.19</w:t>
            </w:r>
          </w:p>
        </w:tc>
      </w:tr>
      <w:tr w:rsidR="006C2710" w:rsidRPr="00CE2098" w:rsidTr="00693502">
        <w:trPr>
          <w:jc w:val="center"/>
        </w:trPr>
        <w:tc>
          <w:tcPr>
            <w:tcW w:w="851" w:type="dxa"/>
          </w:tcPr>
          <w:p w:rsidR="006C2710" w:rsidRPr="00CE2098" w:rsidRDefault="006C2710" w:rsidP="006C2710">
            <w:pPr>
              <w:rPr>
                <w:sz w:val="20"/>
              </w:rPr>
            </w:pPr>
            <w:r w:rsidRPr="00CE2098">
              <w:rPr>
                <w:sz w:val="20"/>
              </w:rPr>
              <w:t>16</w:t>
            </w:r>
          </w:p>
        </w:tc>
        <w:tc>
          <w:tcPr>
            <w:tcW w:w="2126" w:type="dxa"/>
            <w:shd w:val="clear" w:color="auto" w:fill="auto"/>
            <w:vAlign w:val="bottom"/>
          </w:tcPr>
          <w:p w:rsidR="006C2710" w:rsidRPr="00CE2098" w:rsidRDefault="006C2710" w:rsidP="006C2710">
            <w:pPr>
              <w:rPr>
                <w:sz w:val="20"/>
              </w:rPr>
            </w:pPr>
            <w:r w:rsidRPr="00CE2098">
              <w:rPr>
                <w:sz w:val="20"/>
              </w:rPr>
              <w:t>Iran</w:t>
            </w:r>
          </w:p>
        </w:tc>
        <w:tc>
          <w:tcPr>
            <w:tcW w:w="2167" w:type="dxa"/>
            <w:shd w:val="clear" w:color="auto" w:fill="auto"/>
            <w:vAlign w:val="bottom"/>
          </w:tcPr>
          <w:p w:rsidR="006C2710" w:rsidRPr="00CE2098" w:rsidRDefault="006C2710" w:rsidP="006C2710">
            <w:pPr>
              <w:rPr>
                <w:sz w:val="20"/>
              </w:rPr>
            </w:pPr>
            <w:r w:rsidRPr="00CE2098">
              <w:rPr>
                <w:sz w:val="20"/>
              </w:rPr>
              <w:t>1.16</w:t>
            </w:r>
          </w:p>
        </w:tc>
      </w:tr>
      <w:tr w:rsidR="006C2710" w:rsidRPr="00CE2098" w:rsidTr="00693502">
        <w:trPr>
          <w:jc w:val="center"/>
        </w:trPr>
        <w:tc>
          <w:tcPr>
            <w:tcW w:w="851" w:type="dxa"/>
          </w:tcPr>
          <w:p w:rsidR="006C2710" w:rsidRPr="00CE2098" w:rsidRDefault="006C2710" w:rsidP="006C2710">
            <w:pPr>
              <w:rPr>
                <w:sz w:val="20"/>
              </w:rPr>
            </w:pPr>
            <w:r w:rsidRPr="00CE2098">
              <w:rPr>
                <w:sz w:val="20"/>
              </w:rPr>
              <w:t>17</w:t>
            </w:r>
          </w:p>
        </w:tc>
        <w:tc>
          <w:tcPr>
            <w:tcW w:w="2126" w:type="dxa"/>
            <w:shd w:val="clear" w:color="auto" w:fill="auto"/>
            <w:vAlign w:val="bottom"/>
          </w:tcPr>
          <w:p w:rsidR="006C2710" w:rsidRPr="00CE2098" w:rsidRDefault="006C2710" w:rsidP="006C2710">
            <w:pPr>
              <w:rPr>
                <w:sz w:val="20"/>
              </w:rPr>
            </w:pPr>
            <w:r w:rsidRPr="00CE2098">
              <w:rPr>
                <w:sz w:val="20"/>
              </w:rPr>
              <w:t>Russian Federation</w:t>
            </w:r>
          </w:p>
        </w:tc>
        <w:tc>
          <w:tcPr>
            <w:tcW w:w="2167" w:type="dxa"/>
            <w:shd w:val="clear" w:color="auto" w:fill="auto"/>
            <w:vAlign w:val="bottom"/>
          </w:tcPr>
          <w:p w:rsidR="006C2710" w:rsidRPr="00CE2098" w:rsidRDefault="006C2710" w:rsidP="006C2710">
            <w:pPr>
              <w:rPr>
                <w:sz w:val="20"/>
              </w:rPr>
            </w:pPr>
            <w:r w:rsidRPr="00CE2098">
              <w:rPr>
                <w:sz w:val="20"/>
              </w:rPr>
              <w:t>0.99</w:t>
            </w:r>
          </w:p>
        </w:tc>
      </w:tr>
      <w:tr w:rsidR="006C2710" w:rsidRPr="00CE2098" w:rsidTr="00693502">
        <w:trPr>
          <w:jc w:val="center"/>
        </w:trPr>
        <w:tc>
          <w:tcPr>
            <w:tcW w:w="851" w:type="dxa"/>
          </w:tcPr>
          <w:p w:rsidR="006C2710" w:rsidRPr="00CE2098" w:rsidRDefault="006C2710" w:rsidP="006C2710">
            <w:pPr>
              <w:rPr>
                <w:sz w:val="20"/>
              </w:rPr>
            </w:pPr>
            <w:r w:rsidRPr="00CE2098">
              <w:rPr>
                <w:sz w:val="20"/>
              </w:rPr>
              <w:t>18</w:t>
            </w:r>
          </w:p>
        </w:tc>
        <w:tc>
          <w:tcPr>
            <w:tcW w:w="2126" w:type="dxa"/>
            <w:shd w:val="clear" w:color="auto" w:fill="auto"/>
            <w:vAlign w:val="bottom"/>
          </w:tcPr>
          <w:p w:rsidR="006C2710" w:rsidRPr="00CE2098" w:rsidRDefault="006C2710" w:rsidP="006C2710">
            <w:pPr>
              <w:rPr>
                <w:sz w:val="20"/>
              </w:rPr>
            </w:pPr>
            <w:r w:rsidRPr="00CE2098">
              <w:rPr>
                <w:sz w:val="20"/>
              </w:rPr>
              <w:t>China</w:t>
            </w:r>
          </w:p>
        </w:tc>
        <w:tc>
          <w:tcPr>
            <w:tcW w:w="2167" w:type="dxa"/>
            <w:shd w:val="clear" w:color="auto" w:fill="auto"/>
            <w:vAlign w:val="bottom"/>
          </w:tcPr>
          <w:p w:rsidR="006C2710" w:rsidRPr="00CE2098" w:rsidRDefault="006C2710" w:rsidP="006C2710">
            <w:pPr>
              <w:rPr>
                <w:sz w:val="20"/>
              </w:rPr>
            </w:pPr>
            <w:r w:rsidRPr="00CE2098">
              <w:rPr>
                <w:sz w:val="20"/>
              </w:rPr>
              <w:t>0.74</w:t>
            </w:r>
          </w:p>
        </w:tc>
      </w:tr>
      <w:tr w:rsidR="006C2710" w:rsidRPr="00CE2098" w:rsidTr="00693502">
        <w:trPr>
          <w:jc w:val="center"/>
        </w:trPr>
        <w:tc>
          <w:tcPr>
            <w:tcW w:w="851" w:type="dxa"/>
          </w:tcPr>
          <w:p w:rsidR="006C2710" w:rsidRPr="00CE2098" w:rsidRDefault="006C2710" w:rsidP="006C2710">
            <w:pPr>
              <w:rPr>
                <w:sz w:val="20"/>
              </w:rPr>
            </w:pPr>
            <w:r w:rsidRPr="00CE2098">
              <w:rPr>
                <w:sz w:val="20"/>
              </w:rPr>
              <w:t>19</w:t>
            </w:r>
          </w:p>
        </w:tc>
        <w:tc>
          <w:tcPr>
            <w:tcW w:w="2126" w:type="dxa"/>
            <w:shd w:val="clear" w:color="auto" w:fill="auto"/>
            <w:vAlign w:val="bottom"/>
          </w:tcPr>
          <w:p w:rsidR="006C2710" w:rsidRPr="00CE2098" w:rsidRDefault="006C2710" w:rsidP="006C2710">
            <w:pPr>
              <w:rPr>
                <w:sz w:val="20"/>
              </w:rPr>
            </w:pPr>
            <w:r w:rsidRPr="00CE2098">
              <w:rPr>
                <w:sz w:val="20"/>
              </w:rPr>
              <w:t>Brazil</w:t>
            </w:r>
          </w:p>
        </w:tc>
        <w:tc>
          <w:tcPr>
            <w:tcW w:w="2167" w:type="dxa"/>
            <w:shd w:val="clear" w:color="auto" w:fill="auto"/>
            <w:vAlign w:val="bottom"/>
          </w:tcPr>
          <w:p w:rsidR="006C2710" w:rsidRPr="00CE2098" w:rsidRDefault="006C2710" w:rsidP="006C2710">
            <w:pPr>
              <w:rPr>
                <w:sz w:val="20"/>
              </w:rPr>
            </w:pPr>
            <w:r w:rsidRPr="00CE2098">
              <w:rPr>
                <w:sz w:val="20"/>
              </w:rPr>
              <w:t>0.72</w:t>
            </w:r>
          </w:p>
        </w:tc>
      </w:tr>
      <w:tr w:rsidR="006C2710" w:rsidRPr="00CE2098" w:rsidTr="00693502">
        <w:trPr>
          <w:jc w:val="center"/>
        </w:trPr>
        <w:tc>
          <w:tcPr>
            <w:tcW w:w="851" w:type="dxa"/>
          </w:tcPr>
          <w:p w:rsidR="006C2710" w:rsidRPr="00CE2098" w:rsidRDefault="006C2710" w:rsidP="006C2710">
            <w:pPr>
              <w:rPr>
                <w:sz w:val="20"/>
              </w:rPr>
            </w:pPr>
            <w:r w:rsidRPr="00CE2098">
              <w:rPr>
                <w:sz w:val="20"/>
              </w:rPr>
              <w:t>20</w:t>
            </w:r>
          </w:p>
        </w:tc>
        <w:tc>
          <w:tcPr>
            <w:tcW w:w="2126" w:type="dxa"/>
            <w:shd w:val="clear" w:color="auto" w:fill="auto"/>
            <w:vAlign w:val="bottom"/>
          </w:tcPr>
          <w:p w:rsidR="006C2710" w:rsidRPr="00CE2098" w:rsidRDefault="006C2710" w:rsidP="006C2710">
            <w:pPr>
              <w:rPr>
                <w:sz w:val="20"/>
              </w:rPr>
            </w:pPr>
            <w:r w:rsidRPr="00CE2098">
              <w:rPr>
                <w:sz w:val="20"/>
              </w:rPr>
              <w:t>India</w:t>
            </w:r>
          </w:p>
        </w:tc>
        <w:tc>
          <w:tcPr>
            <w:tcW w:w="2167" w:type="dxa"/>
            <w:shd w:val="clear" w:color="auto" w:fill="auto"/>
            <w:vAlign w:val="bottom"/>
          </w:tcPr>
          <w:p w:rsidR="006C2710" w:rsidRPr="00CE2098" w:rsidRDefault="006C2710" w:rsidP="006C2710">
            <w:pPr>
              <w:rPr>
                <w:sz w:val="20"/>
              </w:rPr>
            </w:pPr>
            <w:r w:rsidRPr="00CE2098">
              <w:rPr>
                <w:sz w:val="20"/>
              </w:rPr>
              <w:t>0.24</w:t>
            </w:r>
          </w:p>
        </w:tc>
      </w:tr>
    </w:tbl>
    <w:p w:rsidR="00693502" w:rsidRDefault="00693502" w:rsidP="00693502">
      <w:pPr>
        <w:pStyle w:val="MDPI43tablefooter"/>
        <w:spacing w:after="240"/>
        <w:jc w:val="center"/>
      </w:pPr>
      <w:r>
        <w:rPr>
          <w:vertAlign w:val="superscript"/>
        </w:rPr>
        <w:t>2</w:t>
      </w:r>
      <w:r w:rsidR="00F67B95">
        <w:t>Adapted from O’Neil</w:t>
      </w:r>
      <w:r>
        <w:t xml:space="preserve"> 2018</w:t>
      </w:r>
    </w:p>
    <w:p w:rsidR="00DB60D1" w:rsidRDefault="00DB60D1" w:rsidP="00DB60D1">
      <w:pPr>
        <w:pStyle w:val="MDPI31text"/>
        <w:ind w:firstLine="360"/>
        <w:rPr>
          <w:lang w:val="en-GB"/>
        </w:rPr>
      </w:pPr>
      <w:r>
        <w:rPr>
          <w:lang w:val="en-GB"/>
        </w:rPr>
        <w:t>Blommaert shares his views on the commodification on academic publishing and how this perpetuates global inequalities:</w:t>
      </w:r>
    </w:p>
    <w:p w:rsidR="00DB60D1" w:rsidRDefault="00DB60D1" w:rsidP="00DB60D1">
      <w:pPr>
        <w:pStyle w:val="MDPI31text"/>
        <w:rPr>
          <w:lang w:val="en-GB"/>
        </w:rPr>
      </w:pPr>
    </w:p>
    <w:p w:rsidR="00DB60D1" w:rsidRDefault="00DB60D1" w:rsidP="005C4997">
      <w:pPr>
        <w:pStyle w:val="MDPI31text"/>
        <w:numPr>
          <w:ilvl w:val="0"/>
          <w:numId w:val="6"/>
        </w:numPr>
        <w:ind w:right="595"/>
        <w:rPr>
          <w:lang w:val="en-GB"/>
        </w:rPr>
      </w:pPr>
      <w:r w:rsidRPr="00B80ADC">
        <w:rPr>
          <w:lang w:val="en-GB"/>
        </w:rPr>
        <w:t>Academics operate in an industrial model of production, in which their output […] is increasingly, and continuously more extremely, commodified. [A]cademic publishers (some of which are among the world's most lucrative businesses) appropriate academic writings and put them behind paywalls. Such factors simply, and predictably, exclude the overwhelming majority of the world's scholars, especially those who do not belong to the privileged elites studying and working in generously funded institutions. These elites, I should add, can be found in Harvard, Cambridge, Berlin and Bologna, to be sure. But also in Delhi, Shanghai, Cape Town, Rio de Janeiro, Singapore, Cairo, Istanbul and Qatar</w:t>
      </w:r>
      <w:r>
        <w:rPr>
          <w:lang w:val="en-GB"/>
        </w:rPr>
        <w:t xml:space="preserve"> (2018: np)</w:t>
      </w:r>
      <w:r w:rsidRPr="00B80ADC">
        <w:rPr>
          <w:lang w:val="en-GB"/>
        </w:rPr>
        <w:t>. </w:t>
      </w:r>
    </w:p>
    <w:p w:rsidR="00DB60D1" w:rsidRDefault="00DB60D1" w:rsidP="00DB60D1">
      <w:pPr>
        <w:pStyle w:val="MDPI31text"/>
        <w:ind w:firstLine="0"/>
        <w:rPr>
          <w:lang w:val="en-GB"/>
        </w:rPr>
      </w:pPr>
    </w:p>
    <w:p w:rsidR="00DB60D1" w:rsidRPr="00B80ADC" w:rsidRDefault="00DB60D1" w:rsidP="00DB60D1">
      <w:pPr>
        <w:pStyle w:val="MDPI31text"/>
        <w:ind w:firstLine="0"/>
        <w:rPr>
          <w:lang w:val="en-GB"/>
        </w:rPr>
      </w:pPr>
      <w:r>
        <w:rPr>
          <w:lang w:val="en-GB"/>
        </w:rPr>
        <w:t xml:space="preserve">In other words, there is no doubt that there are global inequities in academic publishing; however, according to Blommaert and others these are economically founded and commercially driven; they serve to create and exacerbate the </w:t>
      </w:r>
      <w:r w:rsidR="00254EA0">
        <w:rPr>
          <w:lang w:val="en-GB"/>
        </w:rPr>
        <w:t xml:space="preserve">power and wealth </w:t>
      </w:r>
      <w:r>
        <w:rPr>
          <w:lang w:val="en-GB"/>
        </w:rPr>
        <w:t>of the elites, irrespective of the languages spoken and the location of residence of these elites.</w:t>
      </w:r>
    </w:p>
    <w:p w:rsidR="00DE5FC9" w:rsidRDefault="007B371E" w:rsidP="00DB60D1">
      <w:pPr>
        <w:pStyle w:val="MDPI31text"/>
        <w:ind w:firstLine="420"/>
      </w:pPr>
      <w:r>
        <w:rPr>
          <w:lang w:val="en-GB"/>
        </w:rPr>
        <w:t>Th</w:t>
      </w:r>
      <w:r w:rsidR="00177700">
        <w:rPr>
          <w:lang w:val="en-GB"/>
        </w:rPr>
        <w:t xml:space="preserve">us, there </w:t>
      </w:r>
      <w:r>
        <w:rPr>
          <w:lang w:val="en-GB"/>
        </w:rPr>
        <w:t xml:space="preserve">is </w:t>
      </w:r>
      <w:r w:rsidR="00A25691">
        <w:rPr>
          <w:lang w:val="en-GB"/>
        </w:rPr>
        <w:t xml:space="preserve">in all likelihood </w:t>
      </w:r>
      <w:r w:rsidR="00177700">
        <w:rPr>
          <w:lang w:val="en-GB"/>
        </w:rPr>
        <w:t>something else going on here that extends beyond the native/</w:t>
      </w:r>
      <w:r>
        <w:rPr>
          <w:lang w:val="en-GB"/>
        </w:rPr>
        <w:t>non</w:t>
      </w:r>
      <w:r w:rsidR="00177700">
        <w:rPr>
          <w:lang w:val="en-GB"/>
        </w:rPr>
        <w:t>-</w:t>
      </w:r>
      <w:r>
        <w:rPr>
          <w:lang w:val="en-GB"/>
        </w:rPr>
        <w:t>nat</w:t>
      </w:r>
      <w:r w:rsidR="00177700">
        <w:rPr>
          <w:lang w:val="en-GB"/>
        </w:rPr>
        <w:t>ive</w:t>
      </w:r>
      <w:r w:rsidR="00DB60D1">
        <w:rPr>
          <w:lang w:val="en-GB"/>
        </w:rPr>
        <w:t xml:space="preserve"> speaker</w:t>
      </w:r>
      <w:r w:rsidR="00177700">
        <w:rPr>
          <w:lang w:val="en-GB"/>
        </w:rPr>
        <w:t xml:space="preserve"> dichotomy</w:t>
      </w:r>
      <w:r w:rsidR="00A25691">
        <w:rPr>
          <w:lang w:val="en-GB"/>
        </w:rPr>
        <w:t xml:space="preserve"> and beyond language as the primary unit of analysis</w:t>
      </w:r>
      <w:r>
        <w:rPr>
          <w:lang w:val="en-GB"/>
        </w:rPr>
        <w:t>. Of course, EAP and ERP</w:t>
      </w:r>
      <w:r w:rsidR="007F3EC7">
        <w:rPr>
          <w:lang w:val="en-GB"/>
        </w:rPr>
        <w:t>P</w:t>
      </w:r>
      <w:r>
        <w:rPr>
          <w:lang w:val="en-GB"/>
        </w:rPr>
        <w:t xml:space="preserve"> scholars may </w:t>
      </w:r>
      <w:r w:rsidR="00A25691">
        <w:rPr>
          <w:lang w:val="en-GB"/>
        </w:rPr>
        <w:t xml:space="preserve">rightly point out that by drawing attention </w:t>
      </w:r>
      <w:r>
        <w:rPr>
          <w:lang w:val="en-GB"/>
        </w:rPr>
        <w:t xml:space="preserve">to </w:t>
      </w:r>
      <w:r w:rsidRPr="00A25691">
        <w:rPr>
          <w:i/>
          <w:lang w:val="en-GB"/>
        </w:rPr>
        <w:t>linguistic</w:t>
      </w:r>
      <w:r>
        <w:rPr>
          <w:lang w:val="en-GB"/>
        </w:rPr>
        <w:t xml:space="preserve"> dis</w:t>
      </w:r>
      <w:r w:rsidR="007F3EC7">
        <w:rPr>
          <w:lang w:val="en-GB"/>
        </w:rPr>
        <w:t>advantage</w:t>
      </w:r>
      <w:r>
        <w:rPr>
          <w:lang w:val="en-GB"/>
        </w:rPr>
        <w:t xml:space="preserve">, they are not thereby </w:t>
      </w:r>
      <w:r w:rsidRPr="004D103F">
        <w:rPr>
          <w:lang w:val="en-GB"/>
        </w:rPr>
        <w:t xml:space="preserve">denying </w:t>
      </w:r>
      <w:r w:rsidR="00A25691" w:rsidRPr="004D103F">
        <w:rPr>
          <w:i/>
          <w:lang w:val="en-GB"/>
        </w:rPr>
        <w:t>economic</w:t>
      </w:r>
      <w:r w:rsidR="00A25691" w:rsidRPr="004D103F">
        <w:rPr>
          <w:lang w:val="en-GB"/>
        </w:rPr>
        <w:t xml:space="preserve"> disadvantage</w:t>
      </w:r>
      <w:r w:rsidRPr="004D103F">
        <w:rPr>
          <w:lang w:val="en-GB"/>
        </w:rPr>
        <w:t>.</w:t>
      </w:r>
      <w:r w:rsidR="00177700" w:rsidRPr="004D103F">
        <w:rPr>
          <w:lang w:val="en-GB"/>
        </w:rPr>
        <w:t xml:space="preserve"> Certainly</w:t>
      </w:r>
      <w:r w:rsidR="00A25691" w:rsidRPr="004D103F">
        <w:rPr>
          <w:lang w:val="en-GB"/>
        </w:rPr>
        <w:t>, this is clear in the use of constructs such as ‘geopolitics’ and ‘</w:t>
      </w:r>
      <w:r w:rsidR="00177700" w:rsidRPr="004D103F">
        <w:t>centre–periphery</w:t>
      </w:r>
      <w:r w:rsidR="00A25691" w:rsidRPr="004D103F">
        <w:t>’</w:t>
      </w:r>
      <w:r w:rsidR="00177700" w:rsidRPr="004D103F">
        <w:t xml:space="preserve"> alongside or instead of the</w:t>
      </w:r>
      <w:r w:rsidR="00A25691" w:rsidRPr="004D103F">
        <w:t xml:space="preserve"> </w:t>
      </w:r>
      <w:r w:rsidR="00DB60D1" w:rsidRPr="004D103F">
        <w:t>linguistically</w:t>
      </w:r>
      <w:r w:rsidR="00A25691" w:rsidRPr="004D103F">
        <w:t xml:space="preserve"> based</w:t>
      </w:r>
      <w:r w:rsidR="00177700" w:rsidRPr="004D103F">
        <w:t xml:space="preserve"> </w:t>
      </w:r>
      <w:r w:rsidR="00A25691" w:rsidRPr="004D103F">
        <w:t>‘</w:t>
      </w:r>
      <w:r w:rsidR="00177700" w:rsidRPr="004D103F">
        <w:t>native</w:t>
      </w:r>
      <w:r w:rsidR="00A25691" w:rsidRPr="004D103F">
        <w:t>/</w:t>
      </w:r>
      <w:r w:rsidR="00177700" w:rsidRPr="004D103F">
        <w:t>non-native</w:t>
      </w:r>
      <w:r w:rsidR="00A25691" w:rsidRPr="004D103F">
        <w:t>’</w:t>
      </w:r>
      <w:r w:rsidR="00177700" w:rsidRPr="004D103F">
        <w:t xml:space="preserve"> dichotomy </w:t>
      </w:r>
      <w:r w:rsidR="00A25691" w:rsidRPr="004D103F">
        <w:t>(</w:t>
      </w:r>
      <w:r w:rsidR="004D103F" w:rsidRPr="004D103F">
        <w:t xml:space="preserve">see </w:t>
      </w:r>
      <w:r w:rsidR="00177700" w:rsidRPr="004D103F">
        <w:t>Burgess 201</w:t>
      </w:r>
      <w:r w:rsidR="004D103F">
        <w:t>4</w:t>
      </w:r>
      <w:r w:rsidR="00DB60D1">
        <w:t xml:space="preserve"> for </w:t>
      </w:r>
      <w:r w:rsidR="007F3EC7">
        <w:t>an overview</w:t>
      </w:r>
      <w:r w:rsidR="004D103F" w:rsidRPr="004D103F">
        <w:t>).</w:t>
      </w:r>
      <w:r w:rsidR="00177700" w:rsidRPr="004D103F">
        <w:t xml:space="preserve"> </w:t>
      </w:r>
      <w:r w:rsidR="00A25691" w:rsidRPr="004D103F">
        <w:t xml:space="preserve">Scholars could justifiably argue that </w:t>
      </w:r>
      <w:r w:rsidR="007F3EC7">
        <w:t>they are using the term</w:t>
      </w:r>
      <w:r w:rsidR="00DB60D1">
        <w:t xml:space="preserve"> </w:t>
      </w:r>
      <w:r w:rsidRPr="004D103F">
        <w:rPr>
          <w:lang w:val="en-GB"/>
        </w:rPr>
        <w:t>‘EAL</w:t>
      </w:r>
      <w:r w:rsidR="00DB60D1">
        <w:rPr>
          <w:lang w:val="en-GB"/>
        </w:rPr>
        <w:t xml:space="preserve"> users</w:t>
      </w:r>
      <w:r w:rsidRPr="004D103F">
        <w:rPr>
          <w:lang w:val="en-GB"/>
        </w:rPr>
        <w:t>’</w:t>
      </w:r>
      <w:r w:rsidR="007F3EC7">
        <w:rPr>
          <w:lang w:val="en-GB"/>
        </w:rPr>
        <w:t xml:space="preserve"> and related terms </w:t>
      </w:r>
      <w:r w:rsidR="00A25691" w:rsidRPr="004D103F">
        <w:rPr>
          <w:lang w:val="en-GB"/>
        </w:rPr>
        <w:t>as</w:t>
      </w:r>
      <w:r w:rsidRPr="004D103F">
        <w:rPr>
          <w:lang w:val="en-GB"/>
        </w:rPr>
        <w:t xml:space="preserve"> a shorthand for all</w:t>
      </w:r>
      <w:r w:rsidR="00A25691" w:rsidRPr="004D103F">
        <w:rPr>
          <w:lang w:val="en-GB"/>
        </w:rPr>
        <w:t xml:space="preserve"> sorts of d</w:t>
      </w:r>
      <w:r w:rsidRPr="004D103F">
        <w:rPr>
          <w:lang w:val="en-GB"/>
        </w:rPr>
        <w:t>i</w:t>
      </w:r>
      <w:r w:rsidR="00A25691" w:rsidRPr="004D103F">
        <w:rPr>
          <w:lang w:val="en-GB"/>
        </w:rPr>
        <w:t>sad</w:t>
      </w:r>
      <w:r w:rsidRPr="004D103F">
        <w:rPr>
          <w:lang w:val="en-GB"/>
        </w:rPr>
        <w:t>va</w:t>
      </w:r>
      <w:r w:rsidR="00A25691" w:rsidRPr="004D103F">
        <w:rPr>
          <w:lang w:val="en-GB"/>
        </w:rPr>
        <w:t>ntage</w:t>
      </w:r>
      <w:r w:rsidRPr="004D103F">
        <w:rPr>
          <w:lang w:val="en-GB"/>
        </w:rPr>
        <w:t xml:space="preserve">, whether linguistic or economic. Nevertheless, I would argue that it is </w:t>
      </w:r>
      <w:r w:rsidR="00DB60D1">
        <w:rPr>
          <w:lang w:val="en-GB"/>
        </w:rPr>
        <w:t xml:space="preserve">important not to conflate terms </w:t>
      </w:r>
      <w:r>
        <w:rPr>
          <w:lang w:val="en-GB"/>
        </w:rPr>
        <w:t xml:space="preserve">and that greater precision is called for. It is only by </w:t>
      </w:r>
      <w:r w:rsidR="00DB60D1">
        <w:rPr>
          <w:lang w:val="en-GB"/>
        </w:rPr>
        <w:t xml:space="preserve">properly diagnosing </w:t>
      </w:r>
      <w:r>
        <w:rPr>
          <w:lang w:val="en-GB"/>
        </w:rPr>
        <w:t>the problem that we are able to devise proper solutions.</w:t>
      </w:r>
      <w:r w:rsidR="00177700">
        <w:rPr>
          <w:lang w:val="en-GB"/>
        </w:rPr>
        <w:t xml:space="preserve"> </w:t>
      </w:r>
      <w:r w:rsidR="00DB60D1">
        <w:rPr>
          <w:lang w:val="en-GB"/>
        </w:rPr>
        <w:t xml:space="preserve">If we misdiagnose, we end up prescribing the wrong medicine. </w:t>
      </w:r>
      <w:r w:rsidR="00DE5FC9">
        <w:t xml:space="preserve"> </w:t>
      </w:r>
    </w:p>
    <w:p w:rsidR="00DE5FC9" w:rsidRDefault="00DE5FC9" w:rsidP="00DE5FC9">
      <w:pPr>
        <w:pStyle w:val="MDPI31text"/>
      </w:pPr>
    </w:p>
    <w:p w:rsidR="001D415D" w:rsidRPr="00DE5FC9" w:rsidRDefault="001D415D" w:rsidP="00DE5FC9">
      <w:pPr>
        <w:pStyle w:val="MDPI31text"/>
      </w:pPr>
    </w:p>
    <w:p w:rsidR="00A900D9" w:rsidRPr="00501982" w:rsidRDefault="00A900D9" w:rsidP="00A900D9">
      <w:pPr>
        <w:pStyle w:val="MDPI21heading1"/>
      </w:pPr>
      <w:r>
        <w:t>5. Conclusions</w:t>
      </w:r>
    </w:p>
    <w:p w:rsidR="00CC1E43" w:rsidRDefault="0014229B" w:rsidP="00DB60D1">
      <w:pPr>
        <w:pStyle w:val="MDPI31text"/>
      </w:pPr>
      <w:r>
        <w:t>In this paper</w:t>
      </w:r>
      <w:r w:rsidR="00175FFC">
        <w:t xml:space="preserve">, I’ve introduced the framework of verbal hygiene and </w:t>
      </w:r>
      <w:r w:rsidR="00A25691">
        <w:t xml:space="preserve">argued that discourses about </w:t>
      </w:r>
      <w:r w:rsidR="006908C0">
        <w:t>language</w:t>
      </w:r>
      <w:r w:rsidR="00DB60D1">
        <w:t xml:space="preserve"> are rife in any domain, not least in </w:t>
      </w:r>
      <w:r w:rsidR="00CE2098">
        <w:t>the</w:t>
      </w:r>
      <w:r w:rsidR="00DB60D1">
        <w:t xml:space="preserve"> high-stakes domain </w:t>
      </w:r>
      <w:r w:rsidR="00CE2098">
        <w:t>of</w:t>
      </w:r>
      <w:r w:rsidR="00DB60D1">
        <w:t xml:space="preserve"> global academic publishing. I’ve suggested</w:t>
      </w:r>
      <w:r w:rsidR="009D75DB">
        <w:t>, in line with</w:t>
      </w:r>
      <w:r w:rsidR="00DB60D1">
        <w:t xml:space="preserve"> </w:t>
      </w:r>
      <w:r w:rsidR="009D75DB">
        <w:t xml:space="preserve">the </w:t>
      </w:r>
      <w:r w:rsidR="00DB60D1">
        <w:t>v</w:t>
      </w:r>
      <w:r w:rsidR="00175FFC">
        <w:t>erbal hygiene</w:t>
      </w:r>
      <w:r w:rsidR="009D75DB">
        <w:t xml:space="preserve"> framework, that discourses about language are </w:t>
      </w:r>
      <w:r w:rsidR="007F3EC7">
        <w:t>‘</w:t>
      </w:r>
      <w:r w:rsidR="009D75DB">
        <w:t>normal</w:t>
      </w:r>
      <w:r w:rsidR="007F3EC7">
        <w:t>’</w:t>
      </w:r>
      <w:r w:rsidR="009D75DB">
        <w:t xml:space="preserve"> and often reflective of underlying values and ideologies. </w:t>
      </w:r>
      <w:r w:rsidR="006908C0">
        <w:t>I’ve</w:t>
      </w:r>
      <w:r w:rsidR="009D75DB">
        <w:t xml:space="preserve"> called for Applied Linguists to engage in epistemic reflexivity and consider the extent to which our disciplinary assumptions </w:t>
      </w:r>
      <w:r w:rsidR="007F3EC7">
        <w:t xml:space="preserve">reproduce our </w:t>
      </w:r>
      <w:r w:rsidR="009D75DB">
        <w:t>research</w:t>
      </w:r>
      <w:r w:rsidR="007F3EC7">
        <w:t xml:space="preserve"> findings</w:t>
      </w:r>
      <w:r w:rsidR="00175FFC">
        <w:t>.</w:t>
      </w:r>
      <w:r w:rsidR="00DB60D1">
        <w:t xml:space="preserve"> </w:t>
      </w:r>
      <w:r w:rsidR="00CC1E43">
        <w:t>If we are prepared to consider that the native/non-native dichotomy may be a red herring, then what do researchers and practi</w:t>
      </w:r>
      <w:r w:rsidR="00DB60D1">
        <w:t>ti</w:t>
      </w:r>
      <w:r w:rsidR="00CC1E43">
        <w:t xml:space="preserve">oners need to </w:t>
      </w:r>
      <w:r w:rsidR="00CE2098">
        <w:t>concern themselves with</w:t>
      </w:r>
      <w:r w:rsidR="00CC1E43">
        <w:t xml:space="preserve">? </w:t>
      </w:r>
      <w:r w:rsidR="00CE2098">
        <w:t>I</w:t>
      </w:r>
      <w:r w:rsidR="009D75DB">
        <w:t xml:space="preserve"> finish this conclusion by </w:t>
      </w:r>
      <w:r w:rsidR="00CE2098">
        <w:t xml:space="preserve">briefly </w:t>
      </w:r>
      <w:r w:rsidR="009D75DB">
        <w:t>outlining</w:t>
      </w:r>
      <w:r w:rsidR="00CE2098">
        <w:t xml:space="preserve"> </w:t>
      </w:r>
      <w:r w:rsidR="008D0BC6">
        <w:t xml:space="preserve">some possible </w:t>
      </w:r>
      <w:r w:rsidR="009D75DB">
        <w:t xml:space="preserve">extensions to current activities </w:t>
      </w:r>
      <w:r w:rsidR="008D0BC6">
        <w:t>among</w:t>
      </w:r>
      <w:r w:rsidR="009D75DB">
        <w:t xml:space="preserve"> </w:t>
      </w:r>
      <w:r w:rsidR="008D0BC6">
        <w:t xml:space="preserve">researchers and practitioners in </w:t>
      </w:r>
      <w:r w:rsidR="00CE2098">
        <w:t>EAP and ERP</w:t>
      </w:r>
      <w:r w:rsidR="009D75DB">
        <w:t>P.</w:t>
      </w:r>
    </w:p>
    <w:p w:rsidR="00CE2098" w:rsidRDefault="00CE2098" w:rsidP="00DB60D1">
      <w:pPr>
        <w:pStyle w:val="MDPI31text"/>
      </w:pPr>
    </w:p>
    <w:p w:rsidR="00CE2098" w:rsidRDefault="006908C0" w:rsidP="00CE2098">
      <w:pPr>
        <w:pStyle w:val="MDPI31text"/>
        <w:numPr>
          <w:ilvl w:val="0"/>
          <w:numId w:val="7"/>
        </w:numPr>
      </w:pPr>
      <w:r>
        <w:rPr>
          <w:b/>
        </w:rPr>
        <w:lastRenderedPageBreak/>
        <w:t>S</w:t>
      </w:r>
      <w:r w:rsidR="00CE2098" w:rsidRPr="00CE2098">
        <w:rPr>
          <w:b/>
        </w:rPr>
        <w:t>ystem</w:t>
      </w:r>
      <w:r w:rsidR="00CE2098">
        <w:rPr>
          <w:b/>
        </w:rPr>
        <w:t>s</w:t>
      </w:r>
      <w:r>
        <w:rPr>
          <w:b/>
        </w:rPr>
        <w:t xml:space="preserve"> in addition to individual</w:t>
      </w:r>
      <w:r w:rsidR="009D75DB">
        <w:rPr>
          <w:b/>
        </w:rPr>
        <w:t>s</w:t>
      </w:r>
    </w:p>
    <w:p w:rsidR="00CE2098" w:rsidRDefault="00CE2098" w:rsidP="00CE2098">
      <w:pPr>
        <w:pStyle w:val="MDPI31text"/>
        <w:ind w:left="785" w:firstLine="0"/>
      </w:pPr>
      <w:r>
        <w:t xml:space="preserve">The critical scholarship that </w:t>
      </w:r>
      <w:r w:rsidR="00CC1E43">
        <w:t>underpins the paradigm</w:t>
      </w:r>
      <w:r>
        <w:t xml:space="preserve"> should be welcomed and continued; however, we need to</w:t>
      </w:r>
      <w:r w:rsidR="00CC1E43">
        <w:t xml:space="preserve"> widen </w:t>
      </w:r>
      <w:r>
        <w:t>the scope</w:t>
      </w:r>
      <w:r w:rsidR="00CC1E43">
        <w:t xml:space="preserve"> to</w:t>
      </w:r>
      <w:r>
        <w:t xml:space="preserve"> better </w:t>
      </w:r>
      <w:r w:rsidR="00CC1E43">
        <w:t xml:space="preserve">understand the neoliberal systems and processes that undergird the current system of </w:t>
      </w:r>
      <w:r>
        <w:t xml:space="preserve">global </w:t>
      </w:r>
      <w:r w:rsidR="00CC1E43">
        <w:t xml:space="preserve">knowledge production. </w:t>
      </w:r>
      <w:r w:rsidR="009D75DB">
        <w:t xml:space="preserve">Systems must be explored alongside individuals; material conditions need to be considered alongside linguistic ones. </w:t>
      </w:r>
      <w:r>
        <w:t xml:space="preserve">Bibliometric </w:t>
      </w:r>
      <w:r w:rsidR="00CC1E43">
        <w:t xml:space="preserve">performance </w:t>
      </w:r>
      <w:r w:rsidR="00F60118">
        <w:t>systems</w:t>
      </w:r>
      <w:r>
        <w:t>,</w:t>
      </w:r>
      <w:r w:rsidR="00CC1E43">
        <w:t xml:space="preserve"> </w:t>
      </w:r>
      <w:r>
        <w:t>research</w:t>
      </w:r>
      <w:r w:rsidR="00CC1E43">
        <w:t xml:space="preserve"> funding </w:t>
      </w:r>
      <w:r>
        <w:t xml:space="preserve">structures, </w:t>
      </w:r>
      <w:r w:rsidR="00F60118">
        <w:t xml:space="preserve">and </w:t>
      </w:r>
      <w:r w:rsidR="00CC1E43">
        <w:t xml:space="preserve">evaluation regimes </w:t>
      </w:r>
      <w:r w:rsidR="00F60118">
        <w:t xml:space="preserve">need to be scrutinized along with their </w:t>
      </w:r>
      <w:r w:rsidR="00CC1E43">
        <w:t>role in producing and reinforcing global inequalities</w:t>
      </w:r>
      <w:r w:rsidR="00F60118">
        <w:t>.</w:t>
      </w:r>
    </w:p>
    <w:p w:rsidR="00CC1E43" w:rsidRDefault="00CC1E43" w:rsidP="00CE2098">
      <w:pPr>
        <w:pStyle w:val="MDPI31text"/>
        <w:ind w:left="785" w:firstLine="0"/>
      </w:pPr>
    </w:p>
    <w:p w:rsidR="00F60118" w:rsidRPr="00F60118" w:rsidRDefault="00F60118" w:rsidP="00CC1E43">
      <w:pPr>
        <w:pStyle w:val="MDPI31text"/>
        <w:numPr>
          <w:ilvl w:val="0"/>
          <w:numId w:val="7"/>
        </w:numPr>
        <w:rPr>
          <w:b/>
        </w:rPr>
      </w:pPr>
      <w:r w:rsidRPr="00F60118">
        <w:rPr>
          <w:b/>
        </w:rPr>
        <w:t>W</w:t>
      </w:r>
      <w:r w:rsidR="00CC1E43" w:rsidRPr="00F60118">
        <w:rPr>
          <w:b/>
        </w:rPr>
        <w:t>idening of method</w:t>
      </w:r>
      <w:r w:rsidRPr="00F60118">
        <w:rPr>
          <w:b/>
        </w:rPr>
        <w:t>s</w:t>
      </w:r>
    </w:p>
    <w:p w:rsidR="009D75DB" w:rsidRDefault="00F60118" w:rsidP="00F60118">
      <w:pPr>
        <w:pStyle w:val="MDPI31text"/>
        <w:ind w:left="785" w:firstLine="0"/>
      </w:pPr>
      <w:r>
        <w:t xml:space="preserve">Commonly used interview and questionnaire studies are useful in helping us understand the woes and worries of international scholars; however, they could usefully be supplemented by </w:t>
      </w:r>
      <w:r w:rsidR="003B4869">
        <w:t xml:space="preserve">a wider range of methodologies, including </w:t>
      </w:r>
      <w:r>
        <w:t>macro-level studies of the type undertaken by Hyland (2016</w:t>
      </w:r>
      <w:r w:rsidR="00D96F67">
        <w:t>a</w:t>
      </w:r>
      <w:r>
        <w:t>) and O’Neil (2018)</w:t>
      </w:r>
      <w:r w:rsidR="009D75DB">
        <w:t xml:space="preserve"> as well as ethnographies of the type </w:t>
      </w:r>
      <w:r w:rsidR="003B4869">
        <w:t>undertaken</w:t>
      </w:r>
      <w:r w:rsidR="009D75DB">
        <w:t xml:space="preserve"> by Lillis and Curry (2010)</w:t>
      </w:r>
      <w:r>
        <w:t xml:space="preserve">. </w:t>
      </w:r>
      <w:r w:rsidR="009D75DB">
        <w:t>A</w:t>
      </w:r>
      <w:r>
        <w:t>ll methodologies have strengths and draw</w:t>
      </w:r>
      <w:r w:rsidR="00872BBB">
        <w:t>backs,</w:t>
      </w:r>
      <w:r w:rsidR="003B4869">
        <w:t xml:space="preserve"> with the result that some things are obscured, and other</w:t>
      </w:r>
      <w:r w:rsidR="00872BBB">
        <w:t xml:space="preserve"> thing</w:t>
      </w:r>
      <w:r w:rsidR="003B4869">
        <w:t xml:space="preserve">s foregrounded. This means that </w:t>
      </w:r>
      <w:r w:rsidR="006908C0">
        <w:t xml:space="preserve">the greater </w:t>
      </w:r>
      <w:r w:rsidR="009D75DB">
        <w:t xml:space="preserve">the </w:t>
      </w:r>
      <w:r w:rsidR="006908C0">
        <w:t>range of methodologies employe</w:t>
      </w:r>
      <w:r w:rsidR="009D75DB">
        <w:t>d to study a particular problem, the better an understanding</w:t>
      </w:r>
      <w:r w:rsidR="003B4869">
        <w:t xml:space="preserve"> we are likely to get.</w:t>
      </w:r>
      <w:r w:rsidR="009D75DB">
        <w:t xml:space="preserve"> </w:t>
      </w:r>
    </w:p>
    <w:p w:rsidR="00CC1E43" w:rsidRDefault="00CC1E43" w:rsidP="00F60118">
      <w:pPr>
        <w:pStyle w:val="MDPI31text"/>
        <w:ind w:left="785" w:firstLine="0"/>
      </w:pPr>
      <w:r>
        <w:t xml:space="preserve"> </w:t>
      </w:r>
    </w:p>
    <w:p w:rsidR="003B4869" w:rsidRDefault="003B4869" w:rsidP="003B4869">
      <w:pPr>
        <w:pStyle w:val="MDPI31text"/>
        <w:numPr>
          <w:ilvl w:val="0"/>
          <w:numId w:val="7"/>
        </w:numPr>
        <w:rPr>
          <w:b/>
        </w:rPr>
      </w:pPr>
      <w:r w:rsidRPr="003B4869">
        <w:rPr>
          <w:b/>
        </w:rPr>
        <w:t>Comparative studies</w:t>
      </w:r>
    </w:p>
    <w:p w:rsidR="00CC1E43" w:rsidRPr="003B4869" w:rsidRDefault="003B4869" w:rsidP="003B4869">
      <w:pPr>
        <w:pStyle w:val="MDPI31text"/>
        <w:ind w:left="785" w:firstLine="0"/>
        <w:rPr>
          <w:b/>
        </w:rPr>
      </w:pPr>
      <w:r>
        <w:t xml:space="preserve">Where the focus remains on language, it would be useful to conduct comparative research. Comparing the views and practices of non-Anglophone scholars with Anglophone ones </w:t>
      </w:r>
      <w:r w:rsidR="008D0BC6">
        <w:t>c</w:t>
      </w:r>
      <w:r>
        <w:t xml:space="preserve">ould reveal potentially useful findings about whether the frustrations </w:t>
      </w:r>
      <w:r w:rsidR="008D0BC6">
        <w:t xml:space="preserve">so </w:t>
      </w:r>
      <w:r>
        <w:t>extensively documented among non-Anglophone scholars are shared by Anglophone scholars. There is evidence to suggest that they are, particularly</w:t>
      </w:r>
      <w:r w:rsidR="008D0BC6">
        <w:t xml:space="preserve"> among </w:t>
      </w:r>
      <w:r>
        <w:t>novice scholars (</w:t>
      </w:r>
      <w:r w:rsidRPr="007D07A7">
        <w:t>Habibie</w:t>
      </w:r>
      <w:r>
        <w:t xml:space="preserve"> and </w:t>
      </w:r>
      <w:r w:rsidRPr="007D07A7">
        <w:t xml:space="preserve">Hyland </w:t>
      </w:r>
      <w:r>
        <w:t xml:space="preserve">2019). </w:t>
      </w:r>
    </w:p>
    <w:p w:rsidR="003B4869" w:rsidRDefault="003B4869" w:rsidP="003B4869">
      <w:pPr>
        <w:pStyle w:val="MDPI31text"/>
        <w:ind w:firstLine="0"/>
      </w:pPr>
    </w:p>
    <w:p w:rsidR="00175FFC" w:rsidRDefault="008D0BC6" w:rsidP="00872BBB">
      <w:pPr>
        <w:pStyle w:val="MDPI31text"/>
        <w:ind w:firstLine="0"/>
      </w:pPr>
      <w:r>
        <w:t xml:space="preserve">The tendency in </w:t>
      </w:r>
      <w:r w:rsidR="00872BBB">
        <w:t>some</w:t>
      </w:r>
      <w:r>
        <w:t xml:space="preserve"> Applied Linguistics</w:t>
      </w:r>
      <w:r w:rsidR="00872BBB">
        <w:t xml:space="preserve"> corners</w:t>
      </w:r>
      <w:r>
        <w:t xml:space="preserve"> to assume that injustice can be</w:t>
      </w:r>
      <w:r w:rsidR="00872BBB">
        <w:t xml:space="preserve"> alleviated </w:t>
      </w:r>
      <w:r>
        <w:t>th</w:t>
      </w:r>
      <w:r w:rsidR="00872BBB">
        <w:t>r</w:t>
      </w:r>
      <w:r>
        <w:t>ough linguistic intervention</w:t>
      </w:r>
      <w:r w:rsidR="00872BBB">
        <w:t xml:space="preserve"> </w:t>
      </w:r>
      <w:r>
        <w:t>or</w:t>
      </w:r>
      <w:r w:rsidR="00872BBB">
        <w:t xml:space="preserve"> by</w:t>
      </w:r>
      <w:r>
        <w:t xml:space="preserve"> generating theories about linguistic disadvantage</w:t>
      </w:r>
      <w:r w:rsidR="00872BBB">
        <w:t xml:space="preserve"> could be seen as missing the target. Certainly, it seems likely to only be able to scratch the surface of tack</w:t>
      </w:r>
      <w:r w:rsidR="00CA6377">
        <w:t>l</w:t>
      </w:r>
      <w:r w:rsidR="00872BBB">
        <w:t>ing the gross global inequities we are witnessing</w:t>
      </w:r>
      <w:r w:rsidR="00CA6377">
        <w:t>. This is</w:t>
      </w:r>
      <w:r w:rsidR="00872BBB">
        <w:t xml:space="preserve"> because such inequities are</w:t>
      </w:r>
      <w:r>
        <w:t xml:space="preserve"> social</w:t>
      </w:r>
      <w:r w:rsidR="00872BBB">
        <w:t>ly</w:t>
      </w:r>
      <w:r>
        <w:t>, political</w:t>
      </w:r>
      <w:r w:rsidR="00872BBB">
        <w:t>ly</w:t>
      </w:r>
      <w:r>
        <w:t xml:space="preserve"> and economic</w:t>
      </w:r>
      <w:r w:rsidR="00872BBB">
        <w:t xml:space="preserve">ally, </w:t>
      </w:r>
      <w:r w:rsidR="00CA6377">
        <w:t xml:space="preserve">and </w:t>
      </w:r>
      <w:r w:rsidR="00872BBB">
        <w:t xml:space="preserve">not linguistically, founded. </w:t>
      </w:r>
    </w:p>
    <w:p w:rsidR="00175FFC" w:rsidRDefault="00175FFC" w:rsidP="008D0BC6">
      <w:pPr>
        <w:pStyle w:val="MDPI31text"/>
        <w:ind w:firstLine="0"/>
      </w:pPr>
    </w:p>
    <w:p w:rsidR="002E021E" w:rsidRDefault="002E021E" w:rsidP="00A900D9">
      <w:pPr>
        <w:pStyle w:val="MDPI31text"/>
      </w:pPr>
    </w:p>
    <w:p w:rsidR="00BA156D" w:rsidRPr="00BA156D" w:rsidRDefault="00BA156D" w:rsidP="006C75C2">
      <w:pPr>
        <w:pStyle w:val="MDPI62Acknowledgments"/>
      </w:pPr>
      <w:r>
        <w:rPr>
          <w:b/>
        </w:rPr>
        <w:t xml:space="preserve">Funding: </w:t>
      </w:r>
      <w:r w:rsidRPr="00BA156D">
        <w:t>This research received no external funding</w:t>
      </w:r>
    </w:p>
    <w:p w:rsidR="006C75C2" w:rsidRPr="00FA2692" w:rsidRDefault="00FA2692" w:rsidP="006C75C2">
      <w:pPr>
        <w:pStyle w:val="MDPI62Acknowledgments"/>
      </w:pPr>
      <w:r w:rsidRPr="008D0BC6">
        <w:rPr>
          <w:b/>
        </w:rPr>
        <w:t>Acknowledgments:</w:t>
      </w:r>
      <w:r w:rsidRPr="008D0BC6">
        <w:t xml:space="preserve"> I</w:t>
      </w:r>
      <w:r w:rsidR="000F351E" w:rsidRPr="008D0BC6">
        <w:t xml:space="preserve"> </w:t>
      </w:r>
      <w:r w:rsidR="008D0BC6">
        <w:t>fondly</w:t>
      </w:r>
      <w:r w:rsidR="000F351E" w:rsidRPr="008D0BC6">
        <w:t xml:space="preserve"> thank the organizers </w:t>
      </w:r>
      <w:r w:rsidR="003B4869" w:rsidRPr="008D0BC6">
        <w:t xml:space="preserve">and delegates of </w:t>
      </w:r>
      <w:r w:rsidR="000F351E" w:rsidRPr="008D0BC6">
        <w:t>PRISEAL 4</w:t>
      </w:r>
      <w:r w:rsidR="008D0BC6" w:rsidRPr="008D0BC6">
        <w:t xml:space="preserve"> for fruitful discussions.</w:t>
      </w:r>
      <w:r w:rsidR="003B4869">
        <w:t xml:space="preserve"> </w:t>
      </w:r>
    </w:p>
    <w:p w:rsidR="006C75C2" w:rsidRPr="00501982" w:rsidRDefault="006C75C2" w:rsidP="006C75C2">
      <w:pPr>
        <w:pStyle w:val="MDPI64CoI"/>
      </w:pPr>
      <w:r w:rsidRPr="00501982">
        <w:rPr>
          <w:b/>
        </w:rPr>
        <w:t>Conflicts of Interest:</w:t>
      </w:r>
      <w:r w:rsidRPr="00501982">
        <w:t xml:space="preserve"> </w:t>
      </w:r>
      <w:r w:rsidR="0014229B">
        <w:t>The author</w:t>
      </w:r>
      <w:r w:rsidRPr="00501982">
        <w:t xml:space="preserve"> declare</w:t>
      </w:r>
      <w:r w:rsidR="0014229B">
        <w:t>s</w:t>
      </w:r>
      <w:r w:rsidRPr="00501982">
        <w:t xml:space="preserve"> no conflict of interest.</w:t>
      </w:r>
    </w:p>
    <w:p w:rsidR="00A900D9" w:rsidRDefault="00A900D9" w:rsidP="0014229B">
      <w:pPr>
        <w:pStyle w:val="MDPI21heading1"/>
        <w:spacing w:before="0"/>
      </w:pPr>
    </w:p>
    <w:p w:rsidR="001D415D" w:rsidRDefault="001D415D" w:rsidP="0014229B">
      <w:pPr>
        <w:pStyle w:val="MDPI21heading1"/>
        <w:spacing w:before="0"/>
      </w:pPr>
    </w:p>
    <w:p w:rsidR="00A900D9" w:rsidRPr="00501982" w:rsidRDefault="00A900D9" w:rsidP="00A900D9">
      <w:pPr>
        <w:pStyle w:val="MDPI21heading1"/>
      </w:pPr>
      <w:r w:rsidRPr="00501982">
        <w:t>References</w:t>
      </w:r>
    </w:p>
    <w:p w:rsidR="000F351E" w:rsidRDefault="000F351E" w:rsidP="000F351E">
      <w:pPr>
        <w:pStyle w:val="MDPI71References"/>
        <w:jc w:val="left"/>
      </w:pPr>
      <w:r>
        <w:t>Altbach, P.</w:t>
      </w:r>
      <w:r w:rsidRPr="00600428">
        <w:t>G.,</w:t>
      </w:r>
      <w:r>
        <w:t xml:space="preserve"> L.</w:t>
      </w:r>
      <w:r w:rsidRPr="00600428">
        <w:t xml:space="preserve"> Reisberg, and</w:t>
      </w:r>
      <w:r>
        <w:t xml:space="preserve"> L.E.</w:t>
      </w:r>
      <w:r w:rsidRPr="00600428">
        <w:t xml:space="preserve"> Rumbley. Trends in Global Higher Education: Tracking an Academic Revolution: Report prepared for the UNESCO 2009 World Conference on Higher Education. UNESCO</w:t>
      </w:r>
      <w:r>
        <w:t xml:space="preserve"> Publishing: Paris, France, 2009</w:t>
      </w:r>
      <w:r w:rsidRPr="00600428">
        <w:t xml:space="preserve">. </w:t>
      </w:r>
      <w:r>
        <w:t xml:space="preserve">Available online: </w:t>
      </w:r>
      <w:r w:rsidRPr="00600428">
        <w:t xml:space="preserve">http://unesdoc.unesco.org/images/0018/001831/183168e.pdf (accessed </w:t>
      </w:r>
      <w:r>
        <w:t>on 18</w:t>
      </w:r>
      <w:r w:rsidRPr="00501982">
        <w:t xml:space="preserve"> </w:t>
      </w:r>
      <w:r>
        <w:t>December</w:t>
      </w:r>
      <w:r w:rsidRPr="00501982">
        <w:t xml:space="preserve"> </w:t>
      </w:r>
      <w:r>
        <w:t>2018</w:t>
      </w:r>
      <w:r w:rsidRPr="00600428">
        <w:t>).</w:t>
      </w:r>
      <w:r>
        <w:t xml:space="preserve"> </w:t>
      </w:r>
    </w:p>
    <w:p w:rsidR="007D07A7" w:rsidRDefault="007D07A7" w:rsidP="007D07A7">
      <w:pPr>
        <w:pStyle w:val="MDPI71References"/>
      </w:pPr>
      <w:r w:rsidRPr="007D07A7">
        <w:t>Amano T</w:t>
      </w:r>
      <w:r>
        <w:t>.</w:t>
      </w:r>
      <w:r w:rsidRPr="007D07A7">
        <w:t xml:space="preserve">, </w:t>
      </w:r>
      <w:r>
        <w:t xml:space="preserve">J.P. </w:t>
      </w:r>
      <w:r w:rsidRPr="007D07A7">
        <w:t>González-Varo,</w:t>
      </w:r>
      <w:r>
        <w:t xml:space="preserve"> W.J.</w:t>
      </w:r>
      <w:r w:rsidRPr="007D07A7">
        <w:t xml:space="preserve"> Sutherland</w:t>
      </w:r>
      <w:r>
        <w:t>.</w:t>
      </w:r>
      <w:r w:rsidRPr="007D07A7">
        <w:t xml:space="preserve"> Languages Are Still a Major Barrier to Global Science. </w:t>
      </w:r>
      <w:r w:rsidRPr="007D07A7">
        <w:rPr>
          <w:i/>
        </w:rPr>
        <w:t>PLoS Biol</w:t>
      </w:r>
      <w:r w:rsidRPr="007D07A7">
        <w:t xml:space="preserve"> </w:t>
      </w:r>
      <w:r w:rsidRPr="007D07A7">
        <w:rPr>
          <w:b/>
        </w:rPr>
        <w:t>2016</w:t>
      </w:r>
      <w:r>
        <w:rPr>
          <w:b/>
        </w:rPr>
        <w:t>,</w:t>
      </w:r>
      <w:r>
        <w:t xml:space="preserve"> </w:t>
      </w:r>
      <w:r w:rsidRPr="007D07A7">
        <w:t>14</w:t>
      </w:r>
      <w:r>
        <w:t xml:space="preserve">, </w:t>
      </w:r>
      <w:r w:rsidRPr="007D07A7">
        <w:t>12</w:t>
      </w:r>
      <w:r>
        <w:t>,</w:t>
      </w:r>
      <w:r w:rsidRPr="007D07A7">
        <w:t xml:space="preserve"> 2000933.</w:t>
      </w:r>
    </w:p>
    <w:p w:rsidR="00EE07DC" w:rsidRDefault="00EE07DC" w:rsidP="00EE07DC">
      <w:pPr>
        <w:pStyle w:val="MDPI71References"/>
      </w:pPr>
      <w:r>
        <w:t xml:space="preserve">Bennett, K. Epistemicide! </w:t>
      </w:r>
      <w:r w:rsidRPr="00EE07DC">
        <w:rPr>
          <w:i/>
        </w:rPr>
        <w:t>The Translator</w:t>
      </w:r>
      <w:r>
        <w:t xml:space="preserve"> </w:t>
      </w:r>
      <w:r w:rsidRPr="00EE07DC">
        <w:rPr>
          <w:b/>
        </w:rPr>
        <w:t>2007</w:t>
      </w:r>
      <w:r>
        <w:t>, 13, 2, 151-169.</w:t>
      </w:r>
    </w:p>
    <w:p w:rsidR="000F351E" w:rsidRDefault="000F351E" w:rsidP="007D07A7">
      <w:pPr>
        <w:pStyle w:val="MDPI71References"/>
      </w:pPr>
      <w:r>
        <w:t xml:space="preserve">Block, D. Moving beyond ‘‘lingualism’’: Multilingual embodiment and multimodality in SLA. In </w:t>
      </w:r>
      <w:r w:rsidRPr="00903E65">
        <w:rPr>
          <w:i/>
        </w:rPr>
        <w:t>The Multilingual Turn: Implications for SLA, TESOL, and Bilingual Education</w:t>
      </w:r>
      <w:r>
        <w:t>; S. May, Ed; Routledge: London, UK. 2014, pp. 54–77.</w:t>
      </w:r>
    </w:p>
    <w:p w:rsidR="000F351E" w:rsidRDefault="000F351E" w:rsidP="000F351E">
      <w:pPr>
        <w:pStyle w:val="MDPI71References"/>
        <w:jc w:val="left"/>
      </w:pPr>
      <w:r>
        <w:lastRenderedPageBreak/>
        <w:t xml:space="preserve">Blommaert, J. Challenging the politics of knowledge, continued. </w:t>
      </w:r>
      <w:r w:rsidRPr="00501982">
        <w:t xml:space="preserve">Available online: </w:t>
      </w:r>
      <w:r>
        <w:t>https://www.diggitmagazine.com/column/challenging-politics-knowledge-continued (accessed 17 December 2018)</w:t>
      </w:r>
      <w:r w:rsidR="007D07A7">
        <w:t>.</w:t>
      </w:r>
    </w:p>
    <w:p w:rsidR="000F351E" w:rsidRDefault="000F351E" w:rsidP="000F351E">
      <w:pPr>
        <w:pStyle w:val="MDPI71References"/>
        <w:jc w:val="left"/>
      </w:pPr>
      <w:r>
        <w:t xml:space="preserve">Bourdieu, P. </w:t>
      </w:r>
      <w:r w:rsidRPr="00980AE5">
        <w:rPr>
          <w:i/>
        </w:rPr>
        <w:t>Sociology in question.</w:t>
      </w:r>
      <w:r>
        <w:t xml:space="preserve"> Sage: London, UK, 1993. </w:t>
      </w:r>
    </w:p>
    <w:p w:rsidR="000F351E" w:rsidRDefault="000F351E" w:rsidP="000F351E">
      <w:pPr>
        <w:pStyle w:val="MDPI71References"/>
        <w:jc w:val="left"/>
      </w:pPr>
      <w:r>
        <w:t xml:space="preserve">Burgess, S. Centre–Periphery Relations in the Spanish Context: Temporal and Cross-Disciplinary Variation. In </w:t>
      </w:r>
      <w:r w:rsidRPr="007C1768">
        <w:rPr>
          <w:i/>
        </w:rPr>
        <w:t>The Semiperiphery of Academic Writing</w:t>
      </w:r>
      <w:r>
        <w:rPr>
          <w:i/>
        </w:rPr>
        <w:t xml:space="preserve">, </w:t>
      </w:r>
      <w:r>
        <w:t>K. Bennett, Ed.</w:t>
      </w:r>
      <w:r w:rsidRPr="007C1768">
        <w:t>,</w:t>
      </w:r>
      <w:r>
        <w:t xml:space="preserve"> Palgrave Macmillan: London, UK,  2014, pp. 93–104.</w:t>
      </w:r>
    </w:p>
    <w:p w:rsidR="000F351E" w:rsidRDefault="000F351E" w:rsidP="000F351E">
      <w:pPr>
        <w:pStyle w:val="MDPI71References"/>
      </w:pPr>
      <w:r>
        <w:t xml:space="preserve">Cameron, D. </w:t>
      </w:r>
      <w:r w:rsidRPr="003D26EB">
        <w:t>Language, lies and statistics</w:t>
      </w:r>
      <w:r>
        <w:t xml:space="preserve">. </w:t>
      </w:r>
      <w:r w:rsidRPr="003D26EB">
        <w:rPr>
          <w:i/>
        </w:rPr>
        <w:t>Language on the Move</w:t>
      </w:r>
      <w:r>
        <w:t xml:space="preserve">. </w:t>
      </w:r>
      <w:r w:rsidRPr="003D26EB">
        <w:t>2013</w:t>
      </w:r>
      <w:r>
        <w:t xml:space="preserve">. </w:t>
      </w:r>
      <w:r w:rsidRPr="00501982">
        <w:t xml:space="preserve">Available online: </w:t>
      </w:r>
      <w:r w:rsidRPr="003D26EB">
        <w:t xml:space="preserve">http://www.languageonthemove.com/language-lies-and-statistics/ </w:t>
      </w:r>
      <w:r w:rsidRPr="00501982">
        <w:t xml:space="preserve">(accessed on </w:t>
      </w:r>
      <w:r>
        <w:t>17</w:t>
      </w:r>
      <w:r w:rsidRPr="00501982">
        <w:t xml:space="preserve"> </w:t>
      </w:r>
      <w:r>
        <w:t>December</w:t>
      </w:r>
      <w:r w:rsidRPr="00501982">
        <w:t xml:space="preserve"> </w:t>
      </w:r>
      <w:r>
        <w:t>2018</w:t>
      </w:r>
      <w:r w:rsidRPr="00501982">
        <w:t>).</w:t>
      </w:r>
    </w:p>
    <w:p w:rsidR="000F351E" w:rsidRDefault="000F351E" w:rsidP="000F351E">
      <w:pPr>
        <w:pStyle w:val="MDPI71References"/>
      </w:pPr>
      <w:r>
        <w:t xml:space="preserve">Cameron, D. </w:t>
      </w:r>
      <w:r w:rsidRPr="003D26EB">
        <w:t>The one, the many and the Other</w:t>
      </w:r>
      <w:r>
        <w:t xml:space="preserve">. Presentation at the conference Multilingual, 2.0. </w:t>
      </w:r>
      <w:r w:rsidRPr="003D26EB">
        <w:t>201</w:t>
      </w:r>
      <w:r>
        <w:t xml:space="preserve">2b. </w:t>
      </w:r>
      <w:r w:rsidRPr="00501982">
        <w:t xml:space="preserve">Available online: </w:t>
      </w:r>
      <w:r w:rsidRPr="003D26EB">
        <w:t xml:space="preserve">https://www.youtube.com/watch?v=wbz5KPQrUAs </w:t>
      </w:r>
      <w:r w:rsidRPr="00501982">
        <w:t xml:space="preserve">(accessed on </w:t>
      </w:r>
      <w:r>
        <w:t>17</w:t>
      </w:r>
      <w:r w:rsidRPr="00501982">
        <w:t xml:space="preserve"> </w:t>
      </w:r>
      <w:r>
        <w:t>December</w:t>
      </w:r>
      <w:r w:rsidRPr="00501982">
        <w:t xml:space="preserve"> </w:t>
      </w:r>
      <w:r>
        <w:t>2018</w:t>
      </w:r>
      <w:r w:rsidRPr="00501982">
        <w:t>).</w:t>
      </w:r>
    </w:p>
    <w:p w:rsidR="000F351E" w:rsidRDefault="000F351E" w:rsidP="000F351E">
      <w:pPr>
        <w:pStyle w:val="MDPI71References"/>
      </w:pPr>
      <w:r>
        <w:t xml:space="preserve">Cameron, D. </w:t>
      </w:r>
      <w:r w:rsidRPr="00B60DE3">
        <w:rPr>
          <w:i/>
        </w:rPr>
        <w:t>Verbal hygiene</w:t>
      </w:r>
      <w:r w:rsidRPr="00745335">
        <w:t xml:space="preserve">, </w:t>
      </w:r>
      <w:r>
        <w:t>2</w:t>
      </w:r>
      <w:r>
        <w:rPr>
          <w:vertAlign w:val="superscript"/>
        </w:rPr>
        <w:t xml:space="preserve">nd </w:t>
      </w:r>
      <w:r>
        <w:t xml:space="preserve">ed.; Routledge: London, UK and New York, US, 2012a.  </w:t>
      </w:r>
    </w:p>
    <w:p w:rsidR="000F351E" w:rsidRDefault="000F351E" w:rsidP="000F351E">
      <w:pPr>
        <w:pStyle w:val="MDPI71References"/>
      </w:pPr>
      <w:r>
        <w:t xml:space="preserve">Cameron, D. </w:t>
      </w:r>
      <w:r w:rsidRPr="00B60DE3">
        <w:rPr>
          <w:i/>
        </w:rPr>
        <w:t>Verbal hygiene: The politics of language</w:t>
      </w:r>
      <w:r w:rsidRPr="00745335">
        <w:t xml:space="preserve">, </w:t>
      </w:r>
      <w:r>
        <w:t>1</w:t>
      </w:r>
      <w:r>
        <w:rPr>
          <w:vertAlign w:val="superscript"/>
        </w:rPr>
        <w:t xml:space="preserve">st </w:t>
      </w:r>
      <w:r>
        <w:t xml:space="preserve">ed.; Routledge: London, UK and New York, US, 1995.  </w:t>
      </w:r>
    </w:p>
    <w:p w:rsidR="000F351E" w:rsidRPr="00B11432" w:rsidRDefault="000F351E" w:rsidP="000F351E">
      <w:pPr>
        <w:pStyle w:val="MDPI71References"/>
        <w:jc w:val="left"/>
        <w:rPr>
          <w:i/>
        </w:rPr>
      </w:pPr>
      <w:r>
        <w:t xml:space="preserve">Canagarajah, S. Materializing ‘Competence’: Perspectives From International STEM Scholars. </w:t>
      </w:r>
      <w:r w:rsidRPr="00B11432">
        <w:rPr>
          <w:i/>
        </w:rPr>
        <w:t>The Modern Language Journal</w:t>
      </w:r>
      <w:r>
        <w:t xml:space="preserve"> </w:t>
      </w:r>
      <w:r w:rsidRPr="00B11432">
        <w:rPr>
          <w:b/>
        </w:rPr>
        <w:t>2018</w:t>
      </w:r>
      <w:r>
        <w:t xml:space="preserve">, 102, 2, </w:t>
      </w:r>
      <w:r w:rsidRPr="00B11432">
        <w:t>268</w:t>
      </w:r>
      <w:r>
        <w:t>–</w:t>
      </w:r>
      <w:r w:rsidRPr="00B11432">
        <w:t>291</w:t>
      </w:r>
      <w:r>
        <w:t>.</w:t>
      </w:r>
    </w:p>
    <w:p w:rsidR="000F351E" w:rsidRDefault="000F351E" w:rsidP="000F351E">
      <w:pPr>
        <w:pStyle w:val="MDPI71References"/>
      </w:pPr>
      <w:r>
        <w:t>Canagarajah, S. Translingual Practice as Spatial Repertoires: Expanding the Paradigm beyond Structuralist Orientations.</w:t>
      </w:r>
      <w:r w:rsidRPr="00903E65">
        <w:t xml:space="preserve"> </w:t>
      </w:r>
      <w:r w:rsidRPr="00903E65">
        <w:rPr>
          <w:i/>
        </w:rPr>
        <w:t>Applied Linguistics</w:t>
      </w:r>
      <w:r>
        <w:t xml:space="preserve"> </w:t>
      </w:r>
      <w:r w:rsidRPr="00903E65">
        <w:rPr>
          <w:b/>
        </w:rPr>
        <w:t>2017</w:t>
      </w:r>
      <w:r w:rsidRPr="00B11432">
        <w:t>, 9, 1</w:t>
      </w:r>
      <w:r>
        <w:t>, 1–25.</w:t>
      </w:r>
    </w:p>
    <w:p w:rsidR="000F351E" w:rsidRPr="00FE1396" w:rsidRDefault="000F351E" w:rsidP="000F351E">
      <w:pPr>
        <w:pStyle w:val="MDPI71References"/>
        <w:jc w:val="left"/>
        <w:rPr>
          <w:i/>
        </w:rPr>
      </w:pPr>
      <w:r w:rsidRPr="007B4D17">
        <w:t xml:space="preserve">Cooke, D. Ties that constrict: English as a Trojan horse. In </w:t>
      </w:r>
      <w:r w:rsidRPr="007B4D17">
        <w:rPr>
          <w:i/>
        </w:rPr>
        <w:t>Awarenesses: Proceeding of the 1987 TESL Ontario Conference</w:t>
      </w:r>
      <w:r>
        <w:t xml:space="preserve">; </w:t>
      </w:r>
      <w:r w:rsidRPr="007B4D17">
        <w:t>A. Cumming, A. Gagne and J. Dawson</w:t>
      </w:r>
      <w:r>
        <w:t>,</w:t>
      </w:r>
      <w:r w:rsidRPr="007B4D17">
        <w:t xml:space="preserve"> </w:t>
      </w:r>
      <w:r>
        <w:t>Eds</w:t>
      </w:r>
      <w:r w:rsidRPr="007B4D17">
        <w:t>.</w:t>
      </w:r>
      <w:r>
        <w:t>;</w:t>
      </w:r>
      <w:r w:rsidRPr="007B4D17">
        <w:t xml:space="preserve"> TESL Ontario</w:t>
      </w:r>
      <w:r>
        <w:t>: Toronto, Canada, 1988; pp.</w:t>
      </w:r>
      <w:r w:rsidRPr="007B4D17">
        <w:t xml:space="preserve"> 56</w:t>
      </w:r>
      <w:r>
        <w:t>–</w:t>
      </w:r>
      <w:r w:rsidRPr="007B4D17">
        <w:t>62.</w:t>
      </w:r>
    </w:p>
    <w:p w:rsidR="000F351E" w:rsidRDefault="000F351E" w:rsidP="000F351E">
      <w:pPr>
        <w:pStyle w:val="MDPI71References"/>
      </w:pPr>
      <w:r w:rsidRPr="005246B6">
        <w:t>Davila</w:t>
      </w:r>
      <w:r>
        <w:t xml:space="preserve">, B. The Inevitability of ‘Standard’ English: Discursive Constructions of Standard Language Ideologies. </w:t>
      </w:r>
      <w:r w:rsidRPr="005246B6">
        <w:rPr>
          <w:i/>
        </w:rPr>
        <w:t>Written Communication</w:t>
      </w:r>
      <w:r>
        <w:t xml:space="preserve">, </w:t>
      </w:r>
      <w:r w:rsidRPr="005246B6">
        <w:rPr>
          <w:b/>
        </w:rPr>
        <w:t>2016</w:t>
      </w:r>
      <w:r>
        <w:t>, 33, 2, 127–148.</w:t>
      </w:r>
      <w:r w:rsidRPr="005246B6">
        <w:t xml:space="preserve"> </w:t>
      </w:r>
    </w:p>
    <w:p w:rsidR="000F351E" w:rsidRDefault="000F351E" w:rsidP="000F351E">
      <w:pPr>
        <w:pStyle w:val="MDPI71References"/>
      </w:pPr>
      <w:r w:rsidRPr="00903E65">
        <w:t>Denzin, N.K. The reflexive interview and a performative social science</w:t>
      </w:r>
      <w:r>
        <w:t>.</w:t>
      </w:r>
      <w:r w:rsidRPr="00903E65">
        <w:t xml:space="preserve"> </w:t>
      </w:r>
      <w:r w:rsidRPr="00903E65">
        <w:rPr>
          <w:i/>
        </w:rPr>
        <w:t>Qualitative Research</w:t>
      </w:r>
      <w:r>
        <w:t xml:space="preserve"> </w:t>
      </w:r>
      <w:r w:rsidRPr="00903E65">
        <w:rPr>
          <w:b/>
        </w:rPr>
        <w:t>2001</w:t>
      </w:r>
      <w:r w:rsidRPr="00903E65">
        <w:t>, 1</w:t>
      </w:r>
      <w:r>
        <w:t xml:space="preserve">, </w:t>
      </w:r>
      <w:r w:rsidRPr="00903E65">
        <w:t>1, 23</w:t>
      </w:r>
      <w:r>
        <w:t>–</w:t>
      </w:r>
      <w:r w:rsidRPr="00903E65">
        <w:t xml:space="preserve">46. </w:t>
      </w:r>
    </w:p>
    <w:p w:rsidR="000F351E" w:rsidRDefault="000F351E" w:rsidP="000F351E">
      <w:pPr>
        <w:pStyle w:val="MDPI71References"/>
      </w:pPr>
      <w:r>
        <w:t xml:space="preserve">Duchêne, A. and M. Heller. </w:t>
      </w:r>
      <w:r w:rsidRPr="003663D2">
        <w:rPr>
          <w:i/>
        </w:rPr>
        <w:t xml:space="preserve">Discourses of </w:t>
      </w:r>
      <w:r>
        <w:rPr>
          <w:i/>
        </w:rPr>
        <w:t>E</w:t>
      </w:r>
      <w:r w:rsidRPr="003663D2">
        <w:rPr>
          <w:i/>
        </w:rPr>
        <w:t>ndangerment</w:t>
      </w:r>
      <w:r>
        <w:t xml:space="preserve">. Continuum: London, UK, </w:t>
      </w:r>
      <w:r w:rsidRPr="003663D2">
        <w:rPr>
          <w:b/>
        </w:rPr>
        <w:t>2008</w:t>
      </w:r>
      <w:r>
        <w:t>.</w:t>
      </w:r>
    </w:p>
    <w:p w:rsidR="000F351E" w:rsidRDefault="000F351E" w:rsidP="000F351E">
      <w:pPr>
        <w:pStyle w:val="MDPI71References"/>
      </w:pPr>
      <w:r>
        <w:t xml:space="preserve">Ferguson, G., C. </w:t>
      </w:r>
      <w:r w:rsidRPr="002D1420">
        <w:t>Pérez-Llantada</w:t>
      </w:r>
      <w:r>
        <w:t xml:space="preserve"> and A.R. Plo. English as an international language of scientific publication: a study of attitudes. </w:t>
      </w:r>
      <w:r w:rsidRPr="00310614">
        <w:rPr>
          <w:i/>
        </w:rPr>
        <w:t>World Englishes</w:t>
      </w:r>
      <w:r>
        <w:t xml:space="preserve"> </w:t>
      </w:r>
      <w:r w:rsidRPr="00310614">
        <w:rPr>
          <w:b/>
        </w:rPr>
        <w:t>2011</w:t>
      </w:r>
      <w:r>
        <w:t>, 30, 1, 41–59.</w:t>
      </w:r>
    </w:p>
    <w:p w:rsidR="007D07A7" w:rsidRDefault="007D07A7" w:rsidP="007D07A7">
      <w:pPr>
        <w:pStyle w:val="MDPI71References"/>
        <w:jc w:val="left"/>
      </w:pPr>
      <w:r>
        <w:t xml:space="preserve">Habibie, P. and K. Hyland. </w:t>
      </w:r>
      <w:r w:rsidRPr="007D07A7">
        <w:rPr>
          <w:i/>
        </w:rPr>
        <w:t>Novice Writers and Scholarly Publication: Authors, Mentors, Gatekeepers</w:t>
      </w:r>
      <w:r>
        <w:t>.  Palgrave Macmillan: Cham, Switzerland,</w:t>
      </w:r>
      <w:r w:rsidRPr="007D07A7">
        <w:t xml:space="preserve"> 2019.</w:t>
      </w:r>
    </w:p>
    <w:p w:rsidR="000F351E" w:rsidRDefault="000F351E" w:rsidP="007D07A7">
      <w:pPr>
        <w:pStyle w:val="MDPI71References"/>
      </w:pPr>
      <w:r>
        <w:t xml:space="preserve">Hyland, K. Academic publishing and the myth of linguistic injustice. </w:t>
      </w:r>
      <w:r w:rsidRPr="00023E0A">
        <w:rPr>
          <w:i/>
        </w:rPr>
        <w:t>Journal of Second Language Writing</w:t>
      </w:r>
      <w:r>
        <w:t xml:space="preserve"> </w:t>
      </w:r>
      <w:r w:rsidRPr="000814FA">
        <w:rPr>
          <w:b/>
        </w:rPr>
        <w:t>2016</w:t>
      </w:r>
      <w:r>
        <w:rPr>
          <w:b/>
        </w:rPr>
        <w:t>a</w:t>
      </w:r>
      <w:r>
        <w:t xml:space="preserve">, </w:t>
      </w:r>
      <w:r w:rsidRPr="000814FA">
        <w:rPr>
          <w:i/>
        </w:rPr>
        <w:t>31</w:t>
      </w:r>
      <w:r>
        <w:t>, 58-69.</w:t>
      </w:r>
    </w:p>
    <w:p w:rsidR="000F351E" w:rsidRDefault="000F351E" w:rsidP="000F351E">
      <w:pPr>
        <w:pStyle w:val="MDPI71References"/>
      </w:pPr>
      <w:r>
        <w:t xml:space="preserve">Hyland, K. Language myths and publishing mysteries: A response to Politzer-Ahles et al. </w:t>
      </w:r>
      <w:r w:rsidRPr="00023E0A">
        <w:rPr>
          <w:i/>
        </w:rPr>
        <w:t>Journal of Second Language Writing</w:t>
      </w:r>
      <w:r w:rsidRPr="00023E0A">
        <w:t xml:space="preserve"> </w:t>
      </w:r>
      <w:r w:rsidRPr="000814FA">
        <w:rPr>
          <w:b/>
        </w:rPr>
        <w:t>2016b</w:t>
      </w:r>
      <w:r>
        <w:t>,</w:t>
      </w:r>
      <w:r w:rsidRPr="00023E0A">
        <w:t xml:space="preserve"> </w:t>
      </w:r>
      <w:r w:rsidRPr="000814FA">
        <w:rPr>
          <w:i/>
        </w:rPr>
        <w:t>34</w:t>
      </w:r>
      <w:r>
        <w:t xml:space="preserve">, </w:t>
      </w:r>
      <w:r w:rsidRPr="00023E0A">
        <w:t>9–11</w:t>
      </w:r>
      <w:r>
        <w:t>.</w:t>
      </w:r>
    </w:p>
    <w:p w:rsidR="000F351E" w:rsidRDefault="000F351E" w:rsidP="000F351E">
      <w:pPr>
        <w:pStyle w:val="MDPI71References"/>
      </w:pPr>
      <w:r>
        <w:t xml:space="preserve">Hynninen, N. and M. Kuteeva. “Good” and “acceptable” English in L2 research writing: Ideals and realities in history and computer science. </w:t>
      </w:r>
      <w:r w:rsidRPr="00903E65">
        <w:rPr>
          <w:i/>
        </w:rPr>
        <w:t>Journal of English for Academic Purposes</w:t>
      </w:r>
      <w:r w:rsidRPr="00903E65">
        <w:t xml:space="preserve"> </w:t>
      </w:r>
      <w:r w:rsidRPr="00903E65">
        <w:rPr>
          <w:b/>
        </w:rPr>
        <w:t xml:space="preserve">2017, </w:t>
      </w:r>
      <w:r w:rsidRPr="00903E65">
        <w:t>30</w:t>
      </w:r>
      <w:r>
        <w:t>,</w:t>
      </w:r>
      <w:r w:rsidRPr="00903E65">
        <w:t xml:space="preserve"> 53</w:t>
      </w:r>
      <w:r>
        <w:t>–</w:t>
      </w:r>
      <w:r w:rsidRPr="00903E65">
        <w:t>65</w:t>
      </w:r>
      <w:r>
        <w:t>.</w:t>
      </w:r>
    </w:p>
    <w:p w:rsidR="000F351E" w:rsidRDefault="000F351E" w:rsidP="000F351E">
      <w:pPr>
        <w:pStyle w:val="MDPI71References"/>
      </w:pPr>
      <w:r>
        <w:t>Kuteeva</w:t>
      </w:r>
      <w:r w:rsidRPr="00501982">
        <w:t xml:space="preserve">, </w:t>
      </w:r>
      <w:r>
        <w:t>M</w:t>
      </w:r>
      <w:r w:rsidRPr="00501982">
        <w:t xml:space="preserve">. </w:t>
      </w:r>
      <w:r>
        <w:t>Academic English as ‘nobody’s land’: The research and publication practices of Swedish academics</w:t>
      </w:r>
      <w:r w:rsidRPr="00501982">
        <w:t xml:space="preserve">. In </w:t>
      </w:r>
      <w:r w:rsidRPr="000814FA">
        <w:rPr>
          <w:i/>
        </w:rPr>
        <w:t>English as a scientific and research l</w:t>
      </w:r>
      <w:r>
        <w:rPr>
          <w:i/>
        </w:rPr>
        <w:t>anguage: Debates and discourses</w:t>
      </w:r>
      <w:r w:rsidRPr="00501982">
        <w:t xml:space="preserve">; </w:t>
      </w:r>
      <w:r>
        <w:t xml:space="preserve">R. </w:t>
      </w:r>
      <w:r w:rsidRPr="000814FA">
        <w:t>Pló Alastrué</w:t>
      </w:r>
      <w:r>
        <w:t xml:space="preserve"> and C. </w:t>
      </w:r>
      <w:r w:rsidRPr="000814FA">
        <w:t>Pérez-Llantada</w:t>
      </w:r>
      <w:r w:rsidRPr="00501982">
        <w:t xml:space="preserve">, Eds.; </w:t>
      </w:r>
      <w:r w:rsidRPr="000814FA">
        <w:t>Mouton de Gruyter</w:t>
      </w:r>
      <w:r w:rsidRPr="00501982">
        <w:t xml:space="preserve">: </w:t>
      </w:r>
      <w:r>
        <w:t>Berlin</w:t>
      </w:r>
      <w:r w:rsidRPr="00501982">
        <w:t xml:space="preserve">, </w:t>
      </w:r>
      <w:r>
        <w:t>Germany</w:t>
      </w:r>
      <w:r w:rsidRPr="00501982">
        <w:t>, 20</w:t>
      </w:r>
      <w:r>
        <w:t>15</w:t>
      </w:r>
      <w:r w:rsidRPr="00501982">
        <w:t xml:space="preserve">; pp. </w:t>
      </w:r>
      <w:r>
        <w:t>261</w:t>
      </w:r>
      <w:r w:rsidRPr="00501982">
        <w:t>–</w:t>
      </w:r>
      <w:r>
        <w:t>280.</w:t>
      </w:r>
    </w:p>
    <w:p w:rsidR="000F351E" w:rsidRPr="0046679D" w:rsidRDefault="000F351E" w:rsidP="000F351E">
      <w:pPr>
        <w:pStyle w:val="MDPI71References"/>
        <w:rPr>
          <w:lang w:val="en-GB"/>
        </w:rPr>
      </w:pPr>
      <w:r w:rsidRPr="00745335">
        <w:rPr>
          <w:lang w:val="sv-SE"/>
        </w:rPr>
        <w:t xml:space="preserve">Kuteeva, M. and A. Mauranen. </w:t>
      </w:r>
      <w:r w:rsidRPr="0046679D">
        <w:rPr>
          <w:lang w:val="en-GB"/>
        </w:rPr>
        <w:t>Writing for publication in multilingual contexts: An introduction to the</w:t>
      </w:r>
    </w:p>
    <w:p w:rsidR="000F351E" w:rsidRPr="0046679D" w:rsidRDefault="000F351E" w:rsidP="000F351E">
      <w:pPr>
        <w:pStyle w:val="MDPI71References"/>
        <w:numPr>
          <w:ilvl w:val="0"/>
          <w:numId w:val="0"/>
        </w:numPr>
        <w:ind w:left="425"/>
        <w:rPr>
          <w:lang w:val="en-GB"/>
        </w:rPr>
      </w:pPr>
      <w:r w:rsidRPr="0046679D">
        <w:rPr>
          <w:lang w:val="en-GB"/>
        </w:rPr>
        <w:t xml:space="preserve">special issue. </w:t>
      </w:r>
      <w:r w:rsidRPr="0046679D">
        <w:rPr>
          <w:i/>
          <w:lang w:val="en-GB"/>
        </w:rPr>
        <w:t>Journal of English for Academic Purposes</w:t>
      </w:r>
      <w:r>
        <w:rPr>
          <w:lang w:val="en-GB"/>
        </w:rPr>
        <w:t xml:space="preserve"> </w:t>
      </w:r>
      <w:r w:rsidRPr="0046679D">
        <w:rPr>
          <w:b/>
          <w:lang w:val="en-GB"/>
        </w:rPr>
        <w:t>201</w:t>
      </w:r>
      <w:r>
        <w:rPr>
          <w:b/>
          <w:lang w:val="en-GB"/>
        </w:rPr>
        <w:t>3</w:t>
      </w:r>
      <w:r w:rsidRPr="0046679D">
        <w:rPr>
          <w:lang w:val="en-GB"/>
        </w:rPr>
        <w:t>, 13, 1</w:t>
      </w:r>
      <w:r>
        <w:rPr>
          <w:lang w:val="en-GB"/>
        </w:rPr>
        <w:t>–</w:t>
      </w:r>
      <w:r w:rsidRPr="0046679D">
        <w:rPr>
          <w:lang w:val="en-GB"/>
        </w:rPr>
        <w:t>4.</w:t>
      </w:r>
    </w:p>
    <w:p w:rsidR="000F351E" w:rsidRDefault="000F351E" w:rsidP="000F351E">
      <w:pPr>
        <w:pStyle w:val="MDPI71References"/>
      </w:pPr>
      <w:r>
        <w:t xml:space="preserve">Pérez-Llantada, C. Bringing into focus multilingual realities: Faculty perceptions of academic languages on campus. </w:t>
      </w:r>
      <w:r w:rsidRPr="00903E65">
        <w:rPr>
          <w:i/>
        </w:rPr>
        <w:t>Lingua</w:t>
      </w:r>
      <w:r>
        <w:t xml:space="preserve"> </w:t>
      </w:r>
      <w:r w:rsidRPr="00903E65">
        <w:rPr>
          <w:b/>
        </w:rPr>
        <w:t xml:space="preserve">2018, </w:t>
      </w:r>
      <w:r w:rsidRPr="00903E65">
        <w:t>212</w:t>
      </w:r>
      <w:r>
        <w:t>, 30-43.</w:t>
      </w:r>
    </w:p>
    <w:p w:rsidR="000F351E" w:rsidRDefault="000F351E" w:rsidP="000F351E">
      <w:pPr>
        <w:pStyle w:val="MDPI71References"/>
      </w:pPr>
      <w:r>
        <w:t xml:space="preserve">Lillis, T. and M. J. Curry. The politics of English, language and uptake: The case of international academic journal article reviews, </w:t>
      </w:r>
      <w:r w:rsidRPr="00310614">
        <w:rPr>
          <w:i/>
        </w:rPr>
        <w:t>AILA Review</w:t>
      </w:r>
      <w:r>
        <w:t xml:space="preserve"> </w:t>
      </w:r>
      <w:r w:rsidRPr="00310614">
        <w:rPr>
          <w:b/>
        </w:rPr>
        <w:t>2015</w:t>
      </w:r>
      <w:r w:rsidRPr="00310614">
        <w:t>, 127</w:t>
      </w:r>
      <w:r>
        <w:t>–150.</w:t>
      </w:r>
    </w:p>
    <w:p w:rsidR="009D75DB" w:rsidRDefault="009D75DB" w:rsidP="009D75DB">
      <w:pPr>
        <w:pStyle w:val="MDPI71References"/>
      </w:pPr>
      <w:r w:rsidRPr="009D75DB">
        <w:t>Lillis, T</w:t>
      </w:r>
      <w:r w:rsidR="003B4869">
        <w:t>.</w:t>
      </w:r>
      <w:r w:rsidRPr="009D75DB">
        <w:t xml:space="preserve"> and </w:t>
      </w:r>
      <w:r w:rsidR="003B4869">
        <w:t xml:space="preserve">M.J. </w:t>
      </w:r>
      <w:r w:rsidRPr="009D75DB">
        <w:t>Curry</w:t>
      </w:r>
      <w:r w:rsidR="003B4869">
        <w:t>.</w:t>
      </w:r>
      <w:r w:rsidRPr="009D75DB">
        <w:t xml:space="preserve"> </w:t>
      </w:r>
      <w:r w:rsidRPr="003B4869">
        <w:rPr>
          <w:i/>
        </w:rPr>
        <w:t>Academic Writing in a Global Context: The politics and practices of publishing in English</w:t>
      </w:r>
      <w:r w:rsidRPr="009D75DB">
        <w:t xml:space="preserve">. </w:t>
      </w:r>
      <w:r w:rsidR="003B4869">
        <w:t xml:space="preserve">Routledge: Abingdon, UK, 2010. </w:t>
      </w:r>
    </w:p>
    <w:p w:rsidR="003B4869" w:rsidRDefault="003B4869" w:rsidP="003B4869">
      <w:pPr>
        <w:pStyle w:val="MDPI71References"/>
      </w:pPr>
      <w:r>
        <w:t xml:space="preserve">Lillis, T. and M. J. Curry. </w:t>
      </w:r>
      <w:r w:rsidRPr="00C81192">
        <w:t xml:space="preserve">Professional Academic Writing by Multilingual Scholars: Interactions With Literacy Brokers in the Production of English-Medium Texts. </w:t>
      </w:r>
      <w:r w:rsidRPr="00C81192">
        <w:rPr>
          <w:i/>
        </w:rPr>
        <w:t>Written Communication</w:t>
      </w:r>
      <w:r w:rsidRPr="00C81192">
        <w:t>,</w:t>
      </w:r>
      <w:r>
        <w:t xml:space="preserve"> </w:t>
      </w:r>
      <w:r w:rsidRPr="00C81192">
        <w:rPr>
          <w:b/>
        </w:rPr>
        <w:t>2006</w:t>
      </w:r>
      <w:r w:rsidRPr="00C81192">
        <w:t>, 23</w:t>
      </w:r>
      <w:r>
        <w:t>,</w:t>
      </w:r>
      <w:r w:rsidRPr="00C81192">
        <w:t xml:space="preserve">1, 3–35. </w:t>
      </w:r>
    </w:p>
    <w:p w:rsidR="003B4869" w:rsidRDefault="003B4869" w:rsidP="003B4869">
      <w:pPr>
        <w:pStyle w:val="MDPI71References"/>
        <w:numPr>
          <w:ilvl w:val="0"/>
          <w:numId w:val="0"/>
        </w:numPr>
        <w:ind w:left="425"/>
      </w:pPr>
      <w:r>
        <w:t>Interactions With Literacy Brokers in the Production of English-Medium Texts.</w:t>
      </w:r>
    </w:p>
    <w:p w:rsidR="000F351E" w:rsidRDefault="000F351E" w:rsidP="009D75DB">
      <w:pPr>
        <w:pStyle w:val="MDPI71References"/>
      </w:pPr>
      <w:r>
        <w:t xml:space="preserve">O’Neil, D. English as the lingua franca of international publishing. </w:t>
      </w:r>
      <w:r w:rsidRPr="00FE1396">
        <w:rPr>
          <w:i/>
        </w:rPr>
        <w:t>World Englishes</w:t>
      </w:r>
      <w:r w:rsidRPr="00FE1396">
        <w:t xml:space="preserve"> </w:t>
      </w:r>
      <w:r w:rsidRPr="00FE1396">
        <w:rPr>
          <w:b/>
        </w:rPr>
        <w:t>2018</w:t>
      </w:r>
      <w:r w:rsidRPr="00C81192">
        <w:t>,</w:t>
      </w:r>
      <w:r>
        <w:t xml:space="preserve"> </w:t>
      </w:r>
      <w:r w:rsidRPr="00FE1396">
        <w:t>37</w:t>
      </w:r>
      <w:r>
        <w:t xml:space="preserve">, </w:t>
      </w:r>
      <w:r w:rsidRPr="00FE1396">
        <w:t>146–165.</w:t>
      </w:r>
    </w:p>
    <w:p w:rsidR="000F351E" w:rsidRDefault="000F351E" w:rsidP="000F351E">
      <w:pPr>
        <w:pStyle w:val="MDPI71References"/>
      </w:pPr>
      <w:r>
        <w:t xml:space="preserve">Pennycook, A. </w:t>
      </w:r>
      <w:r w:rsidRPr="00B11432">
        <w:rPr>
          <w:i/>
        </w:rPr>
        <w:t>Posthumanist Applied Linguistics</w:t>
      </w:r>
      <w:r>
        <w:t xml:space="preserve">. Routledge: Abingdon, UK and New York, US. </w:t>
      </w:r>
      <w:r w:rsidRPr="00B11432">
        <w:rPr>
          <w:b/>
        </w:rPr>
        <w:t>2018</w:t>
      </w:r>
      <w:r>
        <w:t>.</w:t>
      </w:r>
    </w:p>
    <w:p w:rsidR="000F351E" w:rsidRDefault="000F351E" w:rsidP="000F351E">
      <w:pPr>
        <w:pStyle w:val="MDPI71References"/>
      </w:pPr>
      <w:r>
        <w:t xml:space="preserve">Pennycook, Alastair. Posthumanist applied linguistics. </w:t>
      </w:r>
      <w:r w:rsidRPr="00B11432">
        <w:rPr>
          <w:i/>
        </w:rPr>
        <w:t>Applied Linguistics</w:t>
      </w:r>
      <w:r>
        <w:t xml:space="preserve"> </w:t>
      </w:r>
      <w:r w:rsidRPr="00B11432">
        <w:rPr>
          <w:b/>
        </w:rPr>
        <w:t>2016</w:t>
      </w:r>
      <w:r>
        <w:t>, 39, 4, 445–461.</w:t>
      </w:r>
    </w:p>
    <w:p w:rsidR="000F351E" w:rsidRPr="007B4D17" w:rsidRDefault="000F351E" w:rsidP="000F351E">
      <w:pPr>
        <w:pStyle w:val="MDPI71References"/>
      </w:pPr>
      <w:r w:rsidRPr="007B4D17">
        <w:t xml:space="preserve">Phillipson, R. </w:t>
      </w:r>
      <w:r w:rsidRPr="007B4D17">
        <w:rPr>
          <w:i/>
        </w:rPr>
        <w:t>Linguistic imperialism</w:t>
      </w:r>
      <w:r>
        <w:t>. Oxford University Press: Oxford, UK, 1992.</w:t>
      </w:r>
    </w:p>
    <w:p w:rsidR="000F351E" w:rsidRPr="007B4D17" w:rsidRDefault="000F351E" w:rsidP="000F351E">
      <w:pPr>
        <w:pStyle w:val="MDPI71References"/>
      </w:pPr>
      <w:r w:rsidRPr="007B4D17">
        <w:t xml:space="preserve">Phillipson, R. English, a cuckoo in the European higher education nest of languages? </w:t>
      </w:r>
      <w:r w:rsidRPr="007B4D17">
        <w:rPr>
          <w:i/>
        </w:rPr>
        <w:t>European Journal of English Studies</w:t>
      </w:r>
      <w:r>
        <w:rPr>
          <w:i/>
        </w:rPr>
        <w:t xml:space="preserve"> </w:t>
      </w:r>
      <w:r w:rsidRPr="00FE1396">
        <w:rPr>
          <w:b/>
        </w:rPr>
        <w:t>2006</w:t>
      </w:r>
      <w:r w:rsidRPr="00FE1396">
        <w:t>,</w:t>
      </w:r>
      <w:r w:rsidRPr="007B4D17">
        <w:t xml:space="preserve"> </w:t>
      </w:r>
      <w:r w:rsidRPr="00FE1396">
        <w:rPr>
          <w:i/>
        </w:rPr>
        <w:t>10</w:t>
      </w:r>
      <w:r>
        <w:t xml:space="preserve">, </w:t>
      </w:r>
      <w:r w:rsidRPr="007B4D17">
        <w:t>1</w:t>
      </w:r>
      <w:r>
        <w:t>,</w:t>
      </w:r>
      <w:r w:rsidRPr="007B4D17">
        <w:t xml:space="preserve"> 13</w:t>
      </w:r>
      <w:r>
        <w:t>–</w:t>
      </w:r>
      <w:r w:rsidRPr="007B4D17">
        <w:t>32.</w:t>
      </w:r>
    </w:p>
    <w:p w:rsidR="000F351E" w:rsidRDefault="000F351E" w:rsidP="000F351E">
      <w:pPr>
        <w:pStyle w:val="MDPI71References"/>
      </w:pPr>
      <w:r>
        <w:lastRenderedPageBreak/>
        <w:t xml:space="preserve">Politzer-Ahlesa, S., J. J. Holliday, T. Girolamod, </w:t>
      </w:r>
      <w:r w:rsidRPr="00023E0A">
        <w:t>M</w:t>
      </w:r>
      <w:r>
        <w:t>.</w:t>
      </w:r>
      <w:r w:rsidRPr="00023E0A">
        <w:t xml:space="preserve"> Sp</w:t>
      </w:r>
      <w:r>
        <w:t>ychalskae, and K. Harper Berkson</w:t>
      </w:r>
      <w:r w:rsidRPr="00023E0A">
        <w:t xml:space="preserve">. </w:t>
      </w:r>
      <w:r>
        <w:t xml:space="preserve">Is linguistic injustice a myth? A response to Hyland. </w:t>
      </w:r>
      <w:r w:rsidRPr="00023E0A">
        <w:rPr>
          <w:i/>
        </w:rPr>
        <w:t>Journal of Second Language Writing</w:t>
      </w:r>
      <w:r>
        <w:rPr>
          <w:i/>
        </w:rPr>
        <w:t xml:space="preserve"> </w:t>
      </w:r>
      <w:r w:rsidRPr="00745335">
        <w:rPr>
          <w:b/>
        </w:rPr>
        <w:t>2016</w:t>
      </w:r>
      <w:r>
        <w:t>,</w:t>
      </w:r>
      <w:r w:rsidRPr="00023E0A">
        <w:t xml:space="preserve"> </w:t>
      </w:r>
      <w:r w:rsidRPr="00745335">
        <w:rPr>
          <w:i/>
        </w:rPr>
        <w:t>34</w:t>
      </w:r>
      <w:r>
        <w:t>,</w:t>
      </w:r>
      <w:r w:rsidRPr="00023E0A">
        <w:t xml:space="preserve"> 3–8</w:t>
      </w:r>
      <w:r>
        <w:t>.</w:t>
      </w:r>
    </w:p>
    <w:p w:rsidR="000F351E" w:rsidRDefault="000F351E" w:rsidP="000F351E">
      <w:pPr>
        <w:pStyle w:val="MDPI71References"/>
      </w:pPr>
      <w:r>
        <w:t>Rapatahana, V. and P. Bunce, Eds</w:t>
      </w:r>
      <w:r w:rsidRPr="007B4D17">
        <w:t xml:space="preserve">. </w:t>
      </w:r>
      <w:r w:rsidRPr="00FE1396">
        <w:rPr>
          <w:i/>
        </w:rPr>
        <w:t>English language as Hydra: Its impacts on non-English language cultures</w:t>
      </w:r>
      <w:r w:rsidRPr="007B4D17">
        <w:t>. Multilingual Matters</w:t>
      </w:r>
      <w:r>
        <w:t>: Bristol, UK</w:t>
      </w:r>
      <w:r w:rsidRPr="007B4D17">
        <w:t>.</w:t>
      </w:r>
      <w:r>
        <w:t xml:space="preserve"> </w:t>
      </w:r>
      <w:r w:rsidRPr="007B4D17">
        <w:t>2012.</w:t>
      </w:r>
    </w:p>
    <w:p w:rsidR="000F351E" w:rsidRPr="00FE1396" w:rsidRDefault="000F351E" w:rsidP="000F351E">
      <w:pPr>
        <w:pStyle w:val="MDPI71References"/>
        <w:rPr>
          <w:rFonts w:eastAsia="SimSun"/>
        </w:rPr>
      </w:pPr>
      <w:r w:rsidRPr="00E409A7">
        <w:rPr>
          <w:rFonts w:eastAsia="SimSun"/>
        </w:rPr>
        <w:t>Salö</w:t>
      </w:r>
      <w:r>
        <w:rPr>
          <w:rFonts w:eastAsia="SimSun"/>
        </w:rPr>
        <w:t xml:space="preserve">, </w:t>
      </w:r>
      <w:r w:rsidRPr="00E409A7">
        <w:rPr>
          <w:rFonts w:eastAsia="SimSun"/>
        </w:rPr>
        <w:t>L</w:t>
      </w:r>
      <w:r>
        <w:rPr>
          <w:rFonts w:eastAsia="SimSun"/>
        </w:rPr>
        <w:t xml:space="preserve">. </w:t>
      </w:r>
      <w:r w:rsidRPr="00E409A7">
        <w:rPr>
          <w:rFonts w:eastAsia="SimSun"/>
        </w:rPr>
        <w:t>Sociolinguistics and epistemic reflexivity</w:t>
      </w:r>
      <w:r>
        <w:rPr>
          <w:rFonts w:eastAsia="SimSun"/>
        </w:rPr>
        <w:t xml:space="preserve">. </w:t>
      </w:r>
      <w:r w:rsidRPr="00FE1396">
        <w:rPr>
          <w:rFonts w:eastAsia="SimSun"/>
          <w:i/>
        </w:rPr>
        <w:t>Working Papers in Urban Language &amp; Literacies</w:t>
      </w:r>
      <w:r>
        <w:rPr>
          <w:rFonts w:eastAsia="SimSun"/>
        </w:rPr>
        <w:t xml:space="preserve"> </w:t>
      </w:r>
      <w:r w:rsidRPr="00FE1396">
        <w:rPr>
          <w:rFonts w:eastAsia="SimSun"/>
          <w:b/>
        </w:rPr>
        <w:t>2017</w:t>
      </w:r>
      <w:r>
        <w:rPr>
          <w:rFonts w:eastAsia="SimSun"/>
        </w:rPr>
        <w:t xml:space="preserve">, </w:t>
      </w:r>
      <w:r w:rsidRPr="00E409A7">
        <w:rPr>
          <w:rFonts w:eastAsia="SimSun"/>
        </w:rPr>
        <w:t>Paper</w:t>
      </w:r>
      <w:r>
        <w:rPr>
          <w:rFonts w:eastAsia="SimSun"/>
        </w:rPr>
        <w:t xml:space="preserve"> </w:t>
      </w:r>
      <w:r w:rsidRPr="00E409A7">
        <w:rPr>
          <w:rFonts w:eastAsia="SimSun"/>
        </w:rPr>
        <w:t>206</w:t>
      </w:r>
      <w:r>
        <w:rPr>
          <w:rFonts w:eastAsia="SimSun"/>
        </w:rPr>
        <w:t>, 2–20</w:t>
      </w:r>
      <w:r w:rsidRPr="00FE1396">
        <w:rPr>
          <w:rFonts w:eastAsia="SimSun"/>
        </w:rPr>
        <w:t>.</w:t>
      </w:r>
    </w:p>
    <w:p w:rsidR="000F351E" w:rsidRDefault="000F351E" w:rsidP="000F351E">
      <w:pPr>
        <w:pStyle w:val="MDPI71References"/>
      </w:pPr>
      <w:r>
        <w:t xml:space="preserve">Solin, A.M.A. and Hynninen, N.M. Regulating the language of research writing: Disciplinary and institutional mechanisms. </w:t>
      </w:r>
      <w:r w:rsidRPr="008E79DD">
        <w:rPr>
          <w:i/>
        </w:rPr>
        <w:t>Language and Education</w:t>
      </w:r>
      <w:r>
        <w:t xml:space="preserve"> </w:t>
      </w:r>
      <w:r w:rsidRPr="008E79DD">
        <w:rPr>
          <w:b/>
        </w:rPr>
        <w:t>2018</w:t>
      </w:r>
      <w:r>
        <w:rPr>
          <w:b/>
        </w:rPr>
        <w:t>,</w:t>
      </w:r>
      <w:r>
        <w:t xml:space="preserve"> 32, </w:t>
      </w:r>
      <w:r w:rsidRPr="001D415D">
        <w:t>6, x-x.</w:t>
      </w:r>
    </w:p>
    <w:p w:rsidR="000F351E" w:rsidRDefault="000F351E" w:rsidP="000F351E">
      <w:pPr>
        <w:pStyle w:val="MDPI71References"/>
      </w:pPr>
      <w:r w:rsidRPr="003663D2">
        <w:t>Makihara</w:t>
      </w:r>
      <w:r>
        <w:t>, M.</w:t>
      </w:r>
      <w:r w:rsidRPr="003663D2">
        <w:t xml:space="preserve"> </w:t>
      </w:r>
      <w:r>
        <w:t>and</w:t>
      </w:r>
      <w:r w:rsidRPr="003663D2">
        <w:t xml:space="preserve"> B</w:t>
      </w:r>
      <w:r>
        <w:t>.B. Schieffelin, Eds.</w:t>
      </w:r>
      <w:r w:rsidRPr="003663D2">
        <w:t xml:space="preserve">, </w:t>
      </w:r>
      <w:r w:rsidRPr="003663D2">
        <w:rPr>
          <w:i/>
        </w:rPr>
        <w:t>Consequences of contact: Language ideologies and sociocultural transformations in Pacific societies</w:t>
      </w:r>
      <w:r w:rsidRPr="003663D2">
        <w:t xml:space="preserve">. </w:t>
      </w:r>
      <w:r>
        <w:t xml:space="preserve">Oxford University Press: </w:t>
      </w:r>
      <w:r w:rsidRPr="003663D2">
        <w:t>Oxford</w:t>
      </w:r>
      <w:r>
        <w:t>, UK</w:t>
      </w:r>
      <w:r w:rsidRPr="003663D2">
        <w:t xml:space="preserve"> and New York</w:t>
      </w:r>
      <w:r>
        <w:t xml:space="preserve">, US, </w:t>
      </w:r>
      <w:r w:rsidRPr="003663D2">
        <w:rPr>
          <w:b/>
        </w:rPr>
        <w:t>2007</w:t>
      </w:r>
      <w:r>
        <w:t>.</w:t>
      </w:r>
    </w:p>
    <w:p w:rsidR="000F351E" w:rsidRDefault="000F351E" w:rsidP="000F351E">
      <w:pPr>
        <w:pStyle w:val="MDPI71References"/>
      </w:pPr>
      <w:r w:rsidRPr="007B4D17">
        <w:t>Skutnabb-Kangas</w:t>
      </w:r>
      <w:r>
        <w:t xml:space="preserve">, T. </w:t>
      </w:r>
      <w:r w:rsidRPr="007B4D17">
        <w:t xml:space="preserve">Linguistic diversity and biodiversity: The threat from killer languages. In </w:t>
      </w:r>
      <w:r w:rsidRPr="00FE1396">
        <w:rPr>
          <w:i/>
        </w:rPr>
        <w:t>The politics of English as a world language. New horizons in Postcolonial Cultural Studies</w:t>
      </w:r>
      <w:r w:rsidRPr="00FE1396">
        <w:t>;</w:t>
      </w:r>
      <w:r w:rsidRPr="00FE1396">
        <w:rPr>
          <w:i/>
        </w:rPr>
        <w:t xml:space="preserve"> </w:t>
      </w:r>
      <w:r>
        <w:t>C. Mair (E</w:t>
      </w:r>
      <w:r w:rsidRPr="007B4D17">
        <w:t>d.)</w:t>
      </w:r>
      <w:r>
        <w:t>. Rodopi: Amsterdam, the Netherlands,</w:t>
      </w:r>
      <w:r w:rsidRPr="007B4D17">
        <w:t xml:space="preserve"> </w:t>
      </w:r>
      <w:r>
        <w:t xml:space="preserve">2003; pp. </w:t>
      </w:r>
      <w:r w:rsidRPr="007B4D17">
        <w:t>31</w:t>
      </w:r>
      <w:r>
        <w:t>–</w:t>
      </w:r>
      <w:r w:rsidRPr="007B4D17">
        <w:t>52.</w:t>
      </w:r>
      <w:r>
        <w:t xml:space="preserve"> 2003</w:t>
      </w:r>
    </w:p>
    <w:p w:rsidR="00466D98" w:rsidRDefault="00466D98" w:rsidP="00466D98">
      <w:pPr>
        <w:pStyle w:val="MDPI71References"/>
      </w:pPr>
      <w:r w:rsidRPr="00466D98">
        <w:rPr>
          <w:lang w:val="en-GB"/>
        </w:rPr>
        <w:t>Skutnabb-Kangas, T. a</w:t>
      </w:r>
      <w:r>
        <w:rPr>
          <w:lang w:val="en-GB"/>
        </w:rPr>
        <w:t>nd</w:t>
      </w:r>
      <w:r w:rsidRPr="00466D98">
        <w:rPr>
          <w:lang w:val="en-GB"/>
        </w:rPr>
        <w:t xml:space="preserve"> </w:t>
      </w:r>
      <w:r>
        <w:rPr>
          <w:lang w:val="en-GB"/>
        </w:rPr>
        <w:t xml:space="preserve">R. </w:t>
      </w:r>
      <w:r w:rsidRPr="00466D98">
        <w:rPr>
          <w:lang w:val="en-GB"/>
        </w:rPr>
        <w:t xml:space="preserve">Phillipson, Robert. </w:t>
      </w:r>
      <w:r w:rsidRPr="00466D98">
        <w:rPr>
          <w:i/>
        </w:rPr>
        <w:t>Linguicide</w:t>
      </w:r>
      <w:r w:rsidRPr="00466D98">
        <w:t xml:space="preserve">. In </w:t>
      </w:r>
      <w:r w:rsidRPr="00466D98">
        <w:rPr>
          <w:i/>
        </w:rPr>
        <w:t>The Encyclopedia of Language and Linguistics</w:t>
      </w:r>
      <w:r>
        <w:t xml:space="preserve"> </w:t>
      </w:r>
      <w:r>
        <w:rPr>
          <w:lang w:val="en-GB"/>
        </w:rPr>
        <w:t xml:space="preserve"> </w:t>
      </w:r>
      <w:r w:rsidRPr="00466D98">
        <w:rPr>
          <w:b/>
          <w:lang w:val="en-GB"/>
        </w:rPr>
        <w:t>1994</w:t>
      </w:r>
      <w:r w:rsidRPr="00466D98">
        <w:t>, Pergamon Press &amp; Aberdeen University Press, 2211-2212.</w:t>
      </w:r>
    </w:p>
    <w:p w:rsidR="000F351E" w:rsidRDefault="000F351E" w:rsidP="00466D98">
      <w:pPr>
        <w:pStyle w:val="MDPI71References"/>
      </w:pPr>
      <w:r w:rsidRPr="007B4D17">
        <w:t xml:space="preserve">Swales, J. M. English as Tyrannosaurus </w:t>
      </w:r>
      <w:r>
        <w:t>R</w:t>
      </w:r>
      <w:r w:rsidRPr="007B4D17">
        <w:t xml:space="preserve">ex. </w:t>
      </w:r>
      <w:r w:rsidRPr="00FE1396">
        <w:rPr>
          <w:i/>
        </w:rPr>
        <w:t>World Englishes</w:t>
      </w:r>
      <w:r w:rsidRPr="007B4D17">
        <w:t xml:space="preserve"> </w:t>
      </w:r>
      <w:r w:rsidRPr="00FE1396">
        <w:rPr>
          <w:b/>
        </w:rPr>
        <w:t xml:space="preserve">1997, </w:t>
      </w:r>
      <w:r w:rsidRPr="00FE1396">
        <w:rPr>
          <w:i/>
        </w:rPr>
        <w:t>16</w:t>
      </w:r>
      <w:r>
        <w:t>,</w:t>
      </w:r>
      <w:r w:rsidRPr="007B4D17">
        <w:t xml:space="preserve"> 373–382. </w:t>
      </w:r>
    </w:p>
    <w:p w:rsidR="000F351E" w:rsidRDefault="000F351E" w:rsidP="000F351E">
      <w:pPr>
        <w:pStyle w:val="MDPI71References"/>
      </w:pPr>
      <w:r>
        <w:t xml:space="preserve">Woolard, K.A. Introduction Language Ideology as a Field of Inquiry. In </w:t>
      </w:r>
      <w:r w:rsidRPr="00980AE5">
        <w:rPr>
          <w:i/>
        </w:rPr>
        <w:t>Language Ideologies: Practice and Theory</w:t>
      </w:r>
      <w:r>
        <w:rPr>
          <w:i/>
        </w:rPr>
        <w:t>;</w:t>
      </w:r>
      <w:r>
        <w:t xml:space="preserve"> </w:t>
      </w:r>
      <w:r w:rsidRPr="00980AE5">
        <w:t>B</w:t>
      </w:r>
      <w:r>
        <w:t>.</w:t>
      </w:r>
      <w:r w:rsidRPr="00980AE5">
        <w:t>B. Schieffelin,</w:t>
      </w:r>
      <w:r>
        <w:t xml:space="preserve"> </w:t>
      </w:r>
      <w:r w:rsidRPr="00980AE5">
        <w:t>K</w:t>
      </w:r>
      <w:r>
        <w:t>.</w:t>
      </w:r>
      <w:r w:rsidRPr="00980AE5">
        <w:t>A. Woolard, P</w:t>
      </w:r>
      <w:r>
        <w:t>.</w:t>
      </w:r>
      <w:r w:rsidRPr="00980AE5">
        <w:t>V. Kroskrity</w:t>
      </w:r>
      <w:r>
        <w:t>, Eds.; Oxford University Press: Oxford, UK, 1998; pp. 3–47.</w:t>
      </w:r>
    </w:p>
    <w:tbl>
      <w:tblPr>
        <w:tblW w:w="0" w:type="auto"/>
        <w:jc w:val="center"/>
        <w:tblLook w:val="04A0" w:firstRow="1" w:lastRow="0" w:firstColumn="1" w:lastColumn="0" w:noHBand="0" w:noVBand="1"/>
      </w:tblPr>
      <w:tblGrid>
        <w:gridCol w:w="222"/>
      </w:tblGrid>
      <w:tr w:rsidR="00270640" w:rsidRPr="0025504C" w:rsidTr="000F351E">
        <w:trPr>
          <w:jc w:val="center"/>
        </w:trPr>
        <w:tc>
          <w:tcPr>
            <w:tcW w:w="0" w:type="auto"/>
            <w:shd w:val="clear" w:color="auto" w:fill="auto"/>
            <w:vAlign w:val="center"/>
          </w:tcPr>
          <w:p w:rsidR="00270640" w:rsidRPr="0025504C" w:rsidRDefault="00270640" w:rsidP="00577F70">
            <w:pPr>
              <w:pStyle w:val="MDPI71References"/>
              <w:numPr>
                <w:ilvl w:val="0"/>
                <w:numId w:val="0"/>
              </w:numPr>
              <w:ind w:left="-85"/>
              <w:rPr>
                <w:rFonts w:eastAsia="SimSun"/>
                <w:bCs/>
              </w:rPr>
            </w:pPr>
          </w:p>
        </w:tc>
      </w:tr>
    </w:tbl>
    <w:p w:rsidR="00A900D9" w:rsidRDefault="00A900D9" w:rsidP="00FC0094">
      <w:pPr>
        <w:pStyle w:val="MDPI71References"/>
        <w:numPr>
          <w:ilvl w:val="0"/>
          <w:numId w:val="0"/>
        </w:numPr>
        <w:spacing w:after="240"/>
        <w:rPr>
          <w:rFonts w:eastAsia="SimSun"/>
        </w:rPr>
      </w:pPr>
    </w:p>
    <w:sectPr w:rsidR="00A900D9" w:rsidSect="00270640">
      <w:headerReference w:type="even" r:id="rId8"/>
      <w:headerReference w:type="default" r:id="rId9"/>
      <w:footerReference w:type="default" r:id="rId10"/>
      <w:footerReference w:type="first" r:id="rId11"/>
      <w:pgSz w:w="11906" w:h="16838" w:code="9"/>
      <w:pgMar w:top="1417" w:right="1558"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722" w:rsidRDefault="00B75722">
      <w:pPr>
        <w:spacing w:line="240" w:lineRule="auto"/>
      </w:pPr>
      <w:r>
        <w:separator/>
      </w:r>
    </w:p>
  </w:endnote>
  <w:endnote w:type="continuationSeparator" w:id="0">
    <w:p w:rsidR="00B75722" w:rsidRDefault="00B757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D43" w:rsidRPr="00091B15" w:rsidRDefault="00B06D43" w:rsidP="009149F9">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922731"/>
      <w:docPartObj>
        <w:docPartGallery w:val="Page Numbers (Bottom of Page)"/>
        <w:docPartUnique/>
      </w:docPartObj>
    </w:sdtPr>
    <w:sdtEndPr>
      <w:rPr>
        <w:noProof/>
      </w:rPr>
    </w:sdtEndPr>
    <w:sdtContent>
      <w:p w:rsidR="00B06D43" w:rsidRDefault="00B06D43">
        <w:pPr>
          <w:pStyle w:val="Footer"/>
          <w:jc w:val="center"/>
        </w:pPr>
        <w:r>
          <w:fldChar w:fldCharType="begin"/>
        </w:r>
        <w:r>
          <w:instrText xml:space="preserve"> PAGE   \* MERGEFORMAT </w:instrText>
        </w:r>
        <w:r>
          <w:fldChar w:fldCharType="separate"/>
        </w:r>
        <w:r w:rsidR="00A9590B">
          <w:rPr>
            <w:noProof/>
          </w:rPr>
          <w:t>1</w:t>
        </w:r>
        <w:r>
          <w:rPr>
            <w:noProof/>
          </w:rPr>
          <w:fldChar w:fldCharType="end"/>
        </w:r>
      </w:p>
    </w:sdtContent>
  </w:sdt>
  <w:p w:rsidR="00B06D43" w:rsidRPr="00372FCD" w:rsidRDefault="00B06D43" w:rsidP="00A900D9">
    <w:pPr>
      <w:tabs>
        <w:tab w:val="right" w:pos="8844"/>
      </w:tabs>
      <w:adjustRightInd w:val="0"/>
      <w:snapToGrid w:val="0"/>
      <w:spacing w:before="120" w:line="240" w:lineRule="auto"/>
      <w:rPr>
        <w:rFonts w:ascii="Palatino Linotype" w:hAnsi="Palatino Linotype"/>
        <w:sz w:val="16"/>
        <w:szCs w:val="16"/>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722" w:rsidRDefault="00B75722">
      <w:pPr>
        <w:spacing w:line="240" w:lineRule="auto"/>
      </w:pPr>
      <w:r>
        <w:separator/>
      </w:r>
    </w:p>
  </w:footnote>
  <w:footnote w:type="continuationSeparator" w:id="0">
    <w:p w:rsidR="00B75722" w:rsidRDefault="00B75722">
      <w:pPr>
        <w:spacing w:line="240" w:lineRule="auto"/>
      </w:pPr>
      <w:r>
        <w:continuationSeparator/>
      </w:r>
    </w:p>
  </w:footnote>
  <w:footnote w:id="1">
    <w:p w:rsidR="00B06D43" w:rsidRPr="00B06D43" w:rsidRDefault="00B06D43">
      <w:pPr>
        <w:pStyle w:val="FootnoteText"/>
        <w:rPr>
          <w:lang w:val="en-GB"/>
        </w:rPr>
      </w:pPr>
      <w:r>
        <w:rPr>
          <w:rStyle w:val="FootnoteReference"/>
        </w:rPr>
        <w:footnoteRef/>
      </w:r>
      <w:r>
        <w:t xml:space="preserve"> </w:t>
      </w:r>
      <w:r>
        <w:rPr>
          <w:lang w:val="en-GB"/>
        </w:rPr>
        <w:t>I am grateful to Maria Kuteeva for this point.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D43" w:rsidRDefault="00B06D43" w:rsidP="009149F9">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D43" w:rsidRPr="00555C3E" w:rsidRDefault="00B06D43" w:rsidP="00DC6DFF">
    <w:pPr>
      <w:tabs>
        <w:tab w:val="right" w:pos="8844"/>
      </w:tabs>
      <w:adjustRightInd w:val="0"/>
      <w:snapToGrid w:val="0"/>
      <w:spacing w:after="240" w:line="240" w:lineRule="auto"/>
      <w:rPr>
        <w:rFonts w:ascii="Palatino Linotype" w:hAnsi="Palatino Linotype"/>
        <w:sz w:val="16"/>
      </w:rPr>
    </w:pP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sidR="00A9590B">
      <w:rPr>
        <w:rFonts w:ascii="Palatino Linotype" w:hAnsi="Palatino Linotype"/>
        <w:noProof/>
        <w:sz w:val="16"/>
      </w:rPr>
      <w:t>13</w:t>
    </w:r>
    <w:r>
      <w:rPr>
        <w:rFonts w:ascii="Palatino Linotype" w:hAnsi="Palatino Linotype"/>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5C74299B"/>
    <w:multiLevelType w:val="hybridMultilevel"/>
    <w:tmpl w:val="5810E1FE"/>
    <w:lvl w:ilvl="0" w:tplc="DAA0A92A">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5DE739EB"/>
    <w:multiLevelType w:val="hybridMultilevel"/>
    <w:tmpl w:val="638A3D2C"/>
    <w:lvl w:ilvl="0" w:tplc="1EF03122">
      <w:start w:val="1"/>
      <w:numFmt w:val="bullet"/>
      <w:lvlText w:val=" "/>
      <w:lvlJc w:val="left"/>
      <w:pPr>
        <w:tabs>
          <w:tab w:val="num" w:pos="720"/>
        </w:tabs>
        <w:ind w:left="720" w:hanging="360"/>
      </w:pPr>
      <w:rPr>
        <w:rFonts w:ascii="Calibri" w:hAnsi="Calibri" w:hint="default"/>
      </w:rPr>
    </w:lvl>
    <w:lvl w:ilvl="1" w:tplc="6944DD24" w:tentative="1">
      <w:start w:val="1"/>
      <w:numFmt w:val="bullet"/>
      <w:lvlText w:val=" "/>
      <w:lvlJc w:val="left"/>
      <w:pPr>
        <w:tabs>
          <w:tab w:val="num" w:pos="1440"/>
        </w:tabs>
        <w:ind w:left="1440" w:hanging="360"/>
      </w:pPr>
      <w:rPr>
        <w:rFonts w:ascii="Calibri" w:hAnsi="Calibri" w:hint="default"/>
      </w:rPr>
    </w:lvl>
    <w:lvl w:ilvl="2" w:tplc="307EC5EC" w:tentative="1">
      <w:start w:val="1"/>
      <w:numFmt w:val="bullet"/>
      <w:lvlText w:val=" "/>
      <w:lvlJc w:val="left"/>
      <w:pPr>
        <w:tabs>
          <w:tab w:val="num" w:pos="2160"/>
        </w:tabs>
        <w:ind w:left="2160" w:hanging="360"/>
      </w:pPr>
      <w:rPr>
        <w:rFonts w:ascii="Calibri" w:hAnsi="Calibri" w:hint="default"/>
      </w:rPr>
    </w:lvl>
    <w:lvl w:ilvl="3" w:tplc="9D42738E" w:tentative="1">
      <w:start w:val="1"/>
      <w:numFmt w:val="bullet"/>
      <w:lvlText w:val=" "/>
      <w:lvlJc w:val="left"/>
      <w:pPr>
        <w:tabs>
          <w:tab w:val="num" w:pos="2880"/>
        </w:tabs>
        <w:ind w:left="2880" w:hanging="360"/>
      </w:pPr>
      <w:rPr>
        <w:rFonts w:ascii="Calibri" w:hAnsi="Calibri" w:hint="default"/>
      </w:rPr>
    </w:lvl>
    <w:lvl w:ilvl="4" w:tplc="8C76226E" w:tentative="1">
      <w:start w:val="1"/>
      <w:numFmt w:val="bullet"/>
      <w:lvlText w:val=" "/>
      <w:lvlJc w:val="left"/>
      <w:pPr>
        <w:tabs>
          <w:tab w:val="num" w:pos="3600"/>
        </w:tabs>
        <w:ind w:left="3600" w:hanging="360"/>
      </w:pPr>
      <w:rPr>
        <w:rFonts w:ascii="Calibri" w:hAnsi="Calibri" w:hint="default"/>
      </w:rPr>
    </w:lvl>
    <w:lvl w:ilvl="5" w:tplc="5EA41340" w:tentative="1">
      <w:start w:val="1"/>
      <w:numFmt w:val="bullet"/>
      <w:lvlText w:val=" "/>
      <w:lvlJc w:val="left"/>
      <w:pPr>
        <w:tabs>
          <w:tab w:val="num" w:pos="4320"/>
        </w:tabs>
        <w:ind w:left="4320" w:hanging="360"/>
      </w:pPr>
      <w:rPr>
        <w:rFonts w:ascii="Calibri" w:hAnsi="Calibri" w:hint="default"/>
      </w:rPr>
    </w:lvl>
    <w:lvl w:ilvl="6" w:tplc="C12C40D4" w:tentative="1">
      <w:start w:val="1"/>
      <w:numFmt w:val="bullet"/>
      <w:lvlText w:val=" "/>
      <w:lvlJc w:val="left"/>
      <w:pPr>
        <w:tabs>
          <w:tab w:val="num" w:pos="5040"/>
        </w:tabs>
        <w:ind w:left="5040" w:hanging="360"/>
      </w:pPr>
      <w:rPr>
        <w:rFonts w:ascii="Calibri" w:hAnsi="Calibri" w:hint="default"/>
      </w:rPr>
    </w:lvl>
    <w:lvl w:ilvl="7" w:tplc="973AFB1A" w:tentative="1">
      <w:start w:val="1"/>
      <w:numFmt w:val="bullet"/>
      <w:lvlText w:val=" "/>
      <w:lvlJc w:val="left"/>
      <w:pPr>
        <w:tabs>
          <w:tab w:val="num" w:pos="5760"/>
        </w:tabs>
        <w:ind w:left="5760" w:hanging="360"/>
      </w:pPr>
      <w:rPr>
        <w:rFonts w:ascii="Calibri" w:hAnsi="Calibri" w:hint="default"/>
      </w:rPr>
    </w:lvl>
    <w:lvl w:ilvl="8" w:tplc="BB7E7980"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62C7481A"/>
    <w:multiLevelType w:val="hybridMultilevel"/>
    <w:tmpl w:val="8EBE9F22"/>
    <w:lvl w:ilvl="0" w:tplc="8062BFDE">
      <w:start w:val="1"/>
      <w:numFmt w:val="bullet"/>
      <w:lvlText w:val=" "/>
      <w:lvlJc w:val="left"/>
      <w:pPr>
        <w:tabs>
          <w:tab w:val="num" w:pos="720"/>
        </w:tabs>
        <w:ind w:left="720" w:hanging="360"/>
      </w:pPr>
      <w:rPr>
        <w:rFonts w:ascii="Calibri" w:hAnsi="Calibri" w:hint="default"/>
      </w:rPr>
    </w:lvl>
    <w:lvl w:ilvl="1" w:tplc="2E74A182" w:tentative="1">
      <w:start w:val="1"/>
      <w:numFmt w:val="bullet"/>
      <w:lvlText w:val=" "/>
      <w:lvlJc w:val="left"/>
      <w:pPr>
        <w:tabs>
          <w:tab w:val="num" w:pos="1440"/>
        </w:tabs>
        <w:ind w:left="1440" w:hanging="360"/>
      </w:pPr>
      <w:rPr>
        <w:rFonts w:ascii="Calibri" w:hAnsi="Calibri" w:hint="default"/>
      </w:rPr>
    </w:lvl>
    <w:lvl w:ilvl="2" w:tplc="6E3C8B1A" w:tentative="1">
      <w:start w:val="1"/>
      <w:numFmt w:val="bullet"/>
      <w:lvlText w:val=" "/>
      <w:lvlJc w:val="left"/>
      <w:pPr>
        <w:tabs>
          <w:tab w:val="num" w:pos="2160"/>
        </w:tabs>
        <w:ind w:left="2160" w:hanging="360"/>
      </w:pPr>
      <w:rPr>
        <w:rFonts w:ascii="Calibri" w:hAnsi="Calibri" w:hint="default"/>
      </w:rPr>
    </w:lvl>
    <w:lvl w:ilvl="3" w:tplc="F37EC0EE" w:tentative="1">
      <w:start w:val="1"/>
      <w:numFmt w:val="bullet"/>
      <w:lvlText w:val=" "/>
      <w:lvlJc w:val="left"/>
      <w:pPr>
        <w:tabs>
          <w:tab w:val="num" w:pos="2880"/>
        </w:tabs>
        <w:ind w:left="2880" w:hanging="360"/>
      </w:pPr>
      <w:rPr>
        <w:rFonts w:ascii="Calibri" w:hAnsi="Calibri" w:hint="default"/>
      </w:rPr>
    </w:lvl>
    <w:lvl w:ilvl="4" w:tplc="F30EE5FA" w:tentative="1">
      <w:start w:val="1"/>
      <w:numFmt w:val="bullet"/>
      <w:lvlText w:val=" "/>
      <w:lvlJc w:val="left"/>
      <w:pPr>
        <w:tabs>
          <w:tab w:val="num" w:pos="3600"/>
        </w:tabs>
        <w:ind w:left="3600" w:hanging="360"/>
      </w:pPr>
      <w:rPr>
        <w:rFonts w:ascii="Calibri" w:hAnsi="Calibri" w:hint="default"/>
      </w:rPr>
    </w:lvl>
    <w:lvl w:ilvl="5" w:tplc="66BA88F2" w:tentative="1">
      <w:start w:val="1"/>
      <w:numFmt w:val="bullet"/>
      <w:lvlText w:val=" "/>
      <w:lvlJc w:val="left"/>
      <w:pPr>
        <w:tabs>
          <w:tab w:val="num" w:pos="4320"/>
        </w:tabs>
        <w:ind w:left="4320" w:hanging="360"/>
      </w:pPr>
      <w:rPr>
        <w:rFonts w:ascii="Calibri" w:hAnsi="Calibri" w:hint="default"/>
      </w:rPr>
    </w:lvl>
    <w:lvl w:ilvl="6" w:tplc="296EDE54" w:tentative="1">
      <w:start w:val="1"/>
      <w:numFmt w:val="bullet"/>
      <w:lvlText w:val=" "/>
      <w:lvlJc w:val="left"/>
      <w:pPr>
        <w:tabs>
          <w:tab w:val="num" w:pos="5040"/>
        </w:tabs>
        <w:ind w:left="5040" w:hanging="360"/>
      </w:pPr>
      <w:rPr>
        <w:rFonts w:ascii="Calibri" w:hAnsi="Calibri" w:hint="default"/>
      </w:rPr>
    </w:lvl>
    <w:lvl w:ilvl="7" w:tplc="D7382DEC" w:tentative="1">
      <w:start w:val="1"/>
      <w:numFmt w:val="bullet"/>
      <w:lvlText w:val=" "/>
      <w:lvlJc w:val="left"/>
      <w:pPr>
        <w:tabs>
          <w:tab w:val="num" w:pos="5760"/>
        </w:tabs>
        <w:ind w:left="5760" w:hanging="360"/>
      </w:pPr>
      <w:rPr>
        <w:rFonts w:ascii="Calibri" w:hAnsi="Calibri" w:hint="default"/>
      </w:rPr>
    </w:lvl>
    <w:lvl w:ilvl="8" w:tplc="1DA0DB1E"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73D509B2"/>
    <w:multiLevelType w:val="hybridMultilevel"/>
    <w:tmpl w:val="38441624"/>
    <w:lvl w:ilvl="0" w:tplc="A4469AE2">
      <w:start w:val="1"/>
      <w:numFmt w:val="bullet"/>
      <w:lvlText w:val=" "/>
      <w:lvlJc w:val="left"/>
      <w:pPr>
        <w:tabs>
          <w:tab w:val="num" w:pos="720"/>
        </w:tabs>
        <w:ind w:left="720" w:hanging="360"/>
      </w:pPr>
      <w:rPr>
        <w:rFonts w:ascii="Calibri" w:hAnsi="Calibri" w:hint="default"/>
      </w:rPr>
    </w:lvl>
    <w:lvl w:ilvl="1" w:tplc="7EFCEFBA" w:tentative="1">
      <w:start w:val="1"/>
      <w:numFmt w:val="bullet"/>
      <w:lvlText w:val=" "/>
      <w:lvlJc w:val="left"/>
      <w:pPr>
        <w:tabs>
          <w:tab w:val="num" w:pos="1440"/>
        </w:tabs>
        <w:ind w:left="1440" w:hanging="360"/>
      </w:pPr>
      <w:rPr>
        <w:rFonts w:ascii="Calibri" w:hAnsi="Calibri" w:hint="default"/>
      </w:rPr>
    </w:lvl>
    <w:lvl w:ilvl="2" w:tplc="406857C0" w:tentative="1">
      <w:start w:val="1"/>
      <w:numFmt w:val="bullet"/>
      <w:lvlText w:val=" "/>
      <w:lvlJc w:val="left"/>
      <w:pPr>
        <w:tabs>
          <w:tab w:val="num" w:pos="2160"/>
        </w:tabs>
        <w:ind w:left="2160" w:hanging="360"/>
      </w:pPr>
      <w:rPr>
        <w:rFonts w:ascii="Calibri" w:hAnsi="Calibri" w:hint="default"/>
      </w:rPr>
    </w:lvl>
    <w:lvl w:ilvl="3" w:tplc="F522A3F2" w:tentative="1">
      <w:start w:val="1"/>
      <w:numFmt w:val="bullet"/>
      <w:lvlText w:val=" "/>
      <w:lvlJc w:val="left"/>
      <w:pPr>
        <w:tabs>
          <w:tab w:val="num" w:pos="2880"/>
        </w:tabs>
        <w:ind w:left="2880" w:hanging="360"/>
      </w:pPr>
      <w:rPr>
        <w:rFonts w:ascii="Calibri" w:hAnsi="Calibri" w:hint="default"/>
      </w:rPr>
    </w:lvl>
    <w:lvl w:ilvl="4" w:tplc="EC841126" w:tentative="1">
      <w:start w:val="1"/>
      <w:numFmt w:val="bullet"/>
      <w:lvlText w:val=" "/>
      <w:lvlJc w:val="left"/>
      <w:pPr>
        <w:tabs>
          <w:tab w:val="num" w:pos="3600"/>
        </w:tabs>
        <w:ind w:left="3600" w:hanging="360"/>
      </w:pPr>
      <w:rPr>
        <w:rFonts w:ascii="Calibri" w:hAnsi="Calibri" w:hint="default"/>
      </w:rPr>
    </w:lvl>
    <w:lvl w:ilvl="5" w:tplc="3936516C" w:tentative="1">
      <w:start w:val="1"/>
      <w:numFmt w:val="bullet"/>
      <w:lvlText w:val=" "/>
      <w:lvlJc w:val="left"/>
      <w:pPr>
        <w:tabs>
          <w:tab w:val="num" w:pos="4320"/>
        </w:tabs>
        <w:ind w:left="4320" w:hanging="360"/>
      </w:pPr>
      <w:rPr>
        <w:rFonts w:ascii="Calibri" w:hAnsi="Calibri" w:hint="default"/>
      </w:rPr>
    </w:lvl>
    <w:lvl w:ilvl="6" w:tplc="03985D6C" w:tentative="1">
      <w:start w:val="1"/>
      <w:numFmt w:val="bullet"/>
      <w:lvlText w:val=" "/>
      <w:lvlJc w:val="left"/>
      <w:pPr>
        <w:tabs>
          <w:tab w:val="num" w:pos="5040"/>
        </w:tabs>
        <w:ind w:left="5040" w:hanging="360"/>
      </w:pPr>
      <w:rPr>
        <w:rFonts w:ascii="Calibri" w:hAnsi="Calibri" w:hint="default"/>
      </w:rPr>
    </w:lvl>
    <w:lvl w:ilvl="7" w:tplc="6D141658" w:tentative="1">
      <w:start w:val="1"/>
      <w:numFmt w:val="bullet"/>
      <w:lvlText w:val=" "/>
      <w:lvlJc w:val="left"/>
      <w:pPr>
        <w:tabs>
          <w:tab w:val="num" w:pos="5760"/>
        </w:tabs>
        <w:ind w:left="5760" w:hanging="360"/>
      </w:pPr>
      <w:rPr>
        <w:rFonts w:ascii="Calibri" w:hAnsi="Calibri" w:hint="default"/>
      </w:rPr>
    </w:lvl>
    <w:lvl w:ilvl="8" w:tplc="9342DDA0" w:tentative="1">
      <w:start w:val="1"/>
      <w:numFmt w:val="bullet"/>
      <w:lvlText w:val=" "/>
      <w:lvlJc w:val="left"/>
      <w:pPr>
        <w:tabs>
          <w:tab w:val="num" w:pos="6480"/>
        </w:tabs>
        <w:ind w:left="6480" w:hanging="360"/>
      </w:pPr>
      <w:rPr>
        <w:rFonts w:ascii="Calibri" w:hAnsi="Calibri" w:hint="default"/>
      </w:rPr>
    </w:lvl>
  </w:abstractNum>
  <w:num w:numId="1">
    <w:abstractNumId w:val="1"/>
  </w:num>
  <w:num w:numId="2">
    <w:abstractNumId w:val="2"/>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547"/>
    <w:rsid w:val="000053AF"/>
    <w:rsid w:val="000675C0"/>
    <w:rsid w:val="000B5D53"/>
    <w:rsid w:val="000B6928"/>
    <w:rsid w:val="000C5D44"/>
    <w:rsid w:val="000E02E4"/>
    <w:rsid w:val="000E472A"/>
    <w:rsid w:val="000F351E"/>
    <w:rsid w:val="000F56BF"/>
    <w:rsid w:val="00117213"/>
    <w:rsid w:val="001330BA"/>
    <w:rsid w:val="0014229B"/>
    <w:rsid w:val="001443EE"/>
    <w:rsid w:val="00146577"/>
    <w:rsid w:val="00157EF4"/>
    <w:rsid w:val="00175FFC"/>
    <w:rsid w:val="00177700"/>
    <w:rsid w:val="001B7528"/>
    <w:rsid w:val="001C3A62"/>
    <w:rsid w:val="001C7AA2"/>
    <w:rsid w:val="001D415D"/>
    <w:rsid w:val="001D68C1"/>
    <w:rsid w:val="001D6B12"/>
    <w:rsid w:val="001E128A"/>
    <w:rsid w:val="001E2AEB"/>
    <w:rsid w:val="001E7FA0"/>
    <w:rsid w:val="001F4DC3"/>
    <w:rsid w:val="002047E0"/>
    <w:rsid w:val="002153AE"/>
    <w:rsid w:val="00251A51"/>
    <w:rsid w:val="00254EA0"/>
    <w:rsid w:val="0025504C"/>
    <w:rsid w:val="00255A2E"/>
    <w:rsid w:val="00256950"/>
    <w:rsid w:val="00270640"/>
    <w:rsid w:val="00294ED8"/>
    <w:rsid w:val="002B0D69"/>
    <w:rsid w:val="002C22A4"/>
    <w:rsid w:val="002C443C"/>
    <w:rsid w:val="002C463E"/>
    <w:rsid w:val="002D1420"/>
    <w:rsid w:val="002E021E"/>
    <w:rsid w:val="002E2C48"/>
    <w:rsid w:val="002F19B7"/>
    <w:rsid w:val="0030478B"/>
    <w:rsid w:val="00305B24"/>
    <w:rsid w:val="00326141"/>
    <w:rsid w:val="00326EBD"/>
    <w:rsid w:val="003270F6"/>
    <w:rsid w:val="00330218"/>
    <w:rsid w:val="0033548E"/>
    <w:rsid w:val="00336DAF"/>
    <w:rsid w:val="00343A7E"/>
    <w:rsid w:val="003559AC"/>
    <w:rsid w:val="00366D4F"/>
    <w:rsid w:val="00366D53"/>
    <w:rsid w:val="00373713"/>
    <w:rsid w:val="00373989"/>
    <w:rsid w:val="00382758"/>
    <w:rsid w:val="0038362F"/>
    <w:rsid w:val="00391624"/>
    <w:rsid w:val="00392D90"/>
    <w:rsid w:val="003B4869"/>
    <w:rsid w:val="003B630C"/>
    <w:rsid w:val="003E0DD5"/>
    <w:rsid w:val="003F42F2"/>
    <w:rsid w:val="00401D30"/>
    <w:rsid w:val="00405F2E"/>
    <w:rsid w:val="004127EC"/>
    <w:rsid w:val="0041460A"/>
    <w:rsid w:val="00453344"/>
    <w:rsid w:val="00466D98"/>
    <w:rsid w:val="0047431C"/>
    <w:rsid w:val="004828C3"/>
    <w:rsid w:val="00482D2A"/>
    <w:rsid w:val="004A3642"/>
    <w:rsid w:val="004A7FB0"/>
    <w:rsid w:val="004C4AD1"/>
    <w:rsid w:val="004D103F"/>
    <w:rsid w:val="00500308"/>
    <w:rsid w:val="005054E9"/>
    <w:rsid w:val="00505F4C"/>
    <w:rsid w:val="005415E4"/>
    <w:rsid w:val="0054718E"/>
    <w:rsid w:val="0057484C"/>
    <w:rsid w:val="005757D2"/>
    <w:rsid w:val="00577F70"/>
    <w:rsid w:val="00581EA1"/>
    <w:rsid w:val="005A0B31"/>
    <w:rsid w:val="005A393E"/>
    <w:rsid w:val="005C4997"/>
    <w:rsid w:val="005C4A76"/>
    <w:rsid w:val="005F2BCE"/>
    <w:rsid w:val="005F39C9"/>
    <w:rsid w:val="00606C34"/>
    <w:rsid w:val="00612C2E"/>
    <w:rsid w:val="00643C5A"/>
    <w:rsid w:val="00680AF9"/>
    <w:rsid w:val="00685BDA"/>
    <w:rsid w:val="006908C0"/>
    <w:rsid w:val="00692393"/>
    <w:rsid w:val="00693502"/>
    <w:rsid w:val="006C0CE6"/>
    <w:rsid w:val="006C0E9A"/>
    <w:rsid w:val="006C2710"/>
    <w:rsid w:val="006C75C2"/>
    <w:rsid w:val="006D492E"/>
    <w:rsid w:val="006D56FB"/>
    <w:rsid w:val="006E2655"/>
    <w:rsid w:val="006E583D"/>
    <w:rsid w:val="0071351C"/>
    <w:rsid w:val="007311A5"/>
    <w:rsid w:val="0073131B"/>
    <w:rsid w:val="00742050"/>
    <w:rsid w:val="007435E7"/>
    <w:rsid w:val="00752547"/>
    <w:rsid w:val="00757929"/>
    <w:rsid w:val="00760418"/>
    <w:rsid w:val="0076728D"/>
    <w:rsid w:val="007B371E"/>
    <w:rsid w:val="007D07A7"/>
    <w:rsid w:val="007F3EC7"/>
    <w:rsid w:val="008019CD"/>
    <w:rsid w:val="008069B3"/>
    <w:rsid w:val="008102AF"/>
    <w:rsid w:val="008304F2"/>
    <w:rsid w:val="008543C2"/>
    <w:rsid w:val="0085659F"/>
    <w:rsid w:val="00861C6F"/>
    <w:rsid w:val="00870030"/>
    <w:rsid w:val="00872BBB"/>
    <w:rsid w:val="00880E5D"/>
    <w:rsid w:val="008B3C56"/>
    <w:rsid w:val="008D0422"/>
    <w:rsid w:val="008D0BC6"/>
    <w:rsid w:val="008D1859"/>
    <w:rsid w:val="008F0AB4"/>
    <w:rsid w:val="008F4269"/>
    <w:rsid w:val="0090259D"/>
    <w:rsid w:val="009032E6"/>
    <w:rsid w:val="009103E5"/>
    <w:rsid w:val="009149F9"/>
    <w:rsid w:val="00923143"/>
    <w:rsid w:val="00955ADD"/>
    <w:rsid w:val="0097675A"/>
    <w:rsid w:val="009777CD"/>
    <w:rsid w:val="00987A54"/>
    <w:rsid w:val="009A2D6E"/>
    <w:rsid w:val="009A367B"/>
    <w:rsid w:val="009A4BF9"/>
    <w:rsid w:val="009D75DB"/>
    <w:rsid w:val="009D7841"/>
    <w:rsid w:val="009F70E6"/>
    <w:rsid w:val="00A25691"/>
    <w:rsid w:val="00A34F1C"/>
    <w:rsid w:val="00A445ED"/>
    <w:rsid w:val="00A53BAD"/>
    <w:rsid w:val="00A62F09"/>
    <w:rsid w:val="00A63937"/>
    <w:rsid w:val="00A900D9"/>
    <w:rsid w:val="00A9071C"/>
    <w:rsid w:val="00A91FF2"/>
    <w:rsid w:val="00A95043"/>
    <w:rsid w:val="00A9590B"/>
    <w:rsid w:val="00AB571C"/>
    <w:rsid w:val="00AE4567"/>
    <w:rsid w:val="00AF518F"/>
    <w:rsid w:val="00AF6083"/>
    <w:rsid w:val="00AF61C5"/>
    <w:rsid w:val="00B06D43"/>
    <w:rsid w:val="00B14B4E"/>
    <w:rsid w:val="00B15043"/>
    <w:rsid w:val="00B51BB1"/>
    <w:rsid w:val="00B75722"/>
    <w:rsid w:val="00B80ADC"/>
    <w:rsid w:val="00B941C2"/>
    <w:rsid w:val="00BA156D"/>
    <w:rsid w:val="00BA5805"/>
    <w:rsid w:val="00BB7AE0"/>
    <w:rsid w:val="00BD4036"/>
    <w:rsid w:val="00BD4649"/>
    <w:rsid w:val="00BD6024"/>
    <w:rsid w:val="00BD661E"/>
    <w:rsid w:val="00BD6C41"/>
    <w:rsid w:val="00C111B2"/>
    <w:rsid w:val="00C163C1"/>
    <w:rsid w:val="00C25F24"/>
    <w:rsid w:val="00C278A2"/>
    <w:rsid w:val="00C344D6"/>
    <w:rsid w:val="00C60A0E"/>
    <w:rsid w:val="00C6338E"/>
    <w:rsid w:val="00CA6377"/>
    <w:rsid w:val="00CC1E43"/>
    <w:rsid w:val="00CD2A4C"/>
    <w:rsid w:val="00CE2098"/>
    <w:rsid w:val="00CE76E7"/>
    <w:rsid w:val="00CF3FAE"/>
    <w:rsid w:val="00CF450F"/>
    <w:rsid w:val="00D22E14"/>
    <w:rsid w:val="00D415B1"/>
    <w:rsid w:val="00D714CE"/>
    <w:rsid w:val="00D75EF7"/>
    <w:rsid w:val="00D7663D"/>
    <w:rsid w:val="00D95293"/>
    <w:rsid w:val="00D96F67"/>
    <w:rsid w:val="00DB60D1"/>
    <w:rsid w:val="00DC6619"/>
    <w:rsid w:val="00DC6DFF"/>
    <w:rsid w:val="00DC7661"/>
    <w:rsid w:val="00DE5FC9"/>
    <w:rsid w:val="00DE6198"/>
    <w:rsid w:val="00E12336"/>
    <w:rsid w:val="00E32163"/>
    <w:rsid w:val="00E33680"/>
    <w:rsid w:val="00E409A7"/>
    <w:rsid w:val="00E57F5A"/>
    <w:rsid w:val="00E81EAE"/>
    <w:rsid w:val="00E83656"/>
    <w:rsid w:val="00ED02A7"/>
    <w:rsid w:val="00EE07DC"/>
    <w:rsid w:val="00F03AC2"/>
    <w:rsid w:val="00F46EA3"/>
    <w:rsid w:val="00F515AB"/>
    <w:rsid w:val="00F60118"/>
    <w:rsid w:val="00F67B95"/>
    <w:rsid w:val="00F74E5A"/>
    <w:rsid w:val="00F85282"/>
    <w:rsid w:val="00F915CA"/>
    <w:rsid w:val="00FA2692"/>
    <w:rsid w:val="00FB4D1C"/>
    <w:rsid w:val="00FC0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160B95-5865-414C-9BEA-7FB64A37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0D9"/>
    <w:pPr>
      <w:spacing w:line="340" w:lineRule="atLeast"/>
      <w:jc w:val="both"/>
    </w:pPr>
    <w:rPr>
      <w:rFonts w:ascii="Times New Roman" w:eastAsia="Times New Roman" w:hAnsi="Times New Roman"/>
      <w:color w:val="000000"/>
      <w:sz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A900D9"/>
    <w:pPr>
      <w:spacing w:before="240" w:line="240" w:lineRule="auto"/>
      <w:ind w:firstLine="0"/>
      <w:jc w:val="left"/>
    </w:pPr>
    <w:rPr>
      <w:i/>
    </w:rPr>
  </w:style>
  <w:style w:type="paragraph" w:customStyle="1" w:styleId="MDPI12title">
    <w:name w:val="MDPI_1.2_title"/>
    <w:next w:val="MDPI13authornames"/>
    <w:qFormat/>
    <w:rsid w:val="00A900D9"/>
    <w:pPr>
      <w:adjustRightInd w:val="0"/>
      <w:snapToGrid w:val="0"/>
      <w:spacing w:after="240" w:line="400" w:lineRule="exac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basedOn w:val="MDPI31text"/>
    <w:next w:val="MDPI14history"/>
    <w:qFormat/>
    <w:rsid w:val="00A900D9"/>
    <w:pPr>
      <w:spacing w:after="120"/>
      <w:ind w:firstLine="0"/>
      <w:jc w:val="left"/>
    </w:pPr>
    <w:rPr>
      <w:b/>
      <w:snapToGrid/>
    </w:rPr>
  </w:style>
  <w:style w:type="paragraph" w:customStyle="1" w:styleId="MDPI14history">
    <w:name w:val="MDPI_1.4_history"/>
    <w:basedOn w:val="MDPI62Acknowledgments"/>
    <w:next w:val="Normal"/>
    <w:qFormat/>
    <w:rsid w:val="00A900D9"/>
    <w:pPr>
      <w:ind w:left="113"/>
      <w:jc w:val="left"/>
    </w:pPr>
    <w:rPr>
      <w:snapToGrid/>
    </w:rPr>
  </w:style>
  <w:style w:type="paragraph" w:customStyle="1" w:styleId="MDPI16affiliation">
    <w:name w:val="MDPI_1.6_affiliation"/>
    <w:basedOn w:val="MDPI62Acknowledgments"/>
    <w:qFormat/>
    <w:rsid w:val="00A900D9"/>
    <w:pPr>
      <w:spacing w:before="0"/>
      <w:ind w:left="311" w:hanging="198"/>
      <w:jc w:val="left"/>
    </w:pPr>
    <w:rPr>
      <w:snapToGrid/>
      <w:szCs w:val="18"/>
    </w:rPr>
  </w:style>
  <w:style w:type="paragraph" w:customStyle="1" w:styleId="MDPI17abstract">
    <w:name w:val="MDPI_1.7_abstract"/>
    <w:basedOn w:val="MDPI31text"/>
    <w:next w:val="MDPI18keywords"/>
    <w:qFormat/>
    <w:rsid w:val="00A900D9"/>
    <w:pPr>
      <w:spacing w:before="240"/>
      <w:ind w:left="113" w:firstLine="0"/>
    </w:pPr>
    <w:rPr>
      <w:snapToGrid/>
    </w:rPr>
  </w:style>
  <w:style w:type="paragraph" w:customStyle="1" w:styleId="MDPI18keywords">
    <w:name w:val="MDPI_1.8_keywords"/>
    <w:basedOn w:val="MDPI31text"/>
    <w:next w:val="Normal"/>
    <w:qFormat/>
    <w:rsid w:val="00A900D9"/>
    <w:pPr>
      <w:spacing w:before="240"/>
      <w:ind w:left="113" w:firstLine="0"/>
    </w:pPr>
  </w:style>
  <w:style w:type="paragraph" w:customStyle="1" w:styleId="MDPI19line">
    <w:name w:val="MDPI_1.9_line"/>
    <w:basedOn w:val="MDPI31text"/>
    <w:qFormat/>
    <w:rsid w:val="00A900D9"/>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A900D9"/>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A900D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900D9"/>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A900D9"/>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A900D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A900D9"/>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A900D9"/>
    <w:pPr>
      <w:adjustRightInd w:val="0"/>
      <w:snapToGrid w:val="0"/>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A900D9"/>
    <w:pPr>
      <w:ind w:firstLine="0"/>
    </w:pPr>
  </w:style>
  <w:style w:type="paragraph" w:customStyle="1" w:styleId="MDPI33textspaceafter">
    <w:name w:val="MDPI_3.3_text_space_after"/>
    <w:basedOn w:val="MDPI31text"/>
    <w:qFormat/>
    <w:rsid w:val="00A900D9"/>
    <w:pPr>
      <w:spacing w:after="240"/>
    </w:pPr>
  </w:style>
  <w:style w:type="paragraph" w:customStyle="1" w:styleId="MDPI35textbeforelist">
    <w:name w:val="MDPI_3.5_text_before_list"/>
    <w:basedOn w:val="MDPI31text"/>
    <w:qFormat/>
    <w:rsid w:val="00A900D9"/>
    <w:pPr>
      <w:spacing w:after="120"/>
    </w:pPr>
  </w:style>
  <w:style w:type="paragraph" w:customStyle="1" w:styleId="MDPI36textafterlist">
    <w:name w:val="MDPI_3.6_text_after_list"/>
    <w:basedOn w:val="MDPI31text"/>
    <w:qFormat/>
    <w:rsid w:val="00A900D9"/>
    <w:pPr>
      <w:spacing w:before="120"/>
    </w:pPr>
  </w:style>
  <w:style w:type="paragraph" w:customStyle="1" w:styleId="MDPI37itemize">
    <w:name w:val="MDPI_3.7_itemize"/>
    <w:basedOn w:val="MDPI31text"/>
    <w:qFormat/>
    <w:rsid w:val="00A900D9"/>
    <w:pPr>
      <w:numPr>
        <w:numId w:val="1"/>
      </w:numPr>
      <w:ind w:left="425" w:hanging="425"/>
    </w:pPr>
  </w:style>
  <w:style w:type="paragraph" w:customStyle="1" w:styleId="MDPI38bullet">
    <w:name w:val="MDPI_3.8_bullet"/>
    <w:basedOn w:val="MDPI31text"/>
    <w:qFormat/>
    <w:rsid w:val="00A900D9"/>
    <w:pPr>
      <w:numPr>
        <w:numId w:val="2"/>
      </w:numPr>
      <w:ind w:left="425" w:hanging="425"/>
    </w:pPr>
  </w:style>
  <w:style w:type="paragraph" w:customStyle="1" w:styleId="MDPI39equation">
    <w:name w:val="MDPI_3.9_equation"/>
    <w:basedOn w:val="MDPI31text"/>
    <w:qFormat/>
    <w:rsid w:val="00A900D9"/>
    <w:pPr>
      <w:spacing w:before="120" w:after="120"/>
      <w:ind w:left="709" w:firstLine="0"/>
      <w:jc w:val="center"/>
    </w:pPr>
  </w:style>
  <w:style w:type="paragraph" w:customStyle="1" w:styleId="MDPI3aequationnumber">
    <w:name w:val="MDPI_3.a_equation_number"/>
    <w:basedOn w:val="MDPI31text"/>
    <w:qFormat/>
    <w:rsid w:val="00A900D9"/>
    <w:pPr>
      <w:spacing w:before="120" w:after="120" w:line="240" w:lineRule="auto"/>
      <w:ind w:firstLine="0"/>
      <w:jc w:val="right"/>
    </w:pPr>
  </w:style>
  <w:style w:type="paragraph" w:customStyle="1" w:styleId="MDPI62Acknowledgments">
    <w:name w:val="MDPI_6.2_Acknowledgments"/>
    <w:qFormat/>
    <w:rsid w:val="00A900D9"/>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41tablecaption">
    <w:name w:val="MDPI_4.1_table_caption"/>
    <w:basedOn w:val="MDPI62Acknowledgments"/>
    <w:qFormat/>
    <w:rsid w:val="00A900D9"/>
    <w:pPr>
      <w:spacing w:before="240" w:after="120" w:line="260" w:lineRule="atLeast"/>
      <w:ind w:left="425" w:right="425"/>
    </w:pPr>
    <w:rPr>
      <w:snapToGrid/>
      <w:szCs w:val="22"/>
    </w:rPr>
  </w:style>
  <w:style w:type="paragraph" w:customStyle="1" w:styleId="MDPI42tablebody">
    <w:name w:val="MDPI_4.2_table_body"/>
    <w:qFormat/>
    <w:rsid w:val="008B3C56"/>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qFormat/>
    <w:rsid w:val="00A900D9"/>
    <w:pPr>
      <w:spacing w:before="0"/>
      <w:ind w:left="0" w:right="0"/>
    </w:pPr>
  </w:style>
  <w:style w:type="paragraph" w:customStyle="1" w:styleId="MDPI51figurecaption">
    <w:name w:val="MDPI_5.1_figure_caption"/>
    <w:basedOn w:val="MDPI62Acknowledgments"/>
    <w:qFormat/>
    <w:rsid w:val="00A900D9"/>
    <w:pPr>
      <w:spacing w:after="240" w:line="260" w:lineRule="atLeast"/>
      <w:ind w:left="425" w:right="425"/>
    </w:pPr>
    <w:rPr>
      <w:snapToGrid/>
    </w:rPr>
  </w:style>
  <w:style w:type="paragraph" w:customStyle="1" w:styleId="MDPI52figure">
    <w:name w:val="MDPI_5.2_figure"/>
    <w:qFormat/>
    <w:rsid w:val="00A900D9"/>
    <w:pPr>
      <w:jc w:val="center"/>
    </w:pPr>
    <w:rPr>
      <w:rFonts w:ascii="Palatino Linotype" w:eastAsia="Times New Roman" w:hAnsi="Palatino Linotype"/>
      <w:snapToGrid w:val="0"/>
      <w:color w:val="000000"/>
      <w:sz w:val="24"/>
      <w:lang w:val="en-US" w:eastAsia="de-DE" w:bidi="en-US"/>
    </w:rPr>
  </w:style>
  <w:style w:type="paragraph" w:customStyle="1" w:styleId="MDPI61Supplementary">
    <w:name w:val="MDPI_6.1_Supplementary"/>
    <w:basedOn w:val="MDPI62Acknowledgments"/>
    <w:qFormat/>
    <w:rsid w:val="00A900D9"/>
    <w:pPr>
      <w:spacing w:before="240"/>
    </w:pPr>
    <w:rPr>
      <w:lang w:eastAsia="en-US"/>
    </w:rPr>
  </w:style>
  <w:style w:type="paragraph" w:customStyle="1" w:styleId="MDPI63AuthorContributions">
    <w:name w:val="MDPI_6.3_AuthorContributions"/>
    <w:basedOn w:val="MDPI62Acknowledgments"/>
    <w:qFormat/>
    <w:rsid w:val="00A900D9"/>
    <w:rPr>
      <w:rFonts w:eastAsia="SimSun"/>
      <w:color w:val="auto"/>
      <w:lang w:eastAsia="en-US"/>
    </w:rPr>
  </w:style>
  <w:style w:type="paragraph" w:customStyle="1" w:styleId="MDPI64CoI">
    <w:name w:val="MDPI_6.4_CoI"/>
    <w:basedOn w:val="MDPI62Acknowledgments"/>
    <w:qFormat/>
    <w:rsid w:val="00A900D9"/>
  </w:style>
  <w:style w:type="paragraph" w:customStyle="1" w:styleId="MDPI31text">
    <w:name w:val="MDPI_3.1_text"/>
    <w:qFormat/>
    <w:rsid w:val="00A900D9"/>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basedOn w:val="MDPI31text"/>
    <w:qFormat/>
    <w:rsid w:val="00A900D9"/>
    <w:pPr>
      <w:spacing w:before="240" w:after="120"/>
      <w:ind w:firstLine="0"/>
      <w:jc w:val="left"/>
      <w:outlineLvl w:val="2"/>
    </w:pPr>
  </w:style>
  <w:style w:type="paragraph" w:customStyle="1" w:styleId="MDPI21heading1">
    <w:name w:val="MDPI_2.1_heading1"/>
    <w:basedOn w:val="MDPI23heading3"/>
    <w:qFormat/>
    <w:rsid w:val="00A900D9"/>
    <w:pPr>
      <w:outlineLvl w:val="0"/>
    </w:pPr>
    <w:rPr>
      <w:b/>
    </w:rPr>
  </w:style>
  <w:style w:type="paragraph" w:customStyle="1" w:styleId="MDPI22heading2">
    <w:name w:val="MDPI_2.2_heading2"/>
    <w:basedOn w:val="Normal"/>
    <w:qFormat/>
    <w:rsid w:val="00A900D9"/>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A900D9"/>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A900D9"/>
    <w:pPr>
      <w:spacing w:line="240" w:lineRule="auto"/>
    </w:pPr>
    <w:rPr>
      <w:sz w:val="18"/>
      <w:szCs w:val="18"/>
    </w:rPr>
  </w:style>
  <w:style w:type="character" w:customStyle="1" w:styleId="BalloonTextChar">
    <w:name w:val="Balloon Text Char"/>
    <w:link w:val="BalloonText"/>
    <w:uiPriority w:val="99"/>
    <w:semiHidden/>
    <w:rsid w:val="00A900D9"/>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A900D9"/>
  </w:style>
  <w:style w:type="table" w:customStyle="1" w:styleId="MDPI41threelinetable">
    <w:name w:val="MDPI_4.1_three_line_table"/>
    <w:basedOn w:val="TableNormal"/>
    <w:uiPriority w:val="99"/>
    <w:rsid w:val="008B3C56"/>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Segoe UI" w:hAnsi="Segoe UI"/>
        <w:b/>
        <w:i w:val="0"/>
        <w:sz w:val="20"/>
      </w:rPr>
      <w:tblPr/>
      <w:tcPr>
        <w:tcBorders>
          <w:bottom w:val="single" w:sz="4" w:space="0" w:color="auto"/>
        </w:tcBorders>
      </w:tcPr>
    </w:tblStylePr>
  </w:style>
  <w:style w:type="character" w:styleId="Hyperlink">
    <w:name w:val="Hyperlink"/>
    <w:uiPriority w:val="99"/>
    <w:unhideWhenUsed/>
    <w:rsid w:val="00366D53"/>
    <w:rPr>
      <w:color w:val="0563C1"/>
      <w:u w:val="single"/>
    </w:rPr>
  </w:style>
  <w:style w:type="character" w:customStyle="1" w:styleId="UnresolvedMention">
    <w:name w:val="Unresolved Mention"/>
    <w:uiPriority w:val="99"/>
    <w:semiHidden/>
    <w:unhideWhenUsed/>
    <w:rsid w:val="001443EE"/>
    <w:rPr>
      <w:color w:val="605E5C"/>
      <w:shd w:val="clear" w:color="auto" w:fill="E1DFDD"/>
    </w:rPr>
  </w:style>
  <w:style w:type="table" w:styleId="PlainTable4">
    <w:name w:val="Plain Table 4"/>
    <w:basedOn w:val="TableNormal"/>
    <w:uiPriority w:val="44"/>
    <w:rsid w:val="00FC009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rmalWeb">
    <w:name w:val="Normal (Web)"/>
    <w:basedOn w:val="Normal"/>
    <w:uiPriority w:val="99"/>
    <w:semiHidden/>
    <w:unhideWhenUsed/>
    <w:rsid w:val="000E02E4"/>
    <w:pPr>
      <w:spacing w:before="100" w:beforeAutospacing="1" w:after="100" w:afterAutospacing="1" w:line="240" w:lineRule="auto"/>
      <w:jc w:val="left"/>
    </w:pPr>
    <w:rPr>
      <w:color w:val="auto"/>
      <w:szCs w:val="24"/>
      <w:lang w:val="en-GB" w:eastAsia="en-GB"/>
    </w:rPr>
  </w:style>
  <w:style w:type="character" w:styleId="Emphasis">
    <w:name w:val="Emphasis"/>
    <w:basedOn w:val="DefaultParagraphFont"/>
    <w:uiPriority w:val="20"/>
    <w:qFormat/>
    <w:rsid w:val="003B630C"/>
    <w:rPr>
      <w:i/>
      <w:iCs/>
    </w:rPr>
  </w:style>
  <w:style w:type="character" w:styleId="FollowedHyperlink">
    <w:name w:val="FollowedHyperlink"/>
    <w:basedOn w:val="DefaultParagraphFont"/>
    <w:uiPriority w:val="99"/>
    <w:semiHidden/>
    <w:unhideWhenUsed/>
    <w:rsid w:val="007D07A7"/>
    <w:rPr>
      <w:color w:val="954F72" w:themeColor="followedHyperlink"/>
      <w:u w:val="single"/>
    </w:rPr>
  </w:style>
  <w:style w:type="paragraph" w:styleId="FootnoteText">
    <w:name w:val="footnote text"/>
    <w:basedOn w:val="Normal"/>
    <w:link w:val="FootnoteTextChar"/>
    <w:uiPriority w:val="99"/>
    <w:semiHidden/>
    <w:unhideWhenUsed/>
    <w:rsid w:val="00B06D43"/>
    <w:pPr>
      <w:spacing w:line="240" w:lineRule="auto"/>
    </w:pPr>
    <w:rPr>
      <w:sz w:val="20"/>
    </w:rPr>
  </w:style>
  <w:style w:type="character" w:customStyle="1" w:styleId="FootnoteTextChar">
    <w:name w:val="Footnote Text Char"/>
    <w:basedOn w:val="DefaultParagraphFont"/>
    <w:link w:val="FootnoteText"/>
    <w:uiPriority w:val="99"/>
    <w:semiHidden/>
    <w:rsid w:val="00B06D43"/>
    <w:rPr>
      <w:rFonts w:ascii="Times New Roman" w:eastAsia="Times New Roman" w:hAnsi="Times New Roman"/>
      <w:color w:val="000000"/>
      <w:lang w:val="en-US" w:eastAsia="de-DE"/>
    </w:rPr>
  </w:style>
  <w:style w:type="character" w:styleId="FootnoteReference">
    <w:name w:val="footnote reference"/>
    <w:basedOn w:val="DefaultParagraphFont"/>
    <w:uiPriority w:val="99"/>
    <w:semiHidden/>
    <w:unhideWhenUsed/>
    <w:rsid w:val="00B06D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7068">
      <w:bodyDiv w:val="1"/>
      <w:marLeft w:val="0"/>
      <w:marRight w:val="0"/>
      <w:marTop w:val="0"/>
      <w:marBottom w:val="0"/>
      <w:divBdr>
        <w:top w:val="none" w:sz="0" w:space="0" w:color="auto"/>
        <w:left w:val="none" w:sz="0" w:space="0" w:color="auto"/>
        <w:bottom w:val="none" w:sz="0" w:space="0" w:color="auto"/>
        <w:right w:val="none" w:sz="0" w:space="0" w:color="auto"/>
      </w:divBdr>
    </w:div>
    <w:div w:id="493573786">
      <w:bodyDiv w:val="1"/>
      <w:marLeft w:val="0"/>
      <w:marRight w:val="0"/>
      <w:marTop w:val="0"/>
      <w:marBottom w:val="0"/>
      <w:divBdr>
        <w:top w:val="none" w:sz="0" w:space="0" w:color="auto"/>
        <w:left w:val="none" w:sz="0" w:space="0" w:color="auto"/>
        <w:bottom w:val="none" w:sz="0" w:space="0" w:color="auto"/>
        <w:right w:val="none" w:sz="0" w:space="0" w:color="auto"/>
      </w:divBdr>
      <w:divsChild>
        <w:div w:id="782649943">
          <w:marLeft w:val="0"/>
          <w:marRight w:val="0"/>
          <w:marTop w:val="0"/>
          <w:marBottom w:val="0"/>
          <w:divBdr>
            <w:top w:val="none" w:sz="0" w:space="0" w:color="auto"/>
            <w:left w:val="none" w:sz="0" w:space="0" w:color="auto"/>
            <w:bottom w:val="none" w:sz="0" w:space="0" w:color="auto"/>
            <w:right w:val="none" w:sz="0" w:space="0" w:color="auto"/>
          </w:divBdr>
        </w:div>
        <w:div w:id="2065179319">
          <w:marLeft w:val="0"/>
          <w:marRight w:val="0"/>
          <w:marTop w:val="0"/>
          <w:marBottom w:val="0"/>
          <w:divBdr>
            <w:top w:val="none" w:sz="0" w:space="0" w:color="auto"/>
            <w:left w:val="none" w:sz="0" w:space="0" w:color="auto"/>
            <w:bottom w:val="none" w:sz="0" w:space="0" w:color="auto"/>
            <w:right w:val="none" w:sz="0" w:space="0" w:color="auto"/>
          </w:divBdr>
        </w:div>
        <w:div w:id="1190337099">
          <w:marLeft w:val="0"/>
          <w:marRight w:val="0"/>
          <w:marTop w:val="0"/>
          <w:marBottom w:val="0"/>
          <w:divBdr>
            <w:top w:val="none" w:sz="0" w:space="0" w:color="auto"/>
            <w:left w:val="none" w:sz="0" w:space="0" w:color="auto"/>
            <w:bottom w:val="none" w:sz="0" w:space="0" w:color="auto"/>
            <w:right w:val="none" w:sz="0" w:space="0" w:color="auto"/>
          </w:divBdr>
        </w:div>
        <w:div w:id="929847746">
          <w:marLeft w:val="0"/>
          <w:marRight w:val="0"/>
          <w:marTop w:val="0"/>
          <w:marBottom w:val="0"/>
          <w:divBdr>
            <w:top w:val="none" w:sz="0" w:space="0" w:color="auto"/>
            <w:left w:val="none" w:sz="0" w:space="0" w:color="auto"/>
            <w:bottom w:val="none" w:sz="0" w:space="0" w:color="auto"/>
            <w:right w:val="none" w:sz="0" w:space="0" w:color="auto"/>
          </w:divBdr>
        </w:div>
      </w:divsChild>
    </w:div>
    <w:div w:id="521095836">
      <w:bodyDiv w:val="1"/>
      <w:marLeft w:val="0"/>
      <w:marRight w:val="0"/>
      <w:marTop w:val="0"/>
      <w:marBottom w:val="0"/>
      <w:divBdr>
        <w:top w:val="none" w:sz="0" w:space="0" w:color="auto"/>
        <w:left w:val="none" w:sz="0" w:space="0" w:color="auto"/>
        <w:bottom w:val="none" w:sz="0" w:space="0" w:color="auto"/>
        <w:right w:val="none" w:sz="0" w:space="0" w:color="auto"/>
      </w:divBdr>
      <w:divsChild>
        <w:div w:id="932251054">
          <w:marLeft w:val="0"/>
          <w:marRight w:val="0"/>
          <w:marTop w:val="0"/>
          <w:marBottom w:val="0"/>
          <w:divBdr>
            <w:top w:val="none" w:sz="0" w:space="0" w:color="auto"/>
            <w:left w:val="none" w:sz="0" w:space="0" w:color="auto"/>
            <w:bottom w:val="none" w:sz="0" w:space="0" w:color="auto"/>
            <w:right w:val="none" w:sz="0" w:space="0" w:color="auto"/>
          </w:divBdr>
          <w:divsChild>
            <w:div w:id="297734403">
              <w:marLeft w:val="0"/>
              <w:marRight w:val="0"/>
              <w:marTop w:val="0"/>
              <w:marBottom w:val="0"/>
              <w:divBdr>
                <w:top w:val="none" w:sz="0" w:space="0" w:color="auto"/>
                <w:left w:val="none" w:sz="0" w:space="0" w:color="auto"/>
                <w:bottom w:val="none" w:sz="0" w:space="0" w:color="auto"/>
                <w:right w:val="none" w:sz="0" w:space="0" w:color="auto"/>
              </w:divBdr>
              <w:divsChild>
                <w:div w:id="1695766681">
                  <w:marLeft w:val="0"/>
                  <w:marRight w:val="0"/>
                  <w:marTop w:val="0"/>
                  <w:marBottom w:val="0"/>
                  <w:divBdr>
                    <w:top w:val="none" w:sz="0" w:space="0" w:color="auto"/>
                    <w:left w:val="none" w:sz="0" w:space="0" w:color="auto"/>
                    <w:bottom w:val="none" w:sz="0" w:space="0" w:color="auto"/>
                    <w:right w:val="none" w:sz="0" w:space="0" w:color="auto"/>
                  </w:divBdr>
                  <w:divsChild>
                    <w:div w:id="2122526896">
                      <w:marLeft w:val="0"/>
                      <w:marRight w:val="0"/>
                      <w:marTop w:val="0"/>
                      <w:marBottom w:val="0"/>
                      <w:divBdr>
                        <w:top w:val="none" w:sz="0" w:space="0" w:color="auto"/>
                        <w:left w:val="none" w:sz="0" w:space="0" w:color="auto"/>
                        <w:bottom w:val="none" w:sz="0" w:space="0" w:color="auto"/>
                        <w:right w:val="none" w:sz="0" w:space="0" w:color="auto"/>
                      </w:divBdr>
                      <w:divsChild>
                        <w:div w:id="1602181476">
                          <w:marLeft w:val="105"/>
                          <w:marRight w:val="105"/>
                          <w:marTop w:val="105"/>
                          <w:marBottom w:val="105"/>
                          <w:divBdr>
                            <w:top w:val="none" w:sz="0" w:space="0" w:color="auto"/>
                            <w:left w:val="none" w:sz="0" w:space="0" w:color="auto"/>
                            <w:bottom w:val="none" w:sz="0" w:space="0" w:color="auto"/>
                            <w:right w:val="none" w:sz="0" w:space="0" w:color="auto"/>
                          </w:divBdr>
                          <w:divsChild>
                            <w:div w:id="569191967">
                              <w:marLeft w:val="0"/>
                              <w:marRight w:val="0"/>
                              <w:marTop w:val="0"/>
                              <w:marBottom w:val="0"/>
                              <w:divBdr>
                                <w:top w:val="none" w:sz="0" w:space="0" w:color="auto"/>
                                <w:left w:val="none" w:sz="0" w:space="0" w:color="auto"/>
                                <w:bottom w:val="none" w:sz="0" w:space="0" w:color="auto"/>
                                <w:right w:val="none" w:sz="0" w:space="0" w:color="auto"/>
                              </w:divBdr>
                              <w:divsChild>
                                <w:div w:id="804548136">
                                  <w:marLeft w:val="0"/>
                                  <w:marRight w:val="0"/>
                                  <w:marTop w:val="0"/>
                                  <w:marBottom w:val="0"/>
                                  <w:divBdr>
                                    <w:top w:val="none" w:sz="0" w:space="0" w:color="auto"/>
                                    <w:left w:val="none" w:sz="0" w:space="0" w:color="auto"/>
                                    <w:bottom w:val="none" w:sz="0" w:space="0" w:color="auto"/>
                                    <w:right w:val="none" w:sz="0" w:space="0" w:color="auto"/>
                                  </w:divBdr>
                                  <w:divsChild>
                                    <w:div w:id="30766696">
                                      <w:marLeft w:val="0"/>
                                      <w:marRight w:val="0"/>
                                      <w:marTop w:val="0"/>
                                      <w:marBottom w:val="0"/>
                                      <w:divBdr>
                                        <w:top w:val="none" w:sz="0" w:space="0" w:color="auto"/>
                                        <w:left w:val="none" w:sz="0" w:space="0" w:color="auto"/>
                                        <w:bottom w:val="none" w:sz="0" w:space="0" w:color="auto"/>
                                        <w:right w:val="none" w:sz="0" w:space="0" w:color="auto"/>
                                      </w:divBdr>
                                      <w:divsChild>
                                        <w:div w:id="166483774">
                                          <w:marLeft w:val="99"/>
                                          <w:marRight w:val="99"/>
                                          <w:marTop w:val="0"/>
                                          <w:marBottom w:val="0"/>
                                          <w:divBdr>
                                            <w:top w:val="none" w:sz="0" w:space="0" w:color="auto"/>
                                            <w:left w:val="none" w:sz="0" w:space="0" w:color="auto"/>
                                            <w:bottom w:val="none" w:sz="0" w:space="0" w:color="auto"/>
                                            <w:right w:val="none" w:sz="0" w:space="0" w:color="auto"/>
                                          </w:divBdr>
                                          <w:divsChild>
                                            <w:div w:id="1738240068">
                                              <w:marLeft w:val="0"/>
                                              <w:marRight w:val="0"/>
                                              <w:marTop w:val="0"/>
                                              <w:marBottom w:val="0"/>
                                              <w:divBdr>
                                                <w:top w:val="none" w:sz="0" w:space="0" w:color="auto"/>
                                                <w:left w:val="none" w:sz="0" w:space="0" w:color="auto"/>
                                                <w:bottom w:val="none" w:sz="0" w:space="0" w:color="auto"/>
                                                <w:right w:val="none" w:sz="0" w:space="0" w:color="auto"/>
                                              </w:divBdr>
                                              <w:divsChild>
                                                <w:div w:id="1125122454">
                                                  <w:marLeft w:val="105"/>
                                                  <w:marRight w:val="105"/>
                                                  <w:marTop w:val="105"/>
                                                  <w:marBottom w:val="105"/>
                                                  <w:divBdr>
                                                    <w:top w:val="none" w:sz="0" w:space="0" w:color="auto"/>
                                                    <w:left w:val="none" w:sz="0" w:space="0" w:color="auto"/>
                                                    <w:bottom w:val="none" w:sz="0" w:space="0" w:color="auto"/>
                                                    <w:right w:val="none" w:sz="0" w:space="0" w:color="auto"/>
                                                  </w:divBdr>
                                                  <w:divsChild>
                                                    <w:div w:id="36904166">
                                                      <w:marLeft w:val="0"/>
                                                      <w:marRight w:val="0"/>
                                                      <w:marTop w:val="0"/>
                                                      <w:marBottom w:val="0"/>
                                                      <w:divBdr>
                                                        <w:top w:val="none" w:sz="0" w:space="0" w:color="auto"/>
                                                        <w:left w:val="none" w:sz="0" w:space="0" w:color="auto"/>
                                                        <w:bottom w:val="none" w:sz="0" w:space="0" w:color="auto"/>
                                                        <w:right w:val="none" w:sz="0" w:space="0" w:color="auto"/>
                                                      </w:divBdr>
                                                      <w:divsChild>
                                                        <w:div w:id="1895384622">
                                                          <w:marLeft w:val="0"/>
                                                          <w:marRight w:val="0"/>
                                                          <w:marTop w:val="0"/>
                                                          <w:marBottom w:val="0"/>
                                                          <w:divBdr>
                                                            <w:top w:val="none" w:sz="0" w:space="0" w:color="auto"/>
                                                            <w:left w:val="none" w:sz="0" w:space="0" w:color="auto"/>
                                                            <w:bottom w:val="none" w:sz="0" w:space="0" w:color="auto"/>
                                                            <w:right w:val="none" w:sz="0" w:space="0" w:color="auto"/>
                                                          </w:divBdr>
                                                          <w:divsChild>
                                                            <w:div w:id="174196309">
                                                              <w:marLeft w:val="0"/>
                                                              <w:marRight w:val="0"/>
                                                              <w:marTop w:val="0"/>
                                                              <w:marBottom w:val="0"/>
                                                              <w:divBdr>
                                                                <w:top w:val="none" w:sz="0" w:space="0" w:color="auto"/>
                                                                <w:left w:val="none" w:sz="0" w:space="0" w:color="auto"/>
                                                                <w:bottom w:val="none" w:sz="0" w:space="0" w:color="auto"/>
                                                                <w:right w:val="none" w:sz="0" w:space="0" w:color="auto"/>
                                                              </w:divBdr>
                                                              <w:divsChild>
                                                                <w:div w:id="1458454539">
                                                                  <w:marLeft w:val="0"/>
                                                                  <w:marRight w:val="0"/>
                                                                  <w:marTop w:val="0"/>
                                                                  <w:marBottom w:val="0"/>
                                                                  <w:divBdr>
                                                                    <w:top w:val="none" w:sz="0" w:space="0" w:color="auto"/>
                                                                    <w:left w:val="none" w:sz="0" w:space="0" w:color="auto"/>
                                                                    <w:bottom w:val="none" w:sz="0" w:space="0" w:color="auto"/>
                                                                    <w:right w:val="none" w:sz="0" w:space="0" w:color="auto"/>
                                                                  </w:divBdr>
                                                                  <w:divsChild>
                                                                    <w:div w:id="7394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6474729">
      <w:bodyDiv w:val="1"/>
      <w:marLeft w:val="0"/>
      <w:marRight w:val="0"/>
      <w:marTop w:val="0"/>
      <w:marBottom w:val="0"/>
      <w:divBdr>
        <w:top w:val="none" w:sz="0" w:space="0" w:color="auto"/>
        <w:left w:val="none" w:sz="0" w:space="0" w:color="auto"/>
        <w:bottom w:val="none" w:sz="0" w:space="0" w:color="auto"/>
        <w:right w:val="none" w:sz="0" w:space="0" w:color="auto"/>
      </w:divBdr>
    </w:div>
    <w:div w:id="614871879">
      <w:bodyDiv w:val="1"/>
      <w:marLeft w:val="0"/>
      <w:marRight w:val="0"/>
      <w:marTop w:val="0"/>
      <w:marBottom w:val="0"/>
      <w:divBdr>
        <w:top w:val="none" w:sz="0" w:space="0" w:color="auto"/>
        <w:left w:val="none" w:sz="0" w:space="0" w:color="auto"/>
        <w:bottom w:val="none" w:sz="0" w:space="0" w:color="auto"/>
        <w:right w:val="none" w:sz="0" w:space="0" w:color="auto"/>
      </w:divBdr>
    </w:div>
    <w:div w:id="779757928">
      <w:bodyDiv w:val="1"/>
      <w:marLeft w:val="0"/>
      <w:marRight w:val="0"/>
      <w:marTop w:val="0"/>
      <w:marBottom w:val="0"/>
      <w:divBdr>
        <w:top w:val="none" w:sz="0" w:space="0" w:color="auto"/>
        <w:left w:val="none" w:sz="0" w:space="0" w:color="auto"/>
        <w:bottom w:val="none" w:sz="0" w:space="0" w:color="auto"/>
        <w:right w:val="none" w:sz="0" w:space="0" w:color="auto"/>
      </w:divBdr>
    </w:div>
    <w:div w:id="849024983">
      <w:bodyDiv w:val="1"/>
      <w:marLeft w:val="0"/>
      <w:marRight w:val="0"/>
      <w:marTop w:val="0"/>
      <w:marBottom w:val="0"/>
      <w:divBdr>
        <w:top w:val="none" w:sz="0" w:space="0" w:color="auto"/>
        <w:left w:val="none" w:sz="0" w:space="0" w:color="auto"/>
        <w:bottom w:val="none" w:sz="0" w:space="0" w:color="auto"/>
        <w:right w:val="none" w:sz="0" w:space="0" w:color="auto"/>
      </w:divBdr>
      <w:divsChild>
        <w:div w:id="167328282">
          <w:marLeft w:val="202"/>
          <w:marRight w:val="0"/>
          <w:marTop w:val="341"/>
          <w:marBottom w:val="57"/>
          <w:divBdr>
            <w:top w:val="none" w:sz="0" w:space="0" w:color="auto"/>
            <w:left w:val="none" w:sz="0" w:space="0" w:color="auto"/>
            <w:bottom w:val="none" w:sz="0" w:space="0" w:color="auto"/>
            <w:right w:val="none" w:sz="0" w:space="0" w:color="auto"/>
          </w:divBdr>
        </w:div>
        <w:div w:id="839659074">
          <w:marLeft w:val="202"/>
          <w:marRight w:val="0"/>
          <w:marTop w:val="341"/>
          <w:marBottom w:val="57"/>
          <w:divBdr>
            <w:top w:val="none" w:sz="0" w:space="0" w:color="auto"/>
            <w:left w:val="none" w:sz="0" w:space="0" w:color="auto"/>
            <w:bottom w:val="none" w:sz="0" w:space="0" w:color="auto"/>
            <w:right w:val="none" w:sz="0" w:space="0" w:color="auto"/>
          </w:divBdr>
        </w:div>
        <w:div w:id="1979142361">
          <w:marLeft w:val="202"/>
          <w:marRight w:val="0"/>
          <w:marTop w:val="341"/>
          <w:marBottom w:val="57"/>
          <w:divBdr>
            <w:top w:val="none" w:sz="0" w:space="0" w:color="auto"/>
            <w:left w:val="none" w:sz="0" w:space="0" w:color="auto"/>
            <w:bottom w:val="none" w:sz="0" w:space="0" w:color="auto"/>
            <w:right w:val="none" w:sz="0" w:space="0" w:color="auto"/>
          </w:divBdr>
        </w:div>
      </w:divsChild>
    </w:div>
    <w:div w:id="875044393">
      <w:bodyDiv w:val="1"/>
      <w:marLeft w:val="0"/>
      <w:marRight w:val="0"/>
      <w:marTop w:val="0"/>
      <w:marBottom w:val="0"/>
      <w:divBdr>
        <w:top w:val="none" w:sz="0" w:space="0" w:color="auto"/>
        <w:left w:val="none" w:sz="0" w:space="0" w:color="auto"/>
        <w:bottom w:val="none" w:sz="0" w:space="0" w:color="auto"/>
        <w:right w:val="none" w:sz="0" w:space="0" w:color="auto"/>
      </w:divBdr>
      <w:divsChild>
        <w:div w:id="1975864538">
          <w:marLeft w:val="0"/>
          <w:marRight w:val="0"/>
          <w:marTop w:val="0"/>
          <w:marBottom w:val="0"/>
          <w:divBdr>
            <w:top w:val="none" w:sz="0" w:space="0" w:color="auto"/>
            <w:left w:val="none" w:sz="0" w:space="0" w:color="auto"/>
            <w:bottom w:val="none" w:sz="0" w:space="0" w:color="auto"/>
            <w:right w:val="none" w:sz="0" w:space="0" w:color="auto"/>
          </w:divBdr>
        </w:div>
        <w:div w:id="1433474607">
          <w:marLeft w:val="0"/>
          <w:marRight w:val="0"/>
          <w:marTop w:val="0"/>
          <w:marBottom w:val="0"/>
          <w:divBdr>
            <w:top w:val="none" w:sz="0" w:space="0" w:color="auto"/>
            <w:left w:val="none" w:sz="0" w:space="0" w:color="auto"/>
            <w:bottom w:val="none" w:sz="0" w:space="0" w:color="auto"/>
            <w:right w:val="none" w:sz="0" w:space="0" w:color="auto"/>
          </w:divBdr>
        </w:div>
        <w:div w:id="115218760">
          <w:marLeft w:val="0"/>
          <w:marRight w:val="0"/>
          <w:marTop w:val="0"/>
          <w:marBottom w:val="0"/>
          <w:divBdr>
            <w:top w:val="none" w:sz="0" w:space="0" w:color="auto"/>
            <w:left w:val="none" w:sz="0" w:space="0" w:color="auto"/>
            <w:bottom w:val="none" w:sz="0" w:space="0" w:color="auto"/>
            <w:right w:val="none" w:sz="0" w:space="0" w:color="auto"/>
          </w:divBdr>
        </w:div>
        <w:div w:id="1597637603">
          <w:marLeft w:val="0"/>
          <w:marRight w:val="0"/>
          <w:marTop w:val="0"/>
          <w:marBottom w:val="0"/>
          <w:divBdr>
            <w:top w:val="none" w:sz="0" w:space="0" w:color="auto"/>
            <w:left w:val="none" w:sz="0" w:space="0" w:color="auto"/>
            <w:bottom w:val="none" w:sz="0" w:space="0" w:color="auto"/>
            <w:right w:val="none" w:sz="0" w:space="0" w:color="auto"/>
          </w:divBdr>
        </w:div>
      </w:divsChild>
    </w:div>
    <w:div w:id="892084881">
      <w:bodyDiv w:val="1"/>
      <w:marLeft w:val="0"/>
      <w:marRight w:val="0"/>
      <w:marTop w:val="0"/>
      <w:marBottom w:val="0"/>
      <w:divBdr>
        <w:top w:val="none" w:sz="0" w:space="0" w:color="auto"/>
        <w:left w:val="none" w:sz="0" w:space="0" w:color="auto"/>
        <w:bottom w:val="none" w:sz="0" w:space="0" w:color="auto"/>
        <w:right w:val="none" w:sz="0" w:space="0" w:color="auto"/>
      </w:divBdr>
      <w:divsChild>
        <w:div w:id="930745485">
          <w:marLeft w:val="0"/>
          <w:marRight w:val="0"/>
          <w:marTop w:val="0"/>
          <w:marBottom w:val="0"/>
          <w:divBdr>
            <w:top w:val="none" w:sz="0" w:space="0" w:color="auto"/>
            <w:left w:val="none" w:sz="0" w:space="0" w:color="auto"/>
            <w:bottom w:val="none" w:sz="0" w:space="0" w:color="auto"/>
            <w:right w:val="none" w:sz="0" w:space="0" w:color="auto"/>
          </w:divBdr>
        </w:div>
        <w:div w:id="292753516">
          <w:marLeft w:val="0"/>
          <w:marRight w:val="0"/>
          <w:marTop w:val="0"/>
          <w:marBottom w:val="0"/>
          <w:divBdr>
            <w:top w:val="none" w:sz="0" w:space="0" w:color="auto"/>
            <w:left w:val="none" w:sz="0" w:space="0" w:color="auto"/>
            <w:bottom w:val="none" w:sz="0" w:space="0" w:color="auto"/>
            <w:right w:val="none" w:sz="0" w:space="0" w:color="auto"/>
          </w:divBdr>
        </w:div>
        <w:div w:id="190072252">
          <w:marLeft w:val="0"/>
          <w:marRight w:val="0"/>
          <w:marTop w:val="0"/>
          <w:marBottom w:val="0"/>
          <w:divBdr>
            <w:top w:val="none" w:sz="0" w:space="0" w:color="auto"/>
            <w:left w:val="none" w:sz="0" w:space="0" w:color="auto"/>
            <w:bottom w:val="none" w:sz="0" w:space="0" w:color="auto"/>
            <w:right w:val="none" w:sz="0" w:space="0" w:color="auto"/>
          </w:divBdr>
        </w:div>
        <w:div w:id="1801725155">
          <w:marLeft w:val="0"/>
          <w:marRight w:val="0"/>
          <w:marTop w:val="0"/>
          <w:marBottom w:val="0"/>
          <w:divBdr>
            <w:top w:val="none" w:sz="0" w:space="0" w:color="auto"/>
            <w:left w:val="none" w:sz="0" w:space="0" w:color="auto"/>
            <w:bottom w:val="none" w:sz="0" w:space="0" w:color="auto"/>
            <w:right w:val="none" w:sz="0" w:space="0" w:color="auto"/>
          </w:divBdr>
        </w:div>
      </w:divsChild>
    </w:div>
    <w:div w:id="1077433079">
      <w:bodyDiv w:val="1"/>
      <w:marLeft w:val="0"/>
      <w:marRight w:val="0"/>
      <w:marTop w:val="0"/>
      <w:marBottom w:val="0"/>
      <w:divBdr>
        <w:top w:val="none" w:sz="0" w:space="0" w:color="auto"/>
        <w:left w:val="none" w:sz="0" w:space="0" w:color="auto"/>
        <w:bottom w:val="none" w:sz="0" w:space="0" w:color="auto"/>
        <w:right w:val="none" w:sz="0" w:space="0" w:color="auto"/>
      </w:divBdr>
      <w:divsChild>
        <w:div w:id="1144661253">
          <w:marLeft w:val="202"/>
          <w:marRight w:val="0"/>
          <w:marTop w:val="341"/>
          <w:marBottom w:val="57"/>
          <w:divBdr>
            <w:top w:val="none" w:sz="0" w:space="0" w:color="auto"/>
            <w:left w:val="none" w:sz="0" w:space="0" w:color="auto"/>
            <w:bottom w:val="none" w:sz="0" w:space="0" w:color="auto"/>
            <w:right w:val="none" w:sz="0" w:space="0" w:color="auto"/>
          </w:divBdr>
        </w:div>
      </w:divsChild>
    </w:div>
    <w:div w:id="1347243815">
      <w:bodyDiv w:val="1"/>
      <w:marLeft w:val="0"/>
      <w:marRight w:val="0"/>
      <w:marTop w:val="0"/>
      <w:marBottom w:val="0"/>
      <w:divBdr>
        <w:top w:val="none" w:sz="0" w:space="0" w:color="auto"/>
        <w:left w:val="none" w:sz="0" w:space="0" w:color="auto"/>
        <w:bottom w:val="none" w:sz="0" w:space="0" w:color="auto"/>
        <w:right w:val="none" w:sz="0" w:space="0" w:color="auto"/>
      </w:divBdr>
    </w:div>
    <w:div w:id="1366518256">
      <w:bodyDiv w:val="1"/>
      <w:marLeft w:val="0"/>
      <w:marRight w:val="0"/>
      <w:marTop w:val="0"/>
      <w:marBottom w:val="0"/>
      <w:divBdr>
        <w:top w:val="none" w:sz="0" w:space="0" w:color="auto"/>
        <w:left w:val="none" w:sz="0" w:space="0" w:color="auto"/>
        <w:bottom w:val="none" w:sz="0" w:space="0" w:color="auto"/>
        <w:right w:val="none" w:sz="0" w:space="0" w:color="auto"/>
      </w:divBdr>
    </w:div>
    <w:div w:id="1420642714">
      <w:bodyDiv w:val="1"/>
      <w:marLeft w:val="0"/>
      <w:marRight w:val="0"/>
      <w:marTop w:val="0"/>
      <w:marBottom w:val="0"/>
      <w:divBdr>
        <w:top w:val="none" w:sz="0" w:space="0" w:color="auto"/>
        <w:left w:val="none" w:sz="0" w:space="0" w:color="auto"/>
        <w:bottom w:val="none" w:sz="0" w:space="0" w:color="auto"/>
        <w:right w:val="none" w:sz="0" w:space="0" w:color="auto"/>
      </w:divBdr>
      <w:divsChild>
        <w:div w:id="2014918975">
          <w:marLeft w:val="0"/>
          <w:marRight w:val="0"/>
          <w:marTop w:val="0"/>
          <w:marBottom w:val="330"/>
          <w:divBdr>
            <w:top w:val="none" w:sz="0" w:space="0" w:color="auto"/>
            <w:left w:val="none" w:sz="0" w:space="0" w:color="auto"/>
            <w:bottom w:val="none" w:sz="0" w:space="0" w:color="auto"/>
            <w:right w:val="none" w:sz="0" w:space="0" w:color="auto"/>
          </w:divBdr>
        </w:div>
        <w:div w:id="1103260268">
          <w:marLeft w:val="0"/>
          <w:marRight w:val="0"/>
          <w:marTop w:val="90"/>
          <w:marBottom w:val="0"/>
          <w:divBdr>
            <w:top w:val="none" w:sz="0" w:space="0" w:color="auto"/>
            <w:left w:val="none" w:sz="0" w:space="0" w:color="auto"/>
            <w:bottom w:val="none" w:sz="0" w:space="0" w:color="auto"/>
            <w:right w:val="none" w:sz="0" w:space="0" w:color="auto"/>
          </w:divBdr>
        </w:div>
      </w:divsChild>
    </w:div>
    <w:div w:id="1433865823">
      <w:bodyDiv w:val="1"/>
      <w:marLeft w:val="0"/>
      <w:marRight w:val="0"/>
      <w:marTop w:val="0"/>
      <w:marBottom w:val="0"/>
      <w:divBdr>
        <w:top w:val="none" w:sz="0" w:space="0" w:color="auto"/>
        <w:left w:val="none" w:sz="0" w:space="0" w:color="auto"/>
        <w:bottom w:val="none" w:sz="0" w:space="0" w:color="auto"/>
        <w:right w:val="none" w:sz="0" w:space="0" w:color="auto"/>
      </w:divBdr>
      <w:divsChild>
        <w:div w:id="2015448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99228696">
      <w:bodyDiv w:val="1"/>
      <w:marLeft w:val="0"/>
      <w:marRight w:val="0"/>
      <w:marTop w:val="0"/>
      <w:marBottom w:val="0"/>
      <w:divBdr>
        <w:top w:val="none" w:sz="0" w:space="0" w:color="auto"/>
        <w:left w:val="none" w:sz="0" w:space="0" w:color="auto"/>
        <w:bottom w:val="none" w:sz="0" w:space="0" w:color="auto"/>
        <w:right w:val="none" w:sz="0" w:space="0" w:color="auto"/>
      </w:divBdr>
    </w:div>
    <w:div w:id="1558974692">
      <w:bodyDiv w:val="1"/>
      <w:marLeft w:val="0"/>
      <w:marRight w:val="0"/>
      <w:marTop w:val="0"/>
      <w:marBottom w:val="0"/>
      <w:divBdr>
        <w:top w:val="none" w:sz="0" w:space="0" w:color="auto"/>
        <w:left w:val="none" w:sz="0" w:space="0" w:color="auto"/>
        <w:bottom w:val="none" w:sz="0" w:space="0" w:color="auto"/>
        <w:right w:val="none" w:sz="0" w:space="0" w:color="auto"/>
      </w:divBdr>
    </w:div>
    <w:div w:id="1658414823">
      <w:bodyDiv w:val="1"/>
      <w:marLeft w:val="0"/>
      <w:marRight w:val="0"/>
      <w:marTop w:val="0"/>
      <w:marBottom w:val="0"/>
      <w:divBdr>
        <w:top w:val="none" w:sz="0" w:space="0" w:color="auto"/>
        <w:left w:val="none" w:sz="0" w:space="0" w:color="auto"/>
        <w:bottom w:val="none" w:sz="0" w:space="0" w:color="auto"/>
        <w:right w:val="none" w:sz="0" w:space="0" w:color="auto"/>
      </w:divBdr>
    </w:div>
    <w:div w:id="1779253323">
      <w:bodyDiv w:val="1"/>
      <w:marLeft w:val="0"/>
      <w:marRight w:val="0"/>
      <w:marTop w:val="0"/>
      <w:marBottom w:val="0"/>
      <w:divBdr>
        <w:top w:val="none" w:sz="0" w:space="0" w:color="auto"/>
        <w:left w:val="none" w:sz="0" w:space="0" w:color="auto"/>
        <w:bottom w:val="none" w:sz="0" w:space="0" w:color="auto"/>
        <w:right w:val="none" w:sz="0" w:space="0" w:color="auto"/>
      </w:divBdr>
      <w:divsChild>
        <w:div w:id="180366165">
          <w:marLeft w:val="0"/>
          <w:marRight w:val="0"/>
          <w:marTop w:val="0"/>
          <w:marBottom w:val="0"/>
          <w:divBdr>
            <w:top w:val="none" w:sz="0" w:space="0" w:color="auto"/>
            <w:left w:val="none" w:sz="0" w:space="0" w:color="auto"/>
            <w:bottom w:val="none" w:sz="0" w:space="0" w:color="auto"/>
            <w:right w:val="none" w:sz="0" w:space="0" w:color="auto"/>
          </w:divBdr>
        </w:div>
      </w:divsChild>
    </w:div>
    <w:div w:id="1795977938">
      <w:bodyDiv w:val="1"/>
      <w:marLeft w:val="0"/>
      <w:marRight w:val="0"/>
      <w:marTop w:val="0"/>
      <w:marBottom w:val="0"/>
      <w:divBdr>
        <w:top w:val="none" w:sz="0" w:space="0" w:color="auto"/>
        <w:left w:val="none" w:sz="0" w:space="0" w:color="auto"/>
        <w:bottom w:val="none" w:sz="0" w:space="0" w:color="auto"/>
        <w:right w:val="none" w:sz="0" w:space="0" w:color="auto"/>
      </w:divBdr>
    </w:div>
    <w:div w:id="1883512779">
      <w:bodyDiv w:val="1"/>
      <w:marLeft w:val="0"/>
      <w:marRight w:val="0"/>
      <w:marTop w:val="0"/>
      <w:marBottom w:val="0"/>
      <w:divBdr>
        <w:top w:val="none" w:sz="0" w:space="0" w:color="auto"/>
        <w:left w:val="none" w:sz="0" w:space="0" w:color="auto"/>
        <w:bottom w:val="none" w:sz="0" w:space="0" w:color="auto"/>
        <w:right w:val="none" w:sz="0" w:space="0" w:color="auto"/>
      </w:divBdr>
    </w:div>
    <w:div w:id="1954824137">
      <w:bodyDiv w:val="1"/>
      <w:marLeft w:val="0"/>
      <w:marRight w:val="0"/>
      <w:marTop w:val="0"/>
      <w:marBottom w:val="0"/>
      <w:divBdr>
        <w:top w:val="none" w:sz="0" w:space="0" w:color="auto"/>
        <w:left w:val="none" w:sz="0" w:space="0" w:color="auto"/>
        <w:bottom w:val="none" w:sz="0" w:space="0" w:color="auto"/>
        <w:right w:val="none" w:sz="0" w:space="0" w:color="auto"/>
      </w:divBdr>
      <w:divsChild>
        <w:div w:id="124591289">
          <w:marLeft w:val="0"/>
          <w:marRight w:val="0"/>
          <w:marTop w:val="0"/>
          <w:marBottom w:val="0"/>
          <w:divBdr>
            <w:top w:val="none" w:sz="0" w:space="0" w:color="auto"/>
            <w:left w:val="none" w:sz="0" w:space="0" w:color="auto"/>
            <w:bottom w:val="none" w:sz="0" w:space="0" w:color="auto"/>
            <w:right w:val="none" w:sz="0" w:space="0" w:color="auto"/>
          </w:divBdr>
        </w:div>
        <w:div w:id="1676761541">
          <w:marLeft w:val="0"/>
          <w:marRight w:val="0"/>
          <w:marTop w:val="0"/>
          <w:marBottom w:val="0"/>
          <w:divBdr>
            <w:top w:val="none" w:sz="0" w:space="0" w:color="auto"/>
            <w:left w:val="none" w:sz="0" w:space="0" w:color="auto"/>
            <w:bottom w:val="none" w:sz="0" w:space="0" w:color="auto"/>
            <w:right w:val="none" w:sz="0" w:space="0" w:color="auto"/>
          </w:divBdr>
        </w:div>
      </w:divsChild>
    </w:div>
    <w:div w:id="2002850075">
      <w:bodyDiv w:val="1"/>
      <w:marLeft w:val="0"/>
      <w:marRight w:val="0"/>
      <w:marTop w:val="0"/>
      <w:marBottom w:val="0"/>
      <w:divBdr>
        <w:top w:val="none" w:sz="0" w:space="0" w:color="auto"/>
        <w:left w:val="none" w:sz="0" w:space="0" w:color="auto"/>
        <w:bottom w:val="none" w:sz="0" w:space="0" w:color="auto"/>
        <w:right w:val="none" w:sz="0" w:space="0" w:color="auto"/>
      </w:divBdr>
      <w:divsChild>
        <w:div w:id="335111615">
          <w:marLeft w:val="0"/>
          <w:marRight w:val="0"/>
          <w:marTop w:val="15"/>
          <w:marBottom w:val="0"/>
          <w:divBdr>
            <w:top w:val="none" w:sz="0" w:space="0" w:color="auto"/>
            <w:left w:val="none" w:sz="0" w:space="0" w:color="auto"/>
            <w:bottom w:val="none" w:sz="0" w:space="0" w:color="auto"/>
            <w:right w:val="none" w:sz="0" w:space="0" w:color="auto"/>
          </w:divBdr>
          <w:divsChild>
            <w:div w:id="1513179125">
              <w:marLeft w:val="0"/>
              <w:marRight w:val="0"/>
              <w:marTop w:val="0"/>
              <w:marBottom w:val="0"/>
              <w:divBdr>
                <w:top w:val="none" w:sz="0" w:space="0" w:color="auto"/>
                <w:left w:val="none" w:sz="0" w:space="0" w:color="auto"/>
                <w:bottom w:val="none" w:sz="0" w:space="0" w:color="auto"/>
                <w:right w:val="none" w:sz="0" w:space="0" w:color="auto"/>
              </w:divBdr>
              <w:divsChild>
                <w:div w:id="1660115571">
                  <w:marLeft w:val="0"/>
                  <w:marRight w:val="0"/>
                  <w:marTop w:val="0"/>
                  <w:marBottom w:val="0"/>
                  <w:divBdr>
                    <w:top w:val="none" w:sz="0" w:space="0" w:color="auto"/>
                    <w:left w:val="none" w:sz="0" w:space="0" w:color="auto"/>
                    <w:bottom w:val="none" w:sz="0" w:space="0" w:color="auto"/>
                    <w:right w:val="none" w:sz="0" w:space="0" w:color="auto"/>
                  </w:divBdr>
                </w:div>
                <w:div w:id="163789150">
                  <w:marLeft w:val="0"/>
                  <w:marRight w:val="0"/>
                  <w:marTop w:val="0"/>
                  <w:marBottom w:val="0"/>
                  <w:divBdr>
                    <w:top w:val="none" w:sz="0" w:space="0" w:color="auto"/>
                    <w:left w:val="none" w:sz="0" w:space="0" w:color="auto"/>
                    <w:bottom w:val="none" w:sz="0" w:space="0" w:color="auto"/>
                    <w:right w:val="none" w:sz="0" w:space="0" w:color="auto"/>
                  </w:divBdr>
                </w:div>
                <w:div w:id="1401714555">
                  <w:marLeft w:val="0"/>
                  <w:marRight w:val="0"/>
                  <w:marTop w:val="0"/>
                  <w:marBottom w:val="0"/>
                  <w:divBdr>
                    <w:top w:val="none" w:sz="0" w:space="0" w:color="auto"/>
                    <w:left w:val="none" w:sz="0" w:space="0" w:color="auto"/>
                    <w:bottom w:val="none" w:sz="0" w:space="0" w:color="auto"/>
                    <w:right w:val="none" w:sz="0" w:space="0" w:color="auto"/>
                  </w:divBdr>
                </w:div>
                <w:div w:id="1301349405">
                  <w:marLeft w:val="0"/>
                  <w:marRight w:val="0"/>
                  <w:marTop w:val="0"/>
                  <w:marBottom w:val="0"/>
                  <w:divBdr>
                    <w:top w:val="none" w:sz="0" w:space="0" w:color="auto"/>
                    <w:left w:val="none" w:sz="0" w:space="0" w:color="auto"/>
                    <w:bottom w:val="none" w:sz="0" w:space="0" w:color="auto"/>
                    <w:right w:val="none" w:sz="0" w:space="0" w:color="auto"/>
                  </w:divBdr>
                </w:div>
                <w:div w:id="1165441451">
                  <w:marLeft w:val="0"/>
                  <w:marRight w:val="0"/>
                  <w:marTop w:val="0"/>
                  <w:marBottom w:val="0"/>
                  <w:divBdr>
                    <w:top w:val="none" w:sz="0" w:space="0" w:color="auto"/>
                    <w:left w:val="none" w:sz="0" w:space="0" w:color="auto"/>
                    <w:bottom w:val="none" w:sz="0" w:space="0" w:color="auto"/>
                    <w:right w:val="none" w:sz="0" w:space="0" w:color="auto"/>
                  </w:divBdr>
                </w:div>
                <w:div w:id="1733891735">
                  <w:marLeft w:val="0"/>
                  <w:marRight w:val="0"/>
                  <w:marTop w:val="0"/>
                  <w:marBottom w:val="0"/>
                  <w:divBdr>
                    <w:top w:val="none" w:sz="0" w:space="0" w:color="auto"/>
                    <w:left w:val="none" w:sz="0" w:space="0" w:color="auto"/>
                    <w:bottom w:val="none" w:sz="0" w:space="0" w:color="auto"/>
                    <w:right w:val="none" w:sz="0" w:space="0" w:color="auto"/>
                  </w:divBdr>
                </w:div>
                <w:div w:id="902328621">
                  <w:marLeft w:val="0"/>
                  <w:marRight w:val="0"/>
                  <w:marTop w:val="0"/>
                  <w:marBottom w:val="0"/>
                  <w:divBdr>
                    <w:top w:val="none" w:sz="0" w:space="0" w:color="auto"/>
                    <w:left w:val="none" w:sz="0" w:space="0" w:color="auto"/>
                    <w:bottom w:val="none" w:sz="0" w:space="0" w:color="auto"/>
                    <w:right w:val="none" w:sz="0" w:space="0" w:color="auto"/>
                  </w:divBdr>
                </w:div>
                <w:div w:id="2109228856">
                  <w:marLeft w:val="0"/>
                  <w:marRight w:val="0"/>
                  <w:marTop w:val="0"/>
                  <w:marBottom w:val="0"/>
                  <w:divBdr>
                    <w:top w:val="none" w:sz="0" w:space="0" w:color="auto"/>
                    <w:left w:val="none" w:sz="0" w:space="0" w:color="auto"/>
                    <w:bottom w:val="none" w:sz="0" w:space="0" w:color="auto"/>
                    <w:right w:val="none" w:sz="0" w:space="0" w:color="auto"/>
                  </w:divBdr>
                </w:div>
                <w:div w:id="1004698236">
                  <w:marLeft w:val="0"/>
                  <w:marRight w:val="0"/>
                  <w:marTop w:val="0"/>
                  <w:marBottom w:val="0"/>
                  <w:divBdr>
                    <w:top w:val="none" w:sz="0" w:space="0" w:color="auto"/>
                    <w:left w:val="none" w:sz="0" w:space="0" w:color="auto"/>
                    <w:bottom w:val="none" w:sz="0" w:space="0" w:color="auto"/>
                    <w:right w:val="none" w:sz="0" w:space="0" w:color="auto"/>
                  </w:divBdr>
                </w:div>
                <w:div w:id="589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12208">
      <w:bodyDiv w:val="1"/>
      <w:marLeft w:val="0"/>
      <w:marRight w:val="0"/>
      <w:marTop w:val="0"/>
      <w:marBottom w:val="0"/>
      <w:divBdr>
        <w:top w:val="none" w:sz="0" w:space="0" w:color="auto"/>
        <w:left w:val="none" w:sz="0" w:space="0" w:color="auto"/>
        <w:bottom w:val="none" w:sz="0" w:space="0" w:color="auto"/>
        <w:right w:val="none" w:sz="0" w:space="0" w:color="auto"/>
      </w:divBdr>
      <w:divsChild>
        <w:div w:id="925184604">
          <w:marLeft w:val="202"/>
          <w:marRight w:val="0"/>
          <w:marTop w:val="341"/>
          <w:marBottom w:val="57"/>
          <w:divBdr>
            <w:top w:val="none" w:sz="0" w:space="0" w:color="auto"/>
            <w:left w:val="none" w:sz="0" w:space="0" w:color="auto"/>
            <w:bottom w:val="none" w:sz="0" w:space="0" w:color="auto"/>
            <w:right w:val="none" w:sz="0" w:space="0" w:color="auto"/>
          </w:divBdr>
        </w:div>
      </w:divsChild>
    </w:div>
    <w:div w:id="2025595310">
      <w:bodyDiv w:val="1"/>
      <w:marLeft w:val="0"/>
      <w:marRight w:val="0"/>
      <w:marTop w:val="0"/>
      <w:marBottom w:val="0"/>
      <w:divBdr>
        <w:top w:val="none" w:sz="0" w:space="0" w:color="auto"/>
        <w:left w:val="none" w:sz="0" w:space="0" w:color="auto"/>
        <w:bottom w:val="none" w:sz="0" w:space="0" w:color="auto"/>
        <w:right w:val="none" w:sz="0" w:space="0" w:color="auto"/>
      </w:divBdr>
    </w:div>
    <w:div w:id="2067339599">
      <w:bodyDiv w:val="1"/>
      <w:marLeft w:val="0"/>
      <w:marRight w:val="0"/>
      <w:marTop w:val="0"/>
      <w:marBottom w:val="0"/>
      <w:divBdr>
        <w:top w:val="none" w:sz="0" w:space="0" w:color="auto"/>
        <w:left w:val="none" w:sz="0" w:space="0" w:color="auto"/>
        <w:bottom w:val="none" w:sz="0" w:space="0" w:color="auto"/>
        <w:right w:val="none" w:sz="0" w:space="0" w:color="auto"/>
      </w:divBdr>
      <w:divsChild>
        <w:div w:id="88939874">
          <w:marLeft w:val="0"/>
          <w:marRight w:val="0"/>
          <w:marTop w:val="0"/>
          <w:marBottom w:val="0"/>
          <w:divBdr>
            <w:top w:val="none" w:sz="0" w:space="0" w:color="auto"/>
            <w:left w:val="none" w:sz="0" w:space="0" w:color="auto"/>
            <w:bottom w:val="none" w:sz="0" w:space="0" w:color="auto"/>
            <w:right w:val="none" w:sz="0" w:space="0" w:color="auto"/>
          </w:divBdr>
          <w:divsChild>
            <w:div w:id="293148043">
              <w:marLeft w:val="0"/>
              <w:marRight w:val="0"/>
              <w:marTop w:val="0"/>
              <w:marBottom w:val="0"/>
              <w:divBdr>
                <w:top w:val="none" w:sz="0" w:space="0" w:color="auto"/>
                <w:left w:val="none" w:sz="0" w:space="0" w:color="auto"/>
                <w:bottom w:val="none" w:sz="0" w:space="0" w:color="auto"/>
                <w:right w:val="none" w:sz="0" w:space="0" w:color="auto"/>
              </w:divBdr>
              <w:divsChild>
                <w:div w:id="2085834858">
                  <w:marLeft w:val="0"/>
                  <w:marRight w:val="0"/>
                  <w:marTop w:val="0"/>
                  <w:marBottom w:val="0"/>
                  <w:divBdr>
                    <w:top w:val="none" w:sz="0" w:space="0" w:color="auto"/>
                    <w:left w:val="none" w:sz="0" w:space="0" w:color="auto"/>
                    <w:bottom w:val="none" w:sz="0" w:space="0" w:color="auto"/>
                    <w:right w:val="none" w:sz="0" w:space="0" w:color="auto"/>
                  </w:divBdr>
                  <w:divsChild>
                    <w:div w:id="1398211804">
                      <w:marLeft w:val="0"/>
                      <w:marRight w:val="0"/>
                      <w:marTop w:val="0"/>
                      <w:marBottom w:val="0"/>
                      <w:divBdr>
                        <w:top w:val="none" w:sz="0" w:space="0" w:color="auto"/>
                        <w:left w:val="none" w:sz="0" w:space="0" w:color="auto"/>
                        <w:bottom w:val="none" w:sz="0" w:space="0" w:color="auto"/>
                        <w:right w:val="none" w:sz="0" w:space="0" w:color="auto"/>
                      </w:divBdr>
                      <w:divsChild>
                        <w:div w:id="2004813243">
                          <w:marLeft w:val="105"/>
                          <w:marRight w:val="105"/>
                          <w:marTop w:val="105"/>
                          <w:marBottom w:val="105"/>
                          <w:divBdr>
                            <w:top w:val="none" w:sz="0" w:space="0" w:color="auto"/>
                            <w:left w:val="none" w:sz="0" w:space="0" w:color="auto"/>
                            <w:bottom w:val="none" w:sz="0" w:space="0" w:color="auto"/>
                            <w:right w:val="none" w:sz="0" w:space="0" w:color="auto"/>
                          </w:divBdr>
                          <w:divsChild>
                            <w:div w:id="1063872282">
                              <w:marLeft w:val="0"/>
                              <w:marRight w:val="0"/>
                              <w:marTop w:val="0"/>
                              <w:marBottom w:val="0"/>
                              <w:divBdr>
                                <w:top w:val="none" w:sz="0" w:space="0" w:color="auto"/>
                                <w:left w:val="none" w:sz="0" w:space="0" w:color="auto"/>
                                <w:bottom w:val="none" w:sz="0" w:space="0" w:color="auto"/>
                                <w:right w:val="none" w:sz="0" w:space="0" w:color="auto"/>
                              </w:divBdr>
                              <w:divsChild>
                                <w:div w:id="641078712">
                                  <w:marLeft w:val="0"/>
                                  <w:marRight w:val="0"/>
                                  <w:marTop w:val="0"/>
                                  <w:marBottom w:val="0"/>
                                  <w:divBdr>
                                    <w:top w:val="none" w:sz="0" w:space="0" w:color="auto"/>
                                    <w:left w:val="none" w:sz="0" w:space="0" w:color="auto"/>
                                    <w:bottom w:val="none" w:sz="0" w:space="0" w:color="auto"/>
                                    <w:right w:val="none" w:sz="0" w:space="0" w:color="auto"/>
                                  </w:divBdr>
                                  <w:divsChild>
                                    <w:div w:id="1196623209">
                                      <w:marLeft w:val="0"/>
                                      <w:marRight w:val="0"/>
                                      <w:marTop w:val="0"/>
                                      <w:marBottom w:val="0"/>
                                      <w:divBdr>
                                        <w:top w:val="none" w:sz="0" w:space="0" w:color="auto"/>
                                        <w:left w:val="none" w:sz="0" w:space="0" w:color="auto"/>
                                        <w:bottom w:val="none" w:sz="0" w:space="0" w:color="auto"/>
                                        <w:right w:val="none" w:sz="0" w:space="0" w:color="auto"/>
                                      </w:divBdr>
                                      <w:divsChild>
                                        <w:div w:id="1063137192">
                                          <w:marLeft w:val="99"/>
                                          <w:marRight w:val="99"/>
                                          <w:marTop w:val="0"/>
                                          <w:marBottom w:val="0"/>
                                          <w:divBdr>
                                            <w:top w:val="none" w:sz="0" w:space="0" w:color="auto"/>
                                            <w:left w:val="none" w:sz="0" w:space="0" w:color="auto"/>
                                            <w:bottom w:val="none" w:sz="0" w:space="0" w:color="auto"/>
                                            <w:right w:val="none" w:sz="0" w:space="0" w:color="auto"/>
                                          </w:divBdr>
                                          <w:divsChild>
                                            <w:div w:id="771824950">
                                              <w:marLeft w:val="0"/>
                                              <w:marRight w:val="0"/>
                                              <w:marTop w:val="0"/>
                                              <w:marBottom w:val="0"/>
                                              <w:divBdr>
                                                <w:top w:val="none" w:sz="0" w:space="0" w:color="auto"/>
                                                <w:left w:val="none" w:sz="0" w:space="0" w:color="auto"/>
                                                <w:bottom w:val="none" w:sz="0" w:space="0" w:color="auto"/>
                                                <w:right w:val="none" w:sz="0" w:space="0" w:color="auto"/>
                                              </w:divBdr>
                                              <w:divsChild>
                                                <w:div w:id="1658804758">
                                                  <w:marLeft w:val="105"/>
                                                  <w:marRight w:val="105"/>
                                                  <w:marTop w:val="105"/>
                                                  <w:marBottom w:val="105"/>
                                                  <w:divBdr>
                                                    <w:top w:val="none" w:sz="0" w:space="0" w:color="auto"/>
                                                    <w:left w:val="none" w:sz="0" w:space="0" w:color="auto"/>
                                                    <w:bottom w:val="none" w:sz="0" w:space="0" w:color="auto"/>
                                                    <w:right w:val="none" w:sz="0" w:space="0" w:color="auto"/>
                                                  </w:divBdr>
                                                  <w:divsChild>
                                                    <w:div w:id="916744876">
                                                      <w:marLeft w:val="0"/>
                                                      <w:marRight w:val="0"/>
                                                      <w:marTop w:val="0"/>
                                                      <w:marBottom w:val="0"/>
                                                      <w:divBdr>
                                                        <w:top w:val="none" w:sz="0" w:space="0" w:color="auto"/>
                                                        <w:left w:val="none" w:sz="0" w:space="0" w:color="auto"/>
                                                        <w:bottom w:val="none" w:sz="0" w:space="0" w:color="auto"/>
                                                        <w:right w:val="none" w:sz="0" w:space="0" w:color="auto"/>
                                                      </w:divBdr>
                                                      <w:divsChild>
                                                        <w:div w:id="569460906">
                                                          <w:marLeft w:val="0"/>
                                                          <w:marRight w:val="0"/>
                                                          <w:marTop w:val="0"/>
                                                          <w:marBottom w:val="0"/>
                                                          <w:divBdr>
                                                            <w:top w:val="none" w:sz="0" w:space="0" w:color="auto"/>
                                                            <w:left w:val="none" w:sz="0" w:space="0" w:color="auto"/>
                                                            <w:bottom w:val="none" w:sz="0" w:space="0" w:color="auto"/>
                                                            <w:right w:val="none" w:sz="0" w:space="0" w:color="auto"/>
                                                          </w:divBdr>
                                                          <w:divsChild>
                                                            <w:div w:id="888877380">
                                                              <w:marLeft w:val="0"/>
                                                              <w:marRight w:val="0"/>
                                                              <w:marTop w:val="0"/>
                                                              <w:marBottom w:val="0"/>
                                                              <w:divBdr>
                                                                <w:top w:val="none" w:sz="0" w:space="0" w:color="auto"/>
                                                                <w:left w:val="none" w:sz="0" w:space="0" w:color="auto"/>
                                                                <w:bottom w:val="none" w:sz="0" w:space="0" w:color="auto"/>
                                                                <w:right w:val="none" w:sz="0" w:space="0" w:color="auto"/>
                                                              </w:divBdr>
                                                              <w:divsChild>
                                                                <w:div w:id="832372771">
                                                                  <w:marLeft w:val="0"/>
                                                                  <w:marRight w:val="0"/>
                                                                  <w:marTop w:val="0"/>
                                                                  <w:marBottom w:val="0"/>
                                                                  <w:divBdr>
                                                                    <w:top w:val="none" w:sz="0" w:space="0" w:color="auto"/>
                                                                    <w:left w:val="none" w:sz="0" w:space="0" w:color="auto"/>
                                                                    <w:bottom w:val="none" w:sz="0" w:space="0" w:color="auto"/>
                                                                    <w:right w:val="none" w:sz="0" w:space="0" w:color="auto"/>
                                                                  </w:divBdr>
                                                                  <w:divsChild>
                                                                    <w:div w:id="7989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9010425">
      <w:bodyDiv w:val="1"/>
      <w:marLeft w:val="0"/>
      <w:marRight w:val="0"/>
      <w:marTop w:val="0"/>
      <w:marBottom w:val="0"/>
      <w:divBdr>
        <w:top w:val="none" w:sz="0" w:space="0" w:color="auto"/>
        <w:left w:val="none" w:sz="0" w:space="0" w:color="auto"/>
        <w:bottom w:val="none" w:sz="0" w:space="0" w:color="auto"/>
        <w:right w:val="none" w:sz="0" w:space="0" w:color="auto"/>
      </w:divBdr>
      <w:divsChild>
        <w:div w:id="1536305269">
          <w:marLeft w:val="202"/>
          <w:marRight w:val="0"/>
          <w:marTop w:val="341"/>
          <w:marBottom w:val="57"/>
          <w:divBdr>
            <w:top w:val="none" w:sz="0" w:space="0" w:color="auto"/>
            <w:left w:val="none" w:sz="0" w:space="0" w:color="auto"/>
            <w:bottom w:val="none" w:sz="0" w:space="0" w:color="auto"/>
            <w:right w:val="none" w:sz="0" w:space="0" w:color="auto"/>
          </w:divBdr>
        </w:div>
        <w:div w:id="237177339">
          <w:marLeft w:val="202"/>
          <w:marRight w:val="0"/>
          <w:marTop w:val="341"/>
          <w:marBottom w:val="57"/>
          <w:divBdr>
            <w:top w:val="none" w:sz="0" w:space="0" w:color="auto"/>
            <w:left w:val="none" w:sz="0" w:space="0" w:color="auto"/>
            <w:bottom w:val="none" w:sz="0" w:space="0" w:color="auto"/>
            <w:right w:val="none" w:sz="0" w:space="0" w:color="auto"/>
          </w:divBdr>
        </w:div>
        <w:div w:id="1710762577">
          <w:marLeft w:val="202"/>
          <w:marRight w:val="0"/>
          <w:marTop w:val="341"/>
          <w:marBottom w:val="57"/>
          <w:divBdr>
            <w:top w:val="none" w:sz="0" w:space="0" w:color="auto"/>
            <w:left w:val="none" w:sz="0" w:space="0" w:color="auto"/>
            <w:bottom w:val="none" w:sz="0" w:space="0" w:color="auto"/>
            <w:right w:val="none" w:sz="0" w:space="0" w:color="auto"/>
          </w:divBdr>
        </w:div>
      </w:divsChild>
    </w:div>
    <w:div w:id="2129471289">
      <w:bodyDiv w:val="1"/>
      <w:marLeft w:val="0"/>
      <w:marRight w:val="0"/>
      <w:marTop w:val="0"/>
      <w:marBottom w:val="0"/>
      <w:divBdr>
        <w:top w:val="none" w:sz="0" w:space="0" w:color="auto"/>
        <w:left w:val="none" w:sz="0" w:space="0" w:color="auto"/>
        <w:bottom w:val="none" w:sz="0" w:space="0" w:color="auto"/>
        <w:right w:val="none" w:sz="0" w:space="0" w:color="auto"/>
      </w:divBdr>
      <w:divsChild>
        <w:div w:id="1532105809">
          <w:marLeft w:val="0"/>
          <w:marRight w:val="0"/>
          <w:marTop w:val="0"/>
          <w:marBottom w:val="0"/>
          <w:divBdr>
            <w:top w:val="none" w:sz="0" w:space="0" w:color="auto"/>
            <w:left w:val="none" w:sz="0" w:space="0" w:color="auto"/>
            <w:bottom w:val="none" w:sz="0" w:space="0" w:color="auto"/>
            <w:right w:val="none" w:sz="0" w:space="0" w:color="auto"/>
          </w:divBdr>
        </w:div>
      </w:divsChild>
    </w:div>
    <w:div w:id="2143034290">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h235\Work%20Folders\Documents\akhultgren\Documents\Work\Lecturer2014\Communication\Publications\Hultgr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F9194-F159-4AC8-9DBE-DA9EC4E9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Hultgren</Template>
  <TotalTime>4</TotalTime>
  <Pages>13</Pages>
  <Words>6910</Words>
  <Characters>39388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Hultgren</dc:creator>
  <cp:keywords/>
  <dc:description/>
  <cp:lastModifiedBy>Kristina Hultgren</cp:lastModifiedBy>
  <cp:revision>6</cp:revision>
  <dcterms:created xsi:type="dcterms:W3CDTF">2018-12-20T06:13:00Z</dcterms:created>
  <dcterms:modified xsi:type="dcterms:W3CDTF">2019-02-08T03:56:00Z</dcterms:modified>
</cp:coreProperties>
</file>