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BC" w:rsidRDefault="00DD1CBC" w:rsidP="00DD1CBC">
      <w:pPr>
        <w:pStyle w:val="Normal1"/>
        <w:spacing w:line="360" w:lineRule="auto"/>
        <w:ind w:right="-284"/>
        <w:jc w:val="both"/>
        <w:rPr>
          <w:rFonts w:ascii="Times New Roman" w:hAnsi="Times New Roman" w:cs="Times New Roman"/>
          <w:color w:val="000000"/>
          <w:lang w:val="en-US"/>
        </w:rPr>
      </w:pPr>
      <w:r w:rsidRPr="00B14469">
        <w:rPr>
          <w:rFonts w:ascii="Times New Roman" w:eastAsia="Calibri" w:hAnsi="Times New Roman" w:cs="Times New Roman"/>
          <w:b/>
          <w:lang w:val="en-US"/>
        </w:rPr>
        <w:t xml:space="preserve">Table </w:t>
      </w:r>
      <w:r w:rsidR="002D242E">
        <w:rPr>
          <w:rFonts w:ascii="Times New Roman" w:eastAsia="Calibri" w:hAnsi="Times New Roman" w:cs="Times New Roman"/>
          <w:b/>
          <w:lang w:val="en-US"/>
        </w:rPr>
        <w:t>S1</w:t>
      </w:r>
      <w:r>
        <w:rPr>
          <w:rFonts w:ascii="Times New Roman" w:eastAsia="Calibri" w:hAnsi="Times New Roman" w:cs="Times New Roman"/>
          <w:lang w:val="en-US"/>
        </w:rPr>
        <w:t>. P</w:t>
      </w:r>
      <w:r w:rsidR="002D242E">
        <w:rPr>
          <w:rFonts w:ascii="Times New Roman" w:eastAsia="Calibri" w:hAnsi="Times New Roman" w:cs="Times New Roman"/>
          <w:lang w:val="en-US"/>
        </w:rPr>
        <w:t>utative South American lineage</w:t>
      </w:r>
      <w:r w:rsidR="00332768">
        <w:rPr>
          <w:rFonts w:ascii="Times New Roman" w:eastAsia="Calibri" w:hAnsi="Times New Roman" w:cs="Times New Roman"/>
          <w:lang w:val="en-US"/>
        </w:rPr>
        <w:t>s</w:t>
      </w:r>
      <w:r>
        <w:rPr>
          <w:rFonts w:ascii="Times New Roman" w:eastAsia="Calibri" w:hAnsi="Times New Roman" w:cs="Times New Roman"/>
          <w:lang w:val="en-US"/>
        </w:rPr>
        <w:t xml:space="preserve"> inferred with maximum-likelihood trees based on different p</w:t>
      </w:r>
      <w:r w:rsidR="002D242E">
        <w:rPr>
          <w:rFonts w:ascii="Times New Roman" w:eastAsia="Calibri" w:hAnsi="Times New Roman" w:cs="Times New Roman"/>
          <w:lang w:val="en-US"/>
        </w:rPr>
        <w:t>ortions of the S1 coding region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of all South American strains available in </w:t>
      </w:r>
      <w:proofErr w:type="spellStart"/>
      <w:r>
        <w:rPr>
          <w:rFonts w:ascii="Times New Roman" w:eastAsia="Calibri" w:hAnsi="Times New Roman" w:cs="Times New Roman"/>
          <w:lang w:val="en-US"/>
        </w:rPr>
        <w:t>GenBank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including </w:t>
      </w:r>
      <w:r>
        <w:rPr>
          <w:rFonts w:ascii="Times New Roman" w:hAnsi="Times New Roman" w:cs="Times New Roman"/>
          <w:lang w:val="en-US"/>
        </w:rPr>
        <w:t xml:space="preserve">Brazilian </w:t>
      </w:r>
      <w:r w:rsidR="003A3569">
        <w:rPr>
          <w:rFonts w:ascii="Times New Roman" w:hAnsi="Times New Roman" w:cs="Times New Roman"/>
          <w:lang w:val="en-US"/>
        </w:rPr>
        <w:t>(n=222</w:t>
      </w:r>
      <w:r>
        <w:rPr>
          <w:rFonts w:ascii="Times New Roman" w:hAnsi="Times New Roman" w:cs="Times New Roman"/>
          <w:lang w:val="en-US"/>
        </w:rPr>
        <w:t>), Argent</w:t>
      </w:r>
      <w:r w:rsidR="00900B99">
        <w:rPr>
          <w:rFonts w:ascii="Times New Roman" w:hAnsi="Times New Roman" w:cs="Times New Roman"/>
          <w:lang w:val="en-US"/>
        </w:rPr>
        <w:t>ine (n=19), Colombian (n=17),</w:t>
      </w:r>
      <w:r>
        <w:rPr>
          <w:rFonts w:ascii="Times New Roman" w:hAnsi="Times New Roman" w:cs="Times New Roman"/>
          <w:lang w:val="en-US"/>
        </w:rPr>
        <w:t xml:space="preserve"> Chilean (n=9)</w:t>
      </w:r>
      <w:r w:rsidR="004B451E">
        <w:rPr>
          <w:rFonts w:ascii="Times New Roman" w:hAnsi="Times New Roman" w:cs="Times New Roman"/>
          <w:lang w:val="en-US"/>
        </w:rPr>
        <w:t xml:space="preserve"> and Peruvian (n=2</w:t>
      </w:r>
      <w:bookmarkStart w:id="0" w:name="_GoBack"/>
      <w:bookmarkEnd w:id="0"/>
      <w:r w:rsidR="00900B99">
        <w:rPr>
          <w:rFonts w:ascii="Times New Roman" w:hAnsi="Times New Roman" w:cs="Times New Roman"/>
          <w:lang w:val="en-US"/>
        </w:rPr>
        <w:t>) strains</w:t>
      </w:r>
      <w:r>
        <w:rPr>
          <w:rFonts w:ascii="Times New Roman" w:eastAsia="Calibri" w:hAnsi="Times New Roman" w:cs="Times New Roman"/>
          <w:lang w:val="en-US"/>
        </w:rPr>
        <w:t xml:space="preserve">. South American genotype or cluster name </w:t>
      </w:r>
      <w:r>
        <w:rPr>
          <w:rFonts w:ascii="Times New Roman" w:hAnsi="Times New Roman" w:cs="Times New Roman"/>
          <w:color w:val="000000"/>
          <w:lang w:val="en-US"/>
        </w:rPr>
        <w:t>assigned in original publication are shown in parentheses.</w:t>
      </w:r>
    </w:p>
    <w:p w:rsidR="00DD1CBC" w:rsidRDefault="00DD1CBC" w:rsidP="00DD1CBC">
      <w:pPr>
        <w:pStyle w:val="Normal1"/>
        <w:spacing w:line="360" w:lineRule="auto"/>
        <w:ind w:right="-284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1159"/>
        <w:gridCol w:w="1414"/>
        <w:gridCol w:w="1156"/>
        <w:gridCol w:w="2476"/>
        <w:gridCol w:w="2289"/>
      </w:tblGrid>
      <w:tr w:rsidR="00DD1CBC" w:rsidRPr="004B451E" w:rsidTr="00F844F2">
        <w:trPr>
          <w:trHeight w:val="597"/>
        </w:trPr>
        <w:tc>
          <w:tcPr>
            <w:tcW w:w="1159" w:type="dxa"/>
          </w:tcPr>
          <w:p w:rsidR="00DD1CBC" w:rsidRPr="004B451E" w:rsidRDefault="00DD1CBC" w:rsidP="00FF4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51E">
              <w:rPr>
                <w:b/>
                <w:sz w:val="22"/>
                <w:szCs w:val="22"/>
                <w:lang w:val="en-US"/>
              </w:rPr>
              <w:t>S1 region analyzed*</w:t>
            </w:r>
          </w:p>
        </w:tc>
        <w:tc>
          <w:tcPr>
            <w:tcW w:w="1414" w:type="dxa"/>
          </w:tcPr>
          <w:p w:rsidR="00DD1CBC" w:rsidRPr="004B451E" w:rsidRDefault="00DD1CBC" w:rsidP="00FF4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51E">
              <w:rPr>
                <w:b/>
                <w:sz w:val="22"/>
                <w:szCs w:val="22"/>
                <w:lang w:val="en-US"/>
              </w:rPr>
              <w:t>Collection year</w:t>
            </w:r>
          </w:p>
        </w:tc>
        <w:tc>
          <w:tcPr>
            <w:tcW w:w="1156" w:type="dxa"/>
          </w:tcPr>
          <w:p w:rsidR="00DD1CBC" w:rsidRPr="004B451E" w:rsidRDefault="00DD1CBC" w:rsidP="00FF4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51E">
              <w:rPr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476" w:type="dxa"/>
          </w:tcPr>
          <w:p w:rsidR="00DD1CBC" w:rsidRPr="004B451E" w:rsidRDefault="00DD1CBC" w:rsidP="00FF4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51E">
              <w:rPr>
                <w:b/>
                <w:sz w:val="22"/>
                <w:szCs w:val="22"/>
                <w:lang w:val="en-US"/>
              </w:rPr>
              <w:t>Put</w:t>
            </w:r>
            <w:r w:rsidR="002D242E" w:rsidRPr="004B451E">
              <w:rPr>
                <w:b/>
                <w:sz w:val="22"/>
                <w:szCs w:val="22"/>
                <w:lang w:val="en-US"/>
              </w:rPr>
              <w:t>ative South American lineage</w:t>
            </w:r>
            <w:r w:rsidRPr="004B451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9" w:type="dxa"/>
          </w:tcPr>
          <w:p w:rsidR="00DD1CBC" w:rsidRPr="004B451E" w:rsidRDefault="00DD1CBC" w:rsidP="00FF46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51E">
              <w:rPr>
                <w:b/>
                <w:sz w:val="22"/>
                <w:szCs w:val="22"/>
                <w:lang w:val="en-US"/>
              </w:rPr>
              <w:t>Reference</w:t>
            </w:r>
          </w:p>
        </w:tc>
      </w:tr>
      <w:tr w:rsidR="00DD1CBC" w:rsidTr="00F844F2">
        <w:trPr>
          <w:trHeight w:val="313"/>
        </w:trPr>
        <w:tc>
          <w:tcPr>
            <w:tcW w:w="1159" w:type="dxa"/>
            <w:vAlign w:val="center"/>
          </w:tcPr>
          <w:p w:rsidR="00DD1CBC" w:rsidRPr="004B451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4B451E">
              <w:rPr>
                <w:sz w:val="22"/>
                <w:szCs w:val="22"/>
                <w:lang w:val="en-US"/>
              </w:rPr>
              <w:t>1-571</w:t>
            </w:r>
          </w:p>
        </w:tc>
        <w:tc>
          <w:tcPr>
            <w:tcW w:w="1414" w:type="dxa"/>
            <w:vAlign w:val="center"/>
          </w:tcPr>
          <w:p w:rsidR="00DD1CBC" w:rsidRPr="004B451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4B451E">
              <w:rPr>
                <w:sz w:val="22"/>
                <w:szCs w:val="22"/>
                <w:lang w:val="en-US"/>
              </w:rPr>
              <w:t>2002-2006</w:t>
            </w:r>
          </w:p>
        </w:tc>
        <w:tc>
          <w:tcPr>
            <w:tcW w:w="1156" w:type="dxa"/>
            <w:vAlign w:val="center"/>
          </w:tcPr>
          <w:p w:rsidR="00DD1CBC" w:rsidRPr="004B451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4B451E"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DD1CBC" w:rsidRDefault="00A043C7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GI-11</w:t>
            </w:r>
            <w:r w:rsidR="00DD1CBC">
              <w:rPr>
                <w:sz w:val="22"/>
                <w:szCs w:val="22"/>
              </w:rPr>
              <w:t xml:space="preserve"> (</w:t>
            </w:r>
            <w:proofErr w:type="spellStart"/>
            <w:r w:rsidR="00DD1CBC">
              <w:rPr>
                <w:sz w:val="22"/>
                <w:szCs w:val="22"/>
              </w:rPr>
              <w:t>Brazilian</w:t>
            </w:r>
            <w:proofErr w:type="spellEnd"/>
            <w:r w:rsidR="00DD1CBC">
              <w:rPr>
                <w:sz w:val="22"/>
                <w:szCs w:val="22"/>
              </w:rPr>
              <w:t xml:space="preserve"> </w:t>
            </w:r>
            <w:proofErr w:type="spellStart"/>
            <w:r w:rsidR="00DD1CBC">
              <w:rPr>
                <w:sz w:val="22"/>
                <w:szCs w:val="22"/>
              </w:rPr>
              <w:t>strains</w:t>
            </w:r>
            <w:proofErr w:type="spellEnd"/>
            <w:r w:rsidR="00DD1CBC">
              <w:rPr>
                <w:sz w:val="22"/>
                <w:szCs w:val="22"/>
              </w:rPr>
              <w:t xml:space="preserve"> </w:t>
            </w:r>
            <w:proofErr w:type="spellStart"/>
            <w:r w:rsidR="00DD1CBC">
              <w:rPr>
                <w:sz w:val="22"/>
                <w:szCs w:val="22"/>
              </w:rPr>
              <w:t>group</w:t>
            </w:r>
            <w:proofErr w:type="spellEnd"/>
            <w:r w:rsidR="00DD1CB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89" w:type="dxa"/>
            <w:vAlign w:val="center"/>
          </w:tcPr>
          <w:p w:rsidR="00DD1CBC" w:rsidRDefault="00DD1CBC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Villarreal et al., 2007</w:t>
            </w:r>
          </w:p>
        </w:tc>
      </w:tr>
      <w:tr w:rsidR="002D242E" w:rsidRPr="002D242E" w:rsidTr="00F844F2">
        <w:trPr>
          <w:trHeight w:val="313"/>
        </w:trPr>
        <w:tc>
          <w:tcPr>
            <w:tcW w:w="1159" w:type="dxa"/>
            <w:vAlign w:val="center"/>
          </w:tcPr>
          <w:p w:rsidR="002D242E" w:rsidRDefault="002D242E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720-1065</w:t>
            </w:r>
          </w:p>
        </w:tc>
        <w:tc>
          <w:tcPr>
            <w:tcW w:w="1414" w:type="dxa"/>
            <w:vAlign w:val="center"/>
          </w:tcPr>
          <w:p w:rsidR="002D242E" w:rsidRDefault="002D242E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</w:t>
            </w:r>
          </w:p>
        </w:tc>
        <w:tc>
          <w:tcPr>
            <w:tcW w:w="1156" w:type="dxa"/>
            <w:vAlign w:val="center"/>
          </w:tcPr>
          <w:p w:rsidR="002D242E" w:rsidRDefault="002D242E" w:rsidP="00FF4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Brazil</w:t>
            </w:r>
            <w:proofErr w:type="spellEnd"/>
          </w:p>
        </w:tc>
        <w:tc>
          <w:tcPr>
            <w:tcW w:w="2476" w:type="dxa"/>
            <w:vAlign w:val="center"/>
          </w:tcPr>
          <w:p w:rsidR="00F844F2" w:rsidRDefault="00F844F2" w:rsidP="00F844F2">
            <w:pPr>
              <w:jc w:val="center"/>
              <w:rPr>
                <w:sz w:val="22"/>
                <w:szCs w:val="22"/>
                <w:lang w:val="en-US"/>
              </w:rPr>
            </w:pPr>
            <w:r w:rsidRPr="00F844F2">
              <w:rPr>
                <w:sz w:val="22"/>
                <w:szCs w:val="22"/>
                <w:lang w:val="en-US"/>
              </w:rPr>
              <w:t>GI-1 (Massachusetts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F844F2" w:rsidRPr="00F844F2" w:rsidRDefault="00F844F2" w:rsidP="00F844F2">
            <w:pPr>
              <w:jc w:val="center"/>
              <w:rPr>
                <w:sz w:val="22"/>
                <w:szCs w:val="22"/>
                <w:lang w:val="en-US"/>
              </w:rPr>
            </w:pPr>
            <w:r w:rsidRPr="00F844F2">
              <w:rPr>
                <w:sz w:val="22"/>
                <w:szCs w:val="22"/>
                <w:lang w:val="en-US"/>
              </w:rPr>
              <w:t>GI-11 (Brazil)</w:t>
            </w:r>
          </w:p>
          <w:p w:rsidR="002D242E" w:rsidRPr="00F844F2" w:rsidRDefault="00F844F2" w:rsidP="00F844F2">
            <w:pPr>
              <w:jc w:val="center"/>
              <w:rPr>
                <w:sz w:val="22"/>
                <w:szCs w:val="22"/>
                <w:lang w:val="en-US"/>
              </w:rPr>
            </w:pPr>
            <w:r w:rsidRPr="00F844F2">
              <w:rPr>
                <w:sz w:val="22"/>
                <w:szCs w:val="22"/>
                <w:lang w:val="en-US"/>
              </w:rPr>
              <w:t>GI-13 (4/91-793B)</w:t>
            </w:r>
          </w:p>
        </w:tc>
        <w:tc>
          <w:tcPr>
            <w:tcW w:w="2289" w:type="dxa"/>
            <w:vAlign w:val="center"/>
          </w:tcPr>
          <w:p w:rsidR="002D242E" w:rsidRPr="002D242E" w:rsidRDefault="002D242E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Villarreal et al.,</w:t>
            </w:r>
            <w:r>
              <w:rPr>
                <w:sz w:val="22"/>
                <w:szCs w:val="22"/>
                <w:lang w:val="en-US"/>
              </w:rPr>
              <w:t xml:space="preserve"> 2010</w:t>
            </w:r>
          </w:p>
        </w:tc>
      </w:tr>
      <w:tr w:rsidR="00DD1CBC" w:rsidRPr="002D242E" w:rsidTr="00F844F2">
        <w:trPr>
          <w:trHeight w:val="313"/>
        </w:trPr>
        <w:tc>
          <w:tcPr>
            <w:tcW w:w="1159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229-556</w:t>
            </w:r>
          </w:p>
        </w:tc>
        <w:tc>
          <w:tcPr>
            <w:tcW w:w="1414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2003-2009</w:t>
            </w:r>
          </w:p>
        </w:tc>
        <w:tc>
          <w:tcPr>
            <w:tcW w:w="1156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DD1CBC" w:rsidRDefault="00A043C7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 (</w:t>
            </w:r>
            <w:r w:rsidR="00DD1CBC">
              <w:rPr>
                <w:sz w:val="22"/>
                <w:szCs w:val="22"/>
                <w:lang w:val="en-US"/>
              </w:rPr>
              <w:t>Massachusetts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DD1CBC" w:rsidRDefault="00A043C7" w:rsidP="00A043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GI-11 (Cluster D207)</w:t>
            </w:r>
          </w:p>
        </w:tc>
        <w:tc>
          <w:tcPr>
            <w:tcW w:w="2289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D242E">
              <w:rPr>
                <w:sz w:val="22"/>
                <w:szCs w:val="22"/>
                <w:lang w:val="en-US"/>
              </w:rPr>
              <w:t>Felippe</w:t>
            </w:r>
            <w:proofErr w:type="spellEnd"/>
            <w:r w:rsidRPr="002D242E">
              <w:rPr>
                <w:sz w:val="22"/>
                <w:szCs w:val="22"/>
                <w:lang w:val="en-US"/>
              </w:rPr>
              <w:t xml:space="preserve"> et al., 2010</w:t>
            </w:r>
          </w:p>
        </w:tc>
      </w:tr>
      <w:tr w:rsidR="00DD1CBC" w:rsidTr="00F844F2">
        <w:trPr>
          <w:trHeight w:val="436"/>
        </w:trPr>
        <w:tc>
          <w:tcPr>
            <w:tcW w:w="1159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1-536</w:t>
            </w:r>
          </w:p>
        </w:tc>
        <w:tc>
          <w:tcPr>
            <w:tcW w:w="1414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2003-2009</w:t>
            </w:r>
          </w:p>
        </w:tc>
        <w:tc>
          <w:tcPr>
            <w:tcW w:w="1156" w:type="dxa"/>
            <w:vAlign w:val="center"/>
          </w:tcPr>
          <w:p w:rsidR="00DD1CBC" w:rsidRPr="002D242E" w:rsidRDefault="00DD1CBC" w:rsidP="00FF46A0">
            <w:pPr>
              <w:jc w:val="center"/>
              <w:rPr>
                <w:sz w:val="22"/>
                <w:szCs w:val="22"/>
                <w:lang w:val="en-US"/>
              </w:rPr>
            </w:pPr>
            <w:r w:rsidRPr="002D242E"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DD1CBC" w:rsidRDefault="00A043C7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GI-11</w:t>
            </w:r>
            <w:r w:rsidR="00DD1CBC" w:rsidRPr="002D242E">
              <w:rPr>
                <w:sz w:val="22"/>
                <w:szCs w:val="22"/>
                <w:lang w:val="en-US"/>
              </w:rPr>
              <w:t xml:space="preserve"> (G</w:t>
            </w:r>
            <w:proofErr w:type="spellStart"/>
            <w:r w:rsidR="00DD1CBC">
              <w:rPr>
                <w:sz w:val="22"/>
                <w:szCs w:val="22"/>
              </w:rPr>
              <w:t>enotype</w:t>
            </w:r>
            <w:proofErr w:type="spellEnd"/>
            <w:r w:rsidR="00DD1CBC">
              <w:rPr>
                <w:sz w:val="22"/>
                <w:szCs w:val="22"/>
              </w:rPr>
              <w:t xml:space="preserve"> BR I) </w:t>
            </w:r>
          </w:p>
        </w:tc>
        <w:tc>
          <w:tcPr>
            <w:tcW w:w="2289" w:type="dxa"/>
            <w:vAlign w:val="center"/>
          </w:tcPr>
          <w:p w:rsidR="00DD1CBC" w:rsidRDefault="00DD1CBC" w:rsidP="00FF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Chacón et al., 2011</w:t>
            </w:r>
          </w:p>
        </w:tc>
      </w:tr>
      <w:tr w:rsidR="0083211A" w:rsidRPr="0083211A" w:rsidTr="00F844F2">
        <w:trPr>
          <w:trHeight w:val="436"/>
        </w:trPr>
        <w:tc>
          <w:tcPr>
            <w:tcW w:w="1159" w:type="dxa"/>
            <w:vAlign w:val="center"/>
          </w:tcPr>
          <w:p w:rsidR="0083211A" w:rsidRPr="002D242E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1-567</w:t>
            </w:r>
          </w:p>
        </w:tc>
        <w:tc>
          <w:tcPr>
            <w:tcW w:w="1414" w:type="dxa"/>
            <w:vAlign w:val="center"/>
          </w:tcPr>
          <w:p w:rsidR="0083211A" w:rsidRPr="002D242E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2010-2011</w:t>
            </w:r>
          </w:p>
        </w:tc>
        <w:tc>
          <w:tcPr>
            <w:tcW w:w="1156" w:type="dxa"/>
            <w:vAlign w:val="center"/>
          </w:tcPr>
          <w:p w:rsidR="0083211A" w:rsidRPr="002D242E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83211A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 (Massachusetts)</w:t>
            </w:r>
          </w:p>
          <w:p w:rsidR="0083211A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GI-11 (BRI and BRII)</w:t>
            </w:r>
          </w:p>
        </w:tc>
        <w:tc>
          <w:tcPr>
            <w:tcW w:w="2289" w:type="dxa"/>
            <w:vAlign w:val="center"/>
          </w:tcPr>
          <w:p w:rsidR="0083211A" w:rsidRPr="0083211A" w:rsidRDefault="0083211A" w:rsidP="00FF46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3211A">
              <w:rPr>
                <w:sz w:val="22"/>
                <w:szCs w:val="22"/>
                <w:lang w:val="en-US"/>
              </w:rPr>
              <w:t>Fraga</w:t>
            </w:r>
            <w:proofErr w:type="spellEnd"/>
            <w:r w:rsidRPr="0083211A">
              <w:rPr>
                <w:sz w:val="22"/>
                <w:szCs w:val="22"/>
                <w:lang w:val="en-US"/>
              </w:rPr>
              <w:t xml:space="preserve"> et al.,</w:t>
            </w:r>
            <w:r>
              <w:rPr>
                <w:sz w:val="22"/>
                <w:szCs w:val="22"/>
                <w:lang w:val="en-US"/>
              </w:rPr>
              <w:t xml:space="preserve"> 2013</w:t>
            </w:r>
          </w:p>
        </w:tc>
      </w:tr>
      <w:tr w:rsidR="004309E4" w:rsidRPr="0083211A" w:rsidTr="00F844F2">
        <w:trPr>
          <w:trHeight w:val="436"/>
        </w:trPr>
        <w:tc>
          <w:tcPr>
            <w:tcW w:w="1159" w:type="dxa"/>
            <w:vAlign w:val="center"/>
          </w:tcPr>
          <w:p w:rsidR="004309E4" w:rsidRDefault="004309E4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1-520</w:t>
            </w:r>
          </w:p>
        </w:tc>
        <w:tc>
          <w:tcPr>
            <w:tcW w:w="1414" w:type="dxa"/>
            <w:vAlign w:val="center"/>
          </w:tcPr>
          <w:p w:rsidR="004309E4" w:rsidRDefault="004309E4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2011-2015</w:t>
            </w:r>
          </w:p>
        </w:tc>
        <w:tc>
          <w:tcPr>
            <w:tcW w:w="1156" w:type="dxa"/>
            <w:vAlign w:val="center"/>
          </w:tcPr>
          <w:p w:rsidR="004309E4" w:rsidRDefault="004309E4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 (Massachusetts)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GI-11 (BRI and BRII)</w:t>
            </w:r>
          </w:p>
        </w:tc>
        <w:tc>
          <w:tcPr>
            <w:tcW w:w="2289" w:type="dxa"/>
            <w:vAlign w:val="center"/>
          </w:tcPr>
          <w:p w:rsidR="004309E4" w:rsidRPr="0083211A" w:rsidRDefault="004309E4" w:rsidP="00FF4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Carranza et al., 2017</w:t>
            </w:r>
          </w:p>
        </w:tc>
      </w:tr>
      <w:tr w:rsidR="004309E4" w:rsidRPr="0083211A" w:rsidTr="00F844F2">
        <w:trPr>
          <w:trHeight w:val="436"/>
        </w:trPr>
        <w:tc>
          <w:tcPr>
            <w:tcW w:w="115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1-528</w:t>
            </w:r>
          </w:p>
        </w:tc>
        <w:tc>
          <w:tcPr>
            <w:tcW w:w="1414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1988-2000</w:t>
            </w:r>
          </w:p>
        </w:tc>
        <w:tc>
          <w:tcPr>
            <w:tcW w:w="115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Brazil</w:t>
            </w:r>
            <w:proofErr w:type="spellEnd"/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GI-1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GI-9</w:t>
            </w:r>
          </w:p>
          <w:p w:rsidR="004309E4" w:rsidRPr="00F844F2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GI-11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Unpublished</w:t>
            </w:r>
            <w:proofErr w:type="spellEnd"/>
            <w:r>
              <w:rPr>
                <w:sz w:val="22"/>
                <w:szCs w:val="22"/>
              </w:rPr>
              <w:t xml:space="preserve"> data (</w:t>
            </w:r>
            <w:proofErr w:type="spellStart"/>
            <w:r>
              <w:rPr>
                <w:sz w:val="22"/>
                <w:szCs w:val="22"/>
              </w:rPr>
              <w:t>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submission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309E4" w:rsidRPr="0083211A" w:rsidTr="00F844F2">
        <w:trPr>
          <w:trHeight w:val="436"/>
        </w:trPr>
        <w:tc>
          <w:tcPr>
            <w:tcW w:w="115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50-540</w:t>
            </w:r>
          </w:p>
        </w:tc>
        <w:tc>
          <w:tcPr>
            <w:tcW w:w="1414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5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Brazil</w:t>
            </w:r>
          </w:p>
        </w:tc>
        <w:tc>
          <w:tcPr>
            <w:tcW w:w="2476" w:type="dxa"/>
            <w:vAlign w:val="center"/>
          </w:tcPr>
          <w:p w:rsidR="004309E4" w:rsidRDefault="00510158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</w:t>
            </w:r>
          </w:p>
          <w:p w:rsidR="00510158" w:rsidRDefault="00510158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GI-11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Unpublished</w:t>
            </w:r>
            <w:proofErr w:type="spellEnd"/>
            <w:r>
              <w:rPr>
                <w:sz w:val="22"/>
                <w:szCs w:val="22"/>
              </w:rPr>
              <w:t xml:space="preserve"> data (</w:t>
            </w:r>
            <w:proofErr w:type="spellStart"/>
            <w:r>
              <w:rPr>
                <w:sz w:val="22"/>
                <w:szCs w:val="22"/>
              </w:rPr>
              <w:t>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submission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309E4" w:rsidTr="00F844F2">
        <w:trPr>
          <w:trHeight w:val="313"/>
        </w:trPr>
        <w:tc>
          <w:tcPr>
            <w:tcW w:w="1159" w:type="dxa"/>
            <w:vAlign w:val="center"/>
          </w:tcPr>
          <w:p w:rsidR="004309E4" w:rsidRPr="0083211A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 w:rsidRPr="0083211A">
              <w:rPr>
                <w:sz w:val="22"/>
                <w:szCs w:val="22"/>
                <w:lang w:val="en-US"/>
              </w:rPr>
              <w:t>134-722</w:t>
            </w:r>
          </w:p>
        </w:tc>
        <w:tc>
          <w:tcPr>
            <w:tcW w:w="1414" w:type="dxa"/>
            <w:vAlign w:val="center"/>
          </w:tcPr>
          <w:p w:rsidR="004309E4" w:rsidRPr="0083211A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 w:rsidRPr="0083211A">
              <w:rPr>
                <w:sz w:val="22"/>
                <w:szCs w:val="22"/>
                <w:lang w:val="en-US"/>
              </w:rPr>
              <w:t>2001-2008</w:t>
            </w:r>
          </w:p>
        </w:tc>
        <w:tc>
          <w:tcPr>
            <w:tcW w:w="1156" w:type="dxa"/>
            <w:vAlign w:val="center"/>
          </w:tcPr>
          <w:p w:rsidR="004309E4" w:rsidRPr="0083211A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 w:rsidRPr="0083211A">
              <w:rPr>
                <w:sz w:val="22"/>
                <w:szCs w:val="22"/>
                <w:lang w:val="en-US"/>
              </w:rPr>
              <w:t>Argentina</w:t>
            </w:r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 (</w:t>
            </w:r>
            <w:r w:rsidRPr="00A043C7">
              <w:rPr>
                <w:sz w:val="22"/>
                <w:szCs w:val="22"/>
                <w:lang w:val="en-US"/>
              </w:rPr>
              <w:t>Massachusetts</w:t>
            </w:r>
            <w:r>
              <w:rPr>
                <w:sz w:val="22"/>
                <w:szCs w:val="22"/>
                <w:lang w:val="en-US"/>
              </w:rPr>
              <w:t xml:space="preserve"> and </w:t>
            </w:r>
            <w:r w:rsidRPr="00A043C7">
              <w:rPr>
                <w:sz w:val="22"/>
                <w:szCs w:val="22"/>
                <w:lang w:val="en-US"/>
              </w:rPr>
              <w:t>Connecticut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GI-11 (Cluster B and C)</w:t>
            </w:r>
          </w:p>
          <w:p w:rsidR="004309E4" w:rsidRPr="00A043C7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GI-16 (Cluster A)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proofErr w:type="spellStart"/>
            <w:r w:rsidRPr="0083211A">
              <w:rPr>
                <w:sz w:val="22"/>
                <w:szCs w:val="22"/>
                <w:lang w:val="en-US"/>
              </w:rPr>
              <w:t>Rimondi</w:t>
            </w:r>
            <w:proofErr w:type="spellEnd"/>
            <w:r w:rsidRPr="0083211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et al., 2009</w:t>
            </w:r>
          </w:p>
        </w:tc>
      </w:tr>
      <w:tr w:rsidR="004309E4" w:rsidTr="00F844F2">
        <w:trPr>
          <w:trHeight w:val="313"/>
        </w:trPr>
        <w:tc>
          <w:tcPr>
            <w:tcW w:w="115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310</w:t>
            </w:r>
          </w:p>
        </w:tc>
        <w:tc>
          <w:tcPr>
            <w:tcW w:w="1414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15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Colombia</w:t>
            </w:r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 (Massachusetts and Connecticut)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GI-16 (Genotype C)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(Genotype A)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(Genotype B)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(Genotype D)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Alvarado et al., 2005</w:t>
            </w:r>
          </w:p>
        </w:tc>
      </w:tr>
      <w:tr w:rsidR="004309E4" w:rsidTr="00F844F2">
        <w:trPr>
          <w:trHeight w:val="880"/>
        </w:trPr>
        <w:tc>
          <w:tcPr>
            <w:tcW w:w="115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730-1075</w:t>
            </w:r>
          </w:p>
        </w:tc>
        <w:tc>
          <w:tcPr>
            <w:tcW w:w="1414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</w:t>
            </w:r>
          </w:p>
        </w:tc>
        <w:tc>
          <w:tcPr>
            <w:tcW w:w="115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Chile</w:t>
            </w:r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GI-1 </w:t>
            </w:r>
            <w:r>
              <w:rPr>
                <w:sz w:val="22"/>
                <w:szCs w:val="22"/>
                <w:lang w:val="en-US"/>
              </w:rPr>
              <w:t>(Massachusetts)</w:t>
            </w:r>
          </w:p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GI-16 (Q1)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Wit</w:t>
            </w:r>
            <w:proofErr w:type="spellEnd"/>
            <w:r>
              <w:rPr>
                <w:sz w:val="22"/>
                <w:szCs w:val="22"/>
              </w:rPr>
              <w:t xml:space="preserve"> et al., 2017</w:t>
            </w:r>
          </w:p>
        </w:tc>
      </w:tr>
      <w:tr w:rsidR="004309E4" w:rsidTr="00F844F2">
        <w:trPr>
          <w:trHeight w:val="880"/>
        </w:trPr>
        <w:tc>
          <w:tcPr>
            <w:tcW w:w="115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79-705</w:t>
            </w:r>
          </w:p>
        </w:tc>
        <w:tc>
          <w:tcPr>
            <w:tcW w:w="1414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56" w:type="dxa"/>
            <w:vAlign w:val="center"/>
          </w:tcPr>
          <w:p w:rsidR="004309E4" w:rsidRDefault="00900B99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Peru</w:t>
            </w:r>
            <w:proofErr w:type="spellEnd"/>
          </w:p>
        </w:tc>
        <w:tc>
          <w:tcPr>
            <w:tcW w:w="2476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GI-16 (A/SAII)</w:t>
            </w:r>
          </w:p>
        </w:tc>
        <w:tc>
          <w:tcPr>
            <w:tcW w:w="2289" w:type="dxa"/>
            <w:vAlign w:val="center"/>
          </w:tcPr>
          <w:p w:rsidR="004309E4" w:rsidRDefault="004309E4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Tataje</w:t>
            </w:r>
            <w:proofErr w:type="spellEnd"/>
            <w:r>
              <w:rPr>
                <w:sz w:val="22"/>
                <w:szCs w:val="22"/>
              </w:rPr>
              <w:t>-Lavanda et al., 2016</w:t>
            </w:r>
          </w:p>
        </w:tc>
      </w:tr>
      <w:tr w:rsidR="005B6F41" w:rsidTr="00F844F2">
        <w:trPr>
          <w:trHeight w:val="880"/>
        </w:trPr>
        <w:tc>
          <w:tcPr>
            <w:tcW w:w="1159" w:type="dxa"/>
            <w:vAlign w:val="center"/>
          </w:tcPr>
          <w:p w:rsidR="005B6F41" w:rsidRDefault="005B6F41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739-1025</w:t>
            </w:r>
          </w:p>
        </w:tc>
        <w:tc>
          <w:tcPr>
            <w:tcW w:w="1414" w:type="dxa"/>
            <w:vAlign w:val="center"/>
          </w:tcPr>
          <w:p w:rsidR="005B6F41" w:rsidRDefault="005B6F41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56" w:type="dxa"/>
            <w:vAlign w:val="center"/>
          </w:tcPr>
          <w:p w:rsidR="005B6F41" w:rsidRDefault="005B6F41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Peru</w:t>
            </w:r>
            <w:proofErr w:type="spellEnd"/>
          </w:p>
        </w:tc>
        <w:tc>
          <w:tcPr>
            <w:tcW w:w="2476" w:type="dxa"/>
            <w:vAlign w:val="center"/>
          </w:tcPr>
          <w:p w:rsidR="005B6F41" w:rsidRDefault="005B6F41" w:rsidP="0043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GI-16</w:t>
            </w:r>
          </w:p>
        </w:tc>
        <w:tc>
          <w:tcPr>
            <w:tcW w:w="2289" w:type="dxa"/>
            <w:vAlign w:val="center"/>
          </w:tcPr>
          <w:p w:rsidR="005B6F41" w:rsidRDefault="005B6F41" w:rsidP="004309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Unpublished</w:t>
            </w:r>
            <w:proofErr w:type="spellEnd"/>
            <w:r>
              <w:rPr>
                <w:sz w:val="22"/>
                <w:szCs w:val="22"/>
              </w:rPr>
              <w:t xml:space="preserve"> data (</w:t>
            </w:r>
            <w:proofErr w:type="spellStart"/>
            <w:r>
              <w:rPr>
                <w:sz w:val="22"/>
                <w:szCs w:val="22"/>
              </w:rPr>
              <w:t>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submission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DD1CBC" w:rsidRDefault="00DD1CBC" w:rsidP="00DD1CBC">
      <w:pPr>
        <w:suppressAutoHyphens w:val="0"/>
        <w:rPr>
          <w:lang w:val="en-US"/>
        </w:rPr>
      </w:pPr>
    </w:p>
    <w:p w:rsidR="002D242E" w:rsidRDefault="002D242E" w:rsidP="002D242E">
      <w:pPr>
        <w:spacing w:line="360" w:lineRule="auto"/>
        <w:ind w:right="-284"/>
        <w:jc w:val="both"/>
        <w:rPr>
          <w:color w:val="000000"/>
          <w:sz w:val="22"/>
          <w:lang w:val="en-US"/>
        </w:rPr>
      </w:pPr>
      <w:r>
        <w:rPr>
          <w:rFonts w:ascii="Arial" w:hAnsi="Arial"/>
          <w:color w:val="000000"/>
          <w:position w:val="7"/>
          <w:sz w:val="22"/>
          <w:lang w:val="en-US"/>
        </w:rPr>
        <w:t>*</w:t>
      </w:r>
      <w:r>
        <w:rPr>
          <w:color w:val="000000"/>
          <w:sz w:val="22"/>
          <w:lang w:val="en-US"/>
        </w:rPr>
        <w:t xml:space="preserve"> Oligonucleotide position according to IBV strain M41 sequence (AY851295)</w:t>
      </w:r>
    </w:p>
    <w:p w:rsidR="008E4C61" w:rsidRPr="002D242E" w:rsidRDefault="008E4C61">
      <w:pPr>
        <w:rPr>
          <w:lang w:val="en-US"/>
        </w:rPr>
      </w:pPr>
    </w:p>
    <w:p w:rsidR="008E4C61" w:rsidRPr="002D242E" w:rsidRDefault="008E4C61">
      <w:pPr>
        <w:rPr>
          <w:lang w:val="en-US"/>
        </w:rPr>
      </w:pPr>
    </w:p>
    <w:p w:rsidR="008E4C61" w:rsidRPr="002D242E" w:rsidRDefault="008E4C61">
      <w:pPr>
        <w:rPr>
          <w:lang w:val="en-US"/>
        </w:rPr>
      </w:pPr>
    </w:p>
    <w:p w:rsidR="008E4C61" w:rsidRPr="002D242E" w:rsidRDefault="008E4C61">
      <w:pPr>
        <w:rPr>
          <w:lang w:val="en-US"/>
        </w:rPr>
      </w:pPr>
    </w:p>
    <w:p w:rsidR="008E4C61" w:rsidRPr="00AC4148" w:rsidRDefault="008E4C61" w:rsidP="001E4571">
      <w:pPr>
        <w:pStyle w:val="Cuerpodetexto"/>
        <w:spacing w:line="360" w:lineRule="auto"/>
        <w:ind w:left="480" w:hanging="480"/>
        <w:rPr>
          <w:b/>
          <w:bCs/>
          <w:sz w:val="22"/>
          <w:szCs w:val="22"/>
        </w:rPr>
      </w:pPr>
      <w:proofErr w:type="spellStart"/>
      <w:r w:rsidRPr="00AC4148">
        <w:rPr>
          <w:b/>
          <w:bCs/>
          <w:sz w:val="22"/>
          <w:szCs w:val="22"/>
        </w:rPr>
        <w:t>Supplementary</w:t>
      </w:r>
      <w:proofErr w:type="spellEnd"/>
      <w:r w:rsidRPr="00AC4148">
        <w:rPr>
          <w:b/>
          <w:bCs/>
          <w:sz w:val="22"/>
          <w:szCs w:val="22"/>
        </w:rPr>
        <w:t xml:space="preserve"> </w:t>
      </w:r>
      <w:proofErr w:type="spellStart"/>
      <w:r w:rsidRPr="00AC4148">
        <w:rPr>
          <w:b/>
          <w:bCs/>
          <w:sz w:val="22"/>
          <w:szCs w:val="22"/>
        </w:rPr>
        <w:t>References</w:t>
      </w:r>
      <w:proofErr w:type="spellEnd"/>
    </w:p>
    <w:p w:rsidR="00AC4148" w:rsidRPr="00900B99" w:rsidRDefault="00AC4148" w:rsidP="00AC414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</w:rPr>
      </w:pPr>
      <w:r w:rsidRPr="00AC4148">
        <w:rPr>
          <w:rFonts w:ascii="AdvTT5235d5a9" w:hAnsi="AdvTT5235d5a9"/>
          <w:noProof/>
          <w:sz w:val="24"/>
          <w:szCs w:val="24"/>
        </w:rPr>
        <w:t>Carranza</w:t>
      </w:r>
      <w:r>
        <w:rPr>
          <w:rFonts w:ascii="AdvTT5235d5a9" w:hAnsi="AdvTT5235d5a9"/>
          <w:noProof/>
          <w:sz w:val="24"/>
          <w:szCs w:val="24"/>
        </w:rPr>
        <w:t>, C.</w:t>
      </w:r>
      <w:r w:rsidRPr="00AC4148">
        <w:rPr>
          <w:rFonts w:ascii="AdvTT5235d5a9" w:hAnsi="AdvTT5235d5a9"/>
          <w:noProof/>
          <w:sz w:val="24"/>
          <w:szCs w:val="24"/>
        </w:rPr>
        <w:t>, Astolfi-Ferreira</w:t>
      </w:r>
      <w:r>
        <w:rPr>
          <w:rFonts w:ascii="AdvTT5235d5a9" w:hAnsi="AdvTT5235d5a9"/>
          <w:noProof/>
          <w:sz w:val="24"/>
          <w:szCs w:val="24"/>
        </w:rPr>
        <w:t>, CS..</w:t>
      </w:r>
      <w:r w:rsidRPr="00AC4148">
        <w:rPr>
          <w:rFonts w:ascii="AdvTT5235d5a9" w:hAnsi="AdvTT5235d5a9"/>
          <w:noProof/>
          <w:sz w:val="24"/>
          <w:szCs w:val="24"/>
        </w:rPr>
        <w:t>, Santander Parra</w:t>
      </w:r>
      <w:r>
        <w:rPr>
          <w:rFonts w:ascii="AdvTT5235d5a9" w:hAnsi="AdvTT5235d5a9"/>
          <w:noProof/>
          <w:sz w:val="24"/>
          <w:szCs w:val="24"/>
        </w:rPr>
        <w:t>, S.H.</w:t>
      </w:r>
      <w:r w:rsidRPr="00AC4148">
        <w:rPr>
          <w:rFonts w:ascii="AdvTT5235d5a9" w:hAnsi="AdvTT5235d5a9"/>
          <w:noProof/>
          <w:sz w:val="24"/>
          <w:szCs w:val="24"/>
        </w:rPr>
        <w:t>, Nuñez</w:t>
      </w:r>
      <w:r>
        <w:rPr>
          <w:rFonts w:ascii="AdvTT5235d5a9" w:hAnsi="AdvTT5235d5a9"/>
          <w:noProof/>
          <w:sz w:val="24"/>
          <w:szCs w:val="24"/>
        </w:rPr>
        <w:t>,</w:t>
      </w:r>
      <w:r w:rsidRPr="00AC4148">
        <w:rPr>
          <w:rFonts w:ascii="AdvTT5235d5a9" w:hAnsi="AdvTT5235d5a9"/>
          <w:noProof/>
          <w:sz w:val="24"/>
          <w:szCs w:val="24"/>
        </w:rPr>
        <w:t xml:space="preserve"> L</w:t>
      </w:r>
      <w:r>
        <w:rPr>
          <w:rFonts w:ascii="AdvTT5235d5a9" w:hAnsi="AdvTT5235d5a9"/>
          <w:noProof/>
          <w:sz w:val="24"/>
          <w:szCs w:val="24"/>
        </w:rPr>
        <w:t>.</w:t>
      </w:r>
      <w:r w:rsidRPr="00AC4148">
        <w:rPr>
          <w:rFonts w:ascii="AdvTT5235d5a9" w:hAnsi="AdvTT5235d5a9"/>
          <w:noProof/>
          <w:sz w:val="24"/>
          <w:szCs w:val="24"/>
        </w:rPr>
        <w:t>F</w:t>
      </w:r>
      <w:r>
        <w:rPr>
          <w:rFonts w:ascii="AdvTT5235d5a9" w:hAnsi="AdvTT5235d5a9"/>
          <w:noProof/>
          <w:sz w:val="24"/>
          <w:szCs w:val="24"/>
        </w:rPr>
        <w:t>., Penzes, Z., Chacón, J.L.</w:t>
      </w:r>
      <w:r w:rsidRPr="00AC4148">
        <w:rPr>
          <w:rFonts w:ascii="AdvTT5235d5a9" w:hAnsi="AdvTT5235d5a9"/>
          <w:noProof/>
          <w:sz w:val="24"/>
          <w:szCs w:val="24"/>
        </w:rPr>
        <w:t>, Sesti</w:t>
      </w:r>
      <w:r>
        <w:rPr>
          <w:rFonts w:ascii="AdvTT5235d5a9" w:hAnsi="AdvTT5235d5a9"/>
          <w:noProof/>
          <w:sz w:val="24"/>
          <w:szCs w:val="24"/>
        </w:rPr>
        <w:t>, L.</w:t>
      </w:r>
      <w:r w:rsidRPr="00AC4148">
        <w:rPr>
          <w:rFonts w:ascii="AdvTT5235d5a9" w:hAnsi="AdvTT5235d5a9"/>
          <w:noProof/>
          <w:sz w:val="24"/>
          <w:szCs w:val="24"/>
        </w:rPr>
        <w:t>, Chacón</w:t>
      </w:r>
      <w:r>
        <w:rPr>
          <w:rFonts w:ascii="AdvTT5235d5a9" w:hAnsi="AdvTT5235d5a9"/>
          <w:noProof/>
          <w:sz w:val="24"/>
          <w:szCs w:val="24"/>
        </w:rPr>
        <w:t>, R.D.</w:t>
      </w:r>
      <w:r w:rsidRPr="00AC4148">
        <w:rPr>
          <w:rFonts w:ascii="AdvTT5235d5a9" w:hAnsi="AdvTT5235d5a9"/>
          <w:noProof/>
          <w:sz w:val="24"/>
          <w:szCs w:val="24"/>
        </w:rPr>
        <w:t>, Piantino Ferreira</w:t>
      </w:r>
      <w:r>
        <w:rPr>
          <w:rFonts w:ascii="AdvTT5235d5a9" w:hAnsi="AdvTT5235d5a9"/>
          <w:noProof/>
          <w:sz w:val="24"/>
          <w:szCs w:val="24"/>
        </w:rPr>
        <w:t>, A.J</w:t>
      </w:r>
      <w:r w:rsidRPr="00AC4148">
        <w:rPr>
          <w:rFonts w:ascii="AdvTT5235d5a9" w:hAnsi="AdvTT5235d5a9"/>
          <w:noProof/>
          <w:sz w:val="24"/>
          <w:szCs w:val="24"/>
        </w:rPr>
        <w:t>.</w:t>
      </w:r>
      <w:r>
        <w:rPr>
          <w:rFonts w:ascii="AdvTT5235d5a9" w:hAnsi="AdvTT5235d5a9"/>
          <w:noProof/>
          <w:sz w:val="24"/>
          <w:szCs w:val="24"/>
        </w:rPr>
        <w:t xml:space="preserve"> </w:t>
      </w:r>
      <w:r w:rsidRPr="00AC4148">
        <w:rPr>
          <w:rFonts w:ascii="AdvTT5235d5a9" w:hAnsi="AdvTT5235d5a9"/>
          <w:noProof/>
          <w:sz w:val="24"/>
          <w:szCs w:val="24"/>
        </w:rPr>
        <w:t xml:space="preserve">(2017). </w:t>
      </w:r>
      <w:r w:rsidRPr="00AC4148">
        <w:rPr>
          <w:rFonts w:ascii="AdvTT5235d5a9" w:hAnsi="AdvTT5235d5a9"/>
          <w:noProof/>
          <w:sz w:val="24"/>
          <w:szCs w:val="24"/>
          <w:lang w:val="en-US"/>
        </w:rPr>
        <w:t>Genetic characterisation and analysis of infectious bronchitis virus isolated from Brazilian flocks between 2010 and 2015.</w:t>
      </w:r>
      <w:r>
        <w:rPr>
          <w:rFonts w:ascii="AdvTT5235d5a9" w:hAnsi="AdvTT5235d5a9"/>
          <w:noProof/>
          <w:sz w:val="24"/>
          <w:szCs w:val="24"/>
          <w:lang w:val="en-US"/>
        </w:rPr>
        <w:t xml:space="preserve"> </w:t>
      </w:r>
      <w:r w:rsidRPr="00900B99">
        <w:rPr>
          <w:rFonts w:ascii="AdvTT5235d5a9" w:hAnsi="AdvTT5235d5a9"/>
          <w:i/>
          <w:noProof/>
          <w:sz w:val="24"/>
          <w:szCs w:val="24"/>
        </w:rPr>
        <w:t>Br Poult Sci.</w:t>
      </w:r>
      <w:r w:rsidRPr="00900B99">
        <w:rPr>
          <w:rFonts w:ascii="AdvTT5235d5a9" w:hAnsi="AdvTT5235d5a9"/>
          <w:noProof/>
          <w:sz w:val="24"/>
          <w:szCs w:val="24"/>
        </w:rPr>
        <w:t xml:space="preserve"> 58(6), 610-623.</w:t>
      </w:r>
    </w:p>
    <w:p w:rsidR="004F41DB" w:rsidRPr="004F41DB" w:rsidRDefault="004F41DB" w:rsidP="004F41DB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  <w:lang w:val="en-US"/>
        </w:rPr>
      </w:pPr>
      <w:r w:rsidRPr="00900B99">
        <w:rPr>
          <w:rFonts w:ascii="AdvTT5235d5a9" w:hAnsi="AdvTT5235d5a9"/>
          <w:noProof/>
          <w:sz w:val="24"/>
          <w:szCs w:val="24"/>
        </w:rPr>
        <w:t xml:space="preserve">de Wit, J., Dijkman, R., Guerrero, P., Calvo, J., Gonzalez, A., Hidalgo, H. (2017). </w:t>
      </w:r>
      <w:hyperlink r:id="rId4" w:history="1">
        <w:r w:rsidRPr="00900B99">
          <w:rPr>
            <w:rFonts w:ascii="AdvTT5235d5a9" w:hAnsi="AdvTT5235d5a9"/>
            <w:noProof/>
            <w:sz w:val="24"/>
            <w:szCs w:val="24"/>
            <w:lang w:val="en-US"/>
          </w:rPr>
          <w:t>Variability in biological behaviour, pathogenicity, protectotype and induction of virus neutralizing antibodies by different vaccination programmes to infectious bronchitis virus genotype Q1 strains from Chile.</w:t>
        </w:r>
      </w:hyperlink>
      <w:r w:rsidRPr="00900B99">
        <w:rPr>
          <w:rFonts w:ascii="AdvTT5235d5a9" w:hAnsi="AdvTT5235d5a9"/>
          <w:noProof/>
          <w:sz w:val="24"/>
          <w:szCs w:val="24"/>
          <w:lang w:val="en-US"/>
        </w:rPr>
        <w:t xml:space="preserve"> </w:t>
      </w:r>
      <w:r w:rsidRPr="004F41DB">
        <w:rPr>
          <w:rFonts w:ascii="AdvTT5235d5a9" w:hAnsi="AdvTT5235d5a9"/>
          <w:i/>
          <w:noProof/>
          <w:sz w:val="24"/>
          <w:szCs w:val="24"/>
          <w:lang w:val="en-US"/>
        </w:rPr>
        <w:t>Avian Pathol.</w:t>
      </w:r>
      <w:r w:rsidRPr="004F41DB">
        <w:rPr>
          <w:rFonts w:ascii="AdvTT5235d5a9" w:hAnsi="AdvTT5235d5a9"/>
          <w:noProof/>
          <w:sz w:val="24"/>
          <w:szCs w:val="24"/>
          <w:lang w:val="en-US"/>
        </w:rPr>
        <w:t xml:space="preserve"> 46(6):666-675. </w:t>
      </w:r>
    </w:p>
    <w:p w:rsidR="001E4571" w:rsidRDefault="00B75FB8" w:rsidP="00B75FB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  <w:lang w:val="en-US"/>
        </w:rPr>
      </w:pPr>
      <w:r w:rsidRPr="004F41DB">
        <w:rPr>
          <w:rFonts w:ascii="AdvTT5235d5a9" w:hAnsi="AdvTT5235d5a9"/>
          <w:noProof/>
          <w:sz w:val="24"/>
          <w:szCs w:val="24"/>
          <w:lang w:val="en-US"/>
        </w:rPr>
        <w:t>Felippe, A</w:t>
      </w:r>
      <w:r w:rsidR="001E4571" w:rsidRPr="004F41DB">
        <w:rPr>
          <w:rFonts w:ascii="AdvTT5235d5a9" w:hAnsi="AdvTT5235d5a9"/>
          <w:noProof/>
          <w:sz w:val="24"/>
          <w:szCs w:val="24"/>
          <w:lang w:val="en-US"/>
        </w:rPr>
        <w:t>., Silva</w:t>
      </w:r>
      <w:r w:rsidRPr="004F41DB">
        <w:rPr>
          <w:rFonts w:ascii="AdvTT5235d5a9" w:hAnsi="AdvTT5235d5a9"/>
          <w:noProof/>
          <w:sz w:val="24"/>
          <w:szCs w:val="24"/>
          <w:lang w:val="en-US"/>
        </w:rPr>
        <w:t>, L., Santos, M., Spilki, F.</w:t>
      </w:r>
      <w:r w:rsidR="001E4571" w:rsidRPr="004F41DB">
        <w:rPr>
          <w:rFonts w:ascii="AdvTT5235d5a9" w:hAnsi="AdvTT5235d5a9"/>
          <w:noProof/>
          <w:sz w:val="24"/>
          <w:szCs w:val="24"/>
          <w:lang w:val="en-US"/>
        </w:rPr>
        <w:t xml:space="preserve">, &amp; Arns, C. (2010). </w:t>
      </w:r>
      <w:r w:rsidR="001E4571" w:rsidRPr="00B75FB8">
        <w:rPr>
          <w:rFonts w:ascii="AdvTT5235d5a9" w:hAnsi="AdvTT5235d5a9"/>
          <w:noProof/>
          <w:sz w:val="24"/>
          <w:szCs w:val="24"/>
          <w:lang w:val="en-US"/>
        </w:rPr>
        <w:t xml:space="preserve">Genetic Diversity of Avian Infectious Bronchitis Virus Isolated from Domestic Chicken Flocks and Coronaviruses from Feral Pigeons in Brazil Between 2003 and 2009. </w:t>
      </w:r>
      <w:r w:rsidRPr="00B75FB8">
        <w:rPr>
          <w:rFonts w:ascii="AdvTT5235d5a9" w:hAnsi="AdvTT5235d5a9"/>
          <w:i/>
          <w:noProof/>
          <w:sz w:val="24"/>
          <w:szCs w:val="24"/>
          <w:lang w:val="en-US"/>
        </w:rPr>
        <w:t>Avian Dis.,</w:t>
      </w:r>
      <w:r w:rsidR="001E4571" w:rsidRPr="00B75FB8">
        <w:rPr>
          <w:rFonts w:ascii="AdvTT5235d5a9" w:hAnsi="AdvTT5235d5a9"/>
          <w:i/>
          <w:noProof/>
          <w:sz w:val="24"/>
          <w:szCs w:val="24"/>
          <w:lang w:val="en-US"/>
        </w:rPr>
        <w:t xml:space="preserve"> </w:t>
      </w:r>
      <w:r w:rsidR="001E4571" w:rsidRPr="00B75FB8">
        <w:rPr>
          <w:rFonts w:ascii="AdvTT5235d5a9" w:hAnsi="AdvTT5235d5a9"/>
          <w:noProof/>
          <w:sz w:val="24"/>
          <w:szCs w:val="24"/>
          <w:lang w:val="en-US"/>
        </w:rPr>
        <w:t>54(4), 1191–1196.</w:t>
      </w:r>
    </w:p>
    <w:p w:rsidR="00AC4148" w:rsidRPr="00AC4148" w:rsidRDefault="00AC4148" w:rsidP="00AC414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  <w:lang w:val="en-US"/>
        </w:rPr>
      </w:pPr>
      <w:r w:rsidRPr="00900B99">
        <w:rPr>
          <w:rFonts w:ascii="AdvTT5235d5a9" w:hAnsi="AdvTT5235d5a9"/>
          <w:noProof/>
          <w:sz w:val="24"/>
          <w:szCs w:val="24"/>
          <w:lang w:val="en-US"/>
        </w:rPr>
        <w:t xml:space="preserve">Fraga, A.P., Balestrin, E., Ikuta, N., Fonseca, A.S., Spilki, F.R., Canal, C.W., Lunge, V.R. (2013). </w:t>
      </w:r>
      <w:r w:rsidRPr="00AC4148">
        <w:rPr>
          <w:rFonts w:ascii="AdvTT5235d5a9" w:hAnsi="AdvTT5235d5a9"/>
          <w:noProof/>
          <w:sz w:val="24"/>
          <w:szCs w:val="24"/>
          <w:lang w:val="en-US"/>
        </w:rPr>
        <w:t>Emergence of a new genotype of avian infectious bronchitis virus in Brazil.</w:t>
      </w:r>
      <w:r>
        <w:rPr>
          <w:rFonts w:ascii="AdvTT5235d5a9" w:hAnsi="AdvTT5235d5a9"/>
          <w:noProof/>
          <w:sz w:val="24"/>
          <w:szCs w:val="24"/>
          <w:lang w:val="en-US"/>
        </w:rPr>
        <w:t xml:space="preserve"> </w:t>
      </w:r>
      <w:r w:rsidRPr="00AC4148">
        <w:rPr>
          <w:rFonts w:ascii="AdvTT5235d5a9" w:hAnsi="AdvTT5235d5a9"/>
          <w:i/>
          <w:noProof/>
          <w:sz w:val="24"/>
          <w:szCs w:val="24"/>
          <w:lang w:val="en-US"/>
        </w:rPr>
        <w:t>Avian Dis.</w:t>
      </w:r>
      <w:r>
        <w:rPr>
          <w:rFonts w:ascii="AdvTT5235d5a9" w:hAnsi="AdvTT5235d5a9"/>
          <w:noProof/>
          <w:sz w:val="24"/>
          <w:szCs w:val="24"/>
          <w:lang w:val="en-US"/>
        </w:rPr>
        <w:t xml:space="preserve"> 57(2), </w:t>
      </w:r>
      <w:r w:rsidRPr="00AC4148">
        <w:rPr>
          <w:rFonts w:ascii="AdvTT5235d5a9" w:hAnsi="AdvTT5235d5a9"/>
          <w:noProof/>
          <w:sz w:val="24"/>
          <w:szCs w:val="24"/>
          <w:lang w:val="en-US"/>
        </w:rPr>
        <w:t>225</w:t>
      </w:r>
      <w:r w:rsidRPr="00B75FB8">
        <w:rPr>
          <w:rFonts w:ascii="AdvTT5235d5a9" w:hAnsi="AdvTT5235d5a9"/>
          <w:noProof/>
          <w:sz w:val="24"/>
          <w:szCs w:val="24"/>
          <w:lang w:val="en-US"/>
        </w:rPr>
        <w:t>–</w:t>
      </w:r>
      <w:r w:rsidRPr="00AC4148">
        <w:rPr>
          <w:rFonts w:ascii="AdvTT5235d5a9" w:hAnsi="AdvTT5235d5a9"/>
          <w:noProof/>
          <w:sz w:val="24"/>
          <w:szCs w:val="24"/>
          <w:lang w:val="en-US"/>
        </w:rPr>
        <w:t>32.</w:t>
      </w:r>
    </w:p>
    <w:p w:rsidR="001E4571" w:rsidRPr="00900B99" w:rsidRDefault="00B75FB8" w:rsidP="00B75FB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</w:rPr>
      </w:pPr>
      <w:r>
        <w:rPr>
          <w:rFonts w:ascii="AdvTT5235d5a9" w:hAnsi="AdvTT5235d5a9"/>
          <w:noProof/>
          <w:sz w:val="24"/>
          <w:szCs w:val="24"/>
          <w:lang w:val="en-US"/>
        </w:rPr>
        <w:t>Villarreal, A., Brandão, P., Chacón, J., Saidenberg, A., Assayag, M., Ferreira, A., Jones, A.</w:t>
      </w:r>
      <w:r w:rsidR="001E4571" w:rsidRPr="00B75FB8">
        <w:rPr>
          <w:rFonts w:ascii="AdvTT5235d5a9" w:hAnsi="AdvTT5235d5a9"/>
          <w:noProof/>
          <w:sz w:val="24"/>
          <w:szCs w:val="24"/>
          <w:lang w:val="en-US"/>
        </w:rPr>
        <w:t xml:space="preserve"> (2007). Molecular Characterization of Infectious Bronchitis Virus Strains Isolated from the Enteric Contents of Brazilian Laying Hens and Broilers. </w:t>
      </w:r>
      <w:r w:rsidRPr="00900B99">
        <w:rPr>
          <w:rFonts w:ascii="AdvTT5235d5a9" w:hAnsi="AdvTT5235d5a9"/>
          <w:i/>
          <w:noProof/>
          <w:sz w:val="24"/>
          <w:szCs w:val="24"/>
        </w:rPr>
        <w:t>Avian Dis</w:t>
      </w:r>
      <w:r w:rsidRPr="00900B99">
        <w:rPr>
          <w:rFonts w:ascii="AdvTT5235d5a9" w:hAnsi="AdvTT5235d5a9"/>
          <w:noProof/>
          <w:sz w:val="24"/>
          <w:szCs w:val="24"/>
        </w:rPr>
        <w:t>.,</w:t>
      </w:r>
      <w:r w:rsidR="001E4571" w:rsidRPr="00900B99">
        <w:rPr>
          <w:rFonts w:ascii="AdvTT5235d5a9" w:hAnsi="AdvTT5235d5a9"/>
          <w:noProof/>
          <w:sz w:val="24"/>
          <w:szCs w:val="24"/>
        </w:rPr>
        <w:t xml:space="preserve"> 51(4), 974–978.</w:t>
      </w:r>
    </w:p>
    <w:p w:rsidR="00B75FB8" w:rsidRDefault="00B75FB8" w:rsidP="00B75FB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  <w:lang w:val="en-US"/>
        </w:rPr>
      </w:pPr>
      <w:r w:rsidRPr="00B75FB8">
        <w:rPr>
          <w:rFonts w:ascii="AdvTT5235d5a9" w:hAnsi="AdvTT5235d5a9"/>
          <w:noProof/>
          <w:sz w:val="24"/>
          <w:szCs w:val="24"/>
        </w:rPr>
        <w:t xml:space="preserve">Tataje-Lavanda, L., Montalvan, A., Bueno,C., Requena, D. and Fernandez-Diaz, M. (2016). </w:t>
      </w:r>
      <w:r w:rsidRPr="00B75FB8">
        <w:rPr>
          <w:rFonts w:ascii="AdvTT5235d5a9" w:hAnsi="AdvTT5235d5a9"/>
          <w:noProof/>
          <w:sz w:val="24"/>
          <w:szCs w:val="24"/>
          <w:lang w:val="en-US"/>
        </w:rPr>
        <w:t xml:space="preserve">First evidence of detection of Asia/South America II (A/SAII) infectious bronchitis virus in a commercial broiler flock in Peru. </w:t>
      </w:r>
      <w:r w:rsidRPr="00B75FB8">
        <w:rPr>
          <w:rFonts w:ascii="AdvTT5235d5a9" w:hAnsi="AdvTT5235d5a9"/>
          <w:i/>
          <w:noProof/>
          <w:sz w:val="24"/>
          <w:szCs w:val="24"/>
          <w:lang w:val="en-US"/>
        </w:rPr>
        <w:t>Vet Rec Case Rep</w:t>
      </w:r>
      <w:r>
        <w:rPr>
          <w:rFonts w:ascii="AdvTT5235d5a9" w:hAnsi="AdvTT5235d5a9"/>
          <w:noProof/>
          <w:sz w:val="24"/>
          <w:szCs w:val="24"/>
          <w:lang w:val="en-US"/>
        </w:rPr>
        <w:t xml:space="preserve"> 4 (1), e000292.</w:t>
      </w:r>
    </w:p>
    <w:p w:rsidR="004F41DB" w:rsidRPr="00B75FB8" w:rsidRDefault="004F41DB" w:rsidP="00B75FB8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AdvTT5235d5a9" w:hAnsi="AdvTT5235d5a9"/>
          <w:noProof/>
          <w:sz w:val="24"/>
          <w:szCs w:val="24"/>
          <w:lang w:val="en-US"/>
        </w:rPr>
      </w:pPr>
    </w:p>
    <w:sectPr w:rsidR="004F41DB" w:rsidRPr="00B75FB8">
      <w:pgSz w:w="11906" w:h="16838"/>
      <w:pgMar w:top="1417" w:right="1701" w:bottom="1417" w:left="1701" w:header="0" w:footer="0" w:gutter="0"/>
      <w:lnNumType w:countBy="1" w:restart="continuous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BC"/>
    <w:rsid w:val="000E0945"/>
    <w:rsid w:val="001E4571"/>
    <w:rsid w:val="002742D8"/>
    <w:rsid w:val="002D242E"/>
    <w:rsid w:val="00332768"/>
    <w:rsid w:val="00385B23"/>
    <w:rsid w:val="003A3569"/>
    <w:rsid w:val="00422465"/>
    <w:rsid w:val="004309E4"/>
    <w:rsid w:val="004B451E"/>
    <w:rsid w:val="004F41DB"/>
    <w:rsid w:val="00510158"/>
    <w:rsid w:val="005B6F41"/>
    <w:rsid w:val="00612DDC"/>
    <w:rsid w:val="007D0E07"/>
    <w:rsid w:val="0083211A"/>
    <w:rsid w:val="008E4C61"/>
    <w:rsid w:val="008E57C2"/>
    <w:rsid w:val="00900B99"/>
    <w:rsid w:val="00A043C7"/>
    <w:rsid w:val="00A70B9A"/>
    <w:rsid w:val="00AC4148"/>
    <w:rsid w:val="00B75FB8"/>
    <w:rsid w:val="00DD1CBC"/>
    <w:rsid w:val="00F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800A-2F9D-4D84-AA65-D62E988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D1CBC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lang w:eastAsia="zh-CN" w:bidi="hi-IN"/>
    </w:rPr>
  </w:style>
  <w:style w:type="table" w:customStyle="1" w:styleId="Cuadrculadetablaclara1">
    <w:name w:val="Cuadrícula de tabla clara1"/>
    <w:basedOn w:val="Tablanormal"/>
    <w:uiPriority w:val="40"/>
    <w:rsid w:val="00DD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es-UY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DD1CBC"/>
  </w:style>
  <w:style w:type="paragraph" w:customStyle="1" w:styleId="Cuerpodetexto">
    <w:name w:val="Cuerpo de texto"/>
    <w:basedOn w:val="Normal"/>
    <w:rsid w:val="008E4C61"/>
    <w:pPr>
      <w:widowControl w:val="0"/>
      <w:spacing w:after="120" w:line="288" w:lineRule="auto"/>
    </w:pPr>
  </w:style>
  <w:style w:type="paragraph" w:customStyle="1" w:styleId="Puesto1">
    <w:name w:val="Puesto1"/>
    <w:basedOn w:val="Normal"/>
    <w:rsid w:val="004F41DB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F41DB"/>
    <w:rPr>
      <w:color w:val="0000FF"/>
      <w:u w:val="single"/>
    </w:rPr>
  </w:style>
  <w:style w:type="paragraph" w:customStyle="1" w:styleId="desc">
    <w:name w:val="desc"/>
    <w:basedOn w:val="Normal"/>
    <w:rsid w:val="004F41DB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tails">
    <w:name w:val="details"/>
    <w:basedOn w:val="Normal"/>
    <w:rsid w:val="004F41DB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jrnl">
    <w:name w:val="jrnl"/>
    <w:basedOn w:val="Fuentedeprrafopredeter"/>
    <w:rsid w:val="004F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86607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Ana</cp:lastModifiedBy>
  <cp:revision>16</cp:revision>
  <dcterms:created xsi:type="dcterms:W3CDTF">2014-11-24T14:16:00Z</dcterms:created>
  <dcterms:modified xsi:type="dcterms:W3CDTF">2018-12-05T21:04:00Z</dcterms:modified>
</cp:coreProperties>
</file>