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DB" w:rsidRPr="00B664F3" w:rsidRDefault="00217D48">
      <w:pPr>
        <w:rPr>
          <w:rFonts w:ascii="Times New Roman" w:hAnsi="Times New Roman" w:cs="Times New Roman"/>
        </w:rPr>
      </w:pPr>
      <w:r w:rsidRPr="00B664F3">
        <w:rPr>
          <w:rFonts w:ascii="Times New Roman" w:hAnsi="Times New Roman" w:cs="Times New Roman"/>
        </w:rPr>
        <w:t xml:space="preserve">Table A1. </w:t>
      </w:r>
      <w:proofErr w:type="gramStart"/>
      <w:r w:rsidR="00B664F3" w:rsidRPr="00B664F3">
        <w:rPr>
          <w:rFonts w:ascii="Times New Roman" w:hAnsi="Times New Roman" w:cs="Times New Roman"/>
        </w:rPr>
        <w:t>Studies comparing NASA</w:t>
      </w:r>
      <w:r w:rsidR="00601E9B">
        <w:rPr>
          <w:rFonts w:ascii="Times New Roman" w:hAnsi="Times New Roman" w:cs="Times New Roman"/>
        </w:rPr>
        <w:t>/NOAA</w:t>
      </w:r>
      <w:r w:rsidR="00B664F3" w:rsidRPr="00B664F3">
        <w:rPr>
          <w:rFonts w:ascii="Times New Roman" w:hAnsi="Times New Roman" w:cs="Times New Roman"/>
        </w:rPr>
        <w:t xml:space="preserve"> and ESA (Copernicus) Remote Sensing Bio-Geophysical Products (RS-BGP).</w:t>
      </w:r>
      <w:proofErr w:type="gramEnd"/>
      <w:r w:rsidR="00601E9B">
        <w:rPr>
          <w:rFonts w:ascii="Times New Roman" w:hAnsi="Times New Roman" w:cs="Times New Roman"/>
        </w:rPr>
        <w:t xml:space="preserve"> Italic are NASA/NOAA and Bold are ESA products. Underlined are mixed (NASA/NOAA+ESA) products.</w:t>
      </w:r>
    </w:p>
    <w:tbl>
      <w:tblPr>
        <w:tblW w:w="13481" w:type="dxa"/>
        <w:tblInd w:w="93" w:type="dxa"/>
        <w:tblLook w:val="04A0" w:firstRow="1" w:lastRow="0" w:firstColumn="1" w:lastColumn="0" w:noHBand="0" w:noVBand="1"/>
      </w:tblPr>
      <w:tblGrid>
        <w:gridCol w:w="1433"/>
        <w:gridCol w:w="4252"/>
        <w:gridCol w:w="5812"/>
        <w:gridCol w:w="1984"/>
      </w:tblGrid>
      <w:tr w:rsidR="00217D48" w:rsidRPr="00217D48" w:rsidTr="009F1139">
        <w:trPr>
          <w:cantSplit/>
          <w:trHeight w:val="288"/>
          <w:tblHeader/>
        </w:trPr>
        <w:tc>
          <w:tcPr>
            <w:tcW w:w="1433"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217D48" w:rsidRPr="00217D48" w:rsidRDefault="00217D48" w:rsidP="00B664F3">
            <w:pPr>
              <w:spacing w:after="0" w:line="240" w:lineRule="auto"/>
              <w:jc w:val="center"/>
              <w:rPr>
                <w:rFonts w:ascii="Times New Roman" w:eastAsia="Times New Roman" w:hAnsi="Times New Roman" w:cs="Times New Roman"/>
                <w:b/>
                <w:bCs/>
                <w:color w:val="FFFFFF" w:themeColor="background1"/>
                <w:sz w:val="18"/>
              </w:rPr>
            </w:pPr>
            <w:r w:rsidRPr="00217D48">
              <w:rPr>
                <w:rFonts w:ascii="Times New Roman" w:eastAsia="Times New Roman" w:hAnsi="Times New Roman" w:cs="Times New Roman"/>
                <w:b/>
                <w:bCs/>
                <w:color w:val="FFFFFF" w:themeColor="background1"/>
                <w:sz w:val="18"/>
              </w:rPr>
              <w:t>Product</w:t>
            </w:r>
          </w:p>
        </w:tc>
        <w:tc>
          <w:tcPr>
            <w:tcW w:w="4252" w:type="dxa"/>
            <w:tcBorders>
              <w:top w:val="single" w:sz="4" w:space="0" w:color="auto"/>
              <w:left w:val="nil"/>
              <w:bottom w:val="single" w:sz="4" w:space="0" w:color="auto"/>
              <w:right w:val="single" w:sz="4" w:space="0" w:color="auto"/>
            </w:tcBorders>
            <w:shd w:val="clear" w:color="auto" w:fill="000000" w:themeFill="text1"/>
            <w:noWrap/>
            <w:vAlign w:val="center"/>
            <w:hideMark/>
          </w:tcPr>
          <w:p w:rsidR="00217D48" w:rsidRPr="00217D48" w:rsidRDefault="00217D48" w:rsidP="00B664F3">
            <w:pPr>
              <w:spacing w:after="0" w:line="240" w:lineRule="auto"/>
              <w:jc w:val="center"/>
              <w:rPr>
                <w:rFonts w:ascii="Times New Roman" w:eastAsia="Times New Roman" w:hAnsi="Times New Roman" w:cs="Times New Roman"/>
                <w:b/>
                <w:bCs/>
                <w:color w:val="FFFFFF" w:themeColor="background1"/>
                <w:sz w:val="18"/>
              </w:rPr>
            </w:pPr>
            <w:r w:rsidRPr="00217D48">
              <w:rPr>
                <w:rFonts w:ascii="Times New Roman" w:eastAsia="Times New Roman" w:hAnsi="Times New Roman" w:cs="Times New Roman"/>
                <w:b/>
                <w:bCs/>
                <w:color w:val="FFFFFF" w:themeColor="background1"/>
                <w:sz w:val="18"/>
              </w:rPr>
              <w:t>Comparison</w:t>
            </w:r>
          </w:p>
        </w:tc>
        <w:tc>
          <w:tcPr>
            <w:tcW w:w="5812" w:type="dxa"/>
            <w:tcBorders>
              <w:top w:val="single" w:sz="4" w:space="0" w:color="auto"/>
              <w:left w:val="nil"/>
              <w:bottom w:val="single" w:sz="4" w:space="0" w:color="auto"/>
              <w:right w:val="single" w:sz="4" w:space="0" w:color="auto"/>
            </w:tcBorders>
            <w:shd w:val="clear" w:color="auto" w:fill="000000" w:themeFill="text1"/>
            <w:noWrap/>
            <w:vAlign w:val="center"/>
            <w:hideMark/>
          </w:tcPr>
          <w:p w:rsidR="00217D48" w:rsidRPr="00217D48" w:rsidRDefault="00217D48" w:rsidP="00B664F3">
            <w:pPr>
              <w:spacing w:after="0" w:line="240" w:lineRule="auto"/>
              <w:jc w:val="center"/>
              <w:rPr>
                <w:rFonts w:ascii="Times New Roman" w:eastAsia="Times New Roman" w:hAnsi="Times New Roman" w:cs="Times New Roman"/>
                <w:b/>
                <w:bCs/>
                <w:color w:val="FFFFFF" w:themeColor="background1"/>
                <w:sz w:val="18"/>
              </w:rPr>
            </w:pPr>
            <w:r w:rsidRPr="00217D48">
              <w:rPr>
                <w:rFonts w:ascii="Times New Roman" w:eastAsia="Times New Roman" w:hAnsi="Times New Roman" w:cs="Times New Roman"/>
                <w:b/>
                <w:bCs/>
                <w:color w:val="FFFFFF" w:themeColor="background1"/>
                <w:sz w:val="18"/>
              </w:rPr>
              <w:t>Results</w:t>
            </w:r>
          </w:p>
        </w:tc>
        <w:tc>
          <w:tcPr>
            <w:tcW w:w="1984" w:type="dxa"/>
            <w:tcBorders>
              <w:top w:val="single" w:sz="4" w:space="0" w:color="auto"/>
              <w:left w:val="nil"/>
              <w:bottom w:val="single" w:sz="4" w:space="0" w:color="auto"/>
              <w:right w:val="single" w:sz="4" w:space="0" w:color="auto"/>
            </w:tcBorders>
            <w:shd w:val="clear" w:color="auto" w:fill="000000" w:themeFill="text1"/>
            <w:noWrap/>
            <w:vAlign w:val="center"/>
            <w:hideMark/>
          </w:tcPr>
          <w:p w:rsidR="00217D48" w:rsidRPr="00217D48" w:rsidRDefault="00217D48" w:rsidP="00B664F3">
            <w:pPr>
              <w:spacing w:after="0" w:line="240" w:lineRule="auto"/>
              <w:jc w:val="center"/>
              <w:rPr>
                <w:rFonts w:ascii="Times New Roman" w:eastAsia="Times New Roman" w:hAnsi="Times New Roman" w:cs="Times New Roman"/>
                <w:b/>
                <w:bCs/>
                <w:color w:val="FFFFFF" w:themeColor="background1"/>
                <w:sz w:val="18"/>
              </w:rPr>
            </w:pPr>
            <w:r w:rsidRPr="00217D48">
              <w:rPr>
                <w:rFonts w:ascii="Times New Roman" w:eastAsia="Times New Roman" w:hAnsi="Times New Roman" w:cs="Times New Roman"/>
                <w:b/>
                <w:bCs/>
                <w:color w:val="FFFFFF" w:themeColor="background1"/>
                <w:sz w:val="18"/>
              </w:rPr>
              <w:t>Reference</w:t>
            </w:r>
          </w:p>
        </w:tc>
      </w:tr>
      <w:tr w:rsidR="009F1139" w:rsidRPr="009F1139" w:rsidTr="009F1139">
        <w:trPr>
          <w:cantSplit/>
          <w:trHeight w:val="576"/>
        </w:trPr>
        <w:tc>
          <w:tcPr>
            <w:tcW w:w="1433"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217D48" w:rsidRPr="00217D48" w:rsidRDefault="00217D48" w:rsidP="00B664F3">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t>Albedo</w:t>
            </w:r>
          </w:p>
        </w:tc>
        <w:tc>
          <w:tcPr>
            <w:tcW w:w="4252" w:type="dxa"/>
            <w:tcBorders>
              <w:top w:val="nil"/>
              <w:left w:val="nil"/>
              <w:bottom w:val="single" w:sz="4" w:space="0" w:color="auto"/>
              <w:right w:val="single" w:sz="4" w:space="0" w:color="auto"/>
            </w:tcBorders>
            <w:shd w:val="clear" w:color="auto" w:fill="D9D9D9" w:themeFill="background1" w:themeFillShade="D9"/>
            <w:vAlign w:val="center"/>
            <w:hideMark/>
          </w:tcPr>
          <w:p w:rsidR="00217D48" w:rsidRPr="00217D48" w:rsidRDefault="00217D48" w:rsidP="00E822FA">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bCs/>
                <w:i/>
                <w:sz w:val="18"/>
              </w:rPr>
              <w:t>MODIS</w:t>
            </w:r>
            <w:r w:rsidRPr="00217D48">
              <w:rPr>
                <w:rFonts w:ascii="Times New Roman" w:eastAsia="Times New Roman" w:hAnsi="Times New Roman" w:cs="Times New Roman"/>
                <w:sz w:val="18"/>
              </w:rPr>
              <w:t xml:space="preserve"> and </w:t>
            </w:r>
            <w:r w:rsidRPr="00217D48">
              <w:rPr>
                <w:rFonts w:ascii="Times New Roman" w:eastAsia="Times New Roman" w:hAnsi="Times New Roman" w:cs="Times New Roman"/>
                <w:b/>
                <w:bCs/>
                <w:sz w:val="18"/>
              </w:rPr>
              <w:t>PROBA -V</w:t>
            </w:r>
            <w:r w:rsidRPr="00217D48">
              <w:rPr>
                <w:rFonts w:ascii="Times New Roman" w:eastAsia="Times New Roman" w:hAnsi="Times New Roman" w:cs="Times New Roman"/>
                <w:sz w:val="18"/>
              </w:rPr>
              <w:t xml:space="preserve"> albedo and direct validation using ground observations</w:t>
            </w:r>
          </w:p>
        </w:tc>
        <w:tc>
          <w:tcPr>
            <w:tcW w:w="5812" w:type="dxa"/>
            <w:tcBorders>
              <w:top w:val="nil"/>
              <w:left w:val="nil"/>
              <w:bottom w:val="single" w:sz="4" w:space="0" w:color="auto"/>
              <w:right w:val="single" w:sz="4" w:space="0" w:color="auto"/>
            </w:tcBorders>
            <w:shd w:val="clear" w:color="auto" w:fill="D9D9D9" w:themeFill="background1" w:themeFillShade="D9"/>
            <w:vAlign w:val="center"/>
            <w:hideMark/>
          </w:tcPr>
          <w:p w:rsidR="00217D48" w:rsidRPr="00EA123B" w:rsidRDefault="00217D48" w:rsidP="007E0431">
            <w:pPr>
              <w:pStyle w:val="ListParagraph"/>
              <w:numPr>
                <w:ilvl w:val="0"/>
                <w:numId w:val="5"/>
              </w:numPr>
              <w:spacing w:after="0" w:line="240" w:lineRule="auto"/>
              <w:ind w:left="1062"/>
              <w:jc w:val="both"/>
              <w:rPr>
                <w:rFonts w:ascii="Times New Roman" w:eastAsia="Times New Roman" w:hAnsi="Times New Roman" w:cs="Times New Roman"/>
                <w:sz w:val="18"/>
              </w:rPr>
            </w:pPr>
            <w:r w:rsidRPr="00EA123B">
              <w:rPr>
                <w:rFonts w:ascii="Times New Roman" w:eastAsia="Times New Roman" w:hAnsi="Times New Roman" w:cs="Times New Roman"/>
                <w:sz w:val="18"/>
              </w:rPr>
              <w:t>PROBA-V and MODIS C6</w:t>
            </w:r>
            <w:r w:rsidR="007E0431">
              <w:rPr>
                <w:rFonts w:ascii="Times New Roman" w:eastAsia="Times New Roman" w:hAnsi="Times New Roman" w:cs="Times New Roman"/>
                <w:sz w:val="18"/>
              </w:rPr>
              <w:t xml:space="preserve"> achieved a good agreement</w:t>
            </w:r>
            <w:r w:rsidRPr="00EA123B">
              <w:rPr>
                <w:rFonts w:ascii="Times New Roman" w:eastAsia="Times New Roman" w:hAnsi="Times New Roman" w:cs="Times New Roman"/>
                <w:sz w:val="18"/>
              </w:rPr>
              <w:t xml:space="preserve"> </w:t>
            </w:r>
            <w:r w:rsidR="007E0431">
              <w:rPr>
                <w:rFonts w:ascii="Times New Roman" w:eastAsia="Times New Roman" w:hAnsi="Times New Roman" w:cs="Times New Roman"/>
                <w:sz w:val="18"/>
              </w:rPr>
              <w:t>(</w:t>
            </w:r>
            <w:r w:rsidRPr="00EA123B">
              <w:rPr>
                <w:rFonts w:ascii="Times New Roman" w:eastAsia="Times New Roman" w:hAnsi="Times New Roman" w:cs="Times New Roman"/>
                <w:sz w:val="18"/>
              </w:rPr>
              <w:t xml:space="preserve">RMSE </w:t>
            </w:r>
            <w:r w:rsidR="007E0431">
              <w:rPr>
                <w:rFonts w:ascii="Times New Roman" w:eastAsia="Times New Roman" w:hAnsi="Times New Roman" w:cs="Times New Roman"/>
                <w:sz w:val="18"/>
              </w:rPr>
              <w:t>ca. 0.03)</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rsidR="00217D48" w:rsidRPr="00217D48" w:rsidRDefault="009F1139" w:rsidP="009F113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sidR="00866DD2">
              <w:rPr>
                <w:rFonts w:ascii="Times New Roman" w:eastAsia="Times New Roman" w:hAnsi="Times New Roman" w:cs="Times New Roman"/>
                <w:sz w:val="18"/>
              </w:rPr>
              <w:instrText>ADDIN CSL_CITATION {"citationItems":[{"id":"ITEM-1","itemData":{"DOI":"10.1016/j.rse.2018.05.015","ISSN":"00344257","abstract":"PROBA-V instrument launched in 2013 is offering a global daily coverage at pixel resolutions of 333 m and 1 km in three spectral bands (BLUE, RED, NIR) and 600 m for shortwave infrared (SWIR). The PROBA-V mission is the follow-on of the VEGETATION program started in 2000, which allowed generating long-term series at 1 km pixel resolution. The PROBA-V products belong to the Copernicus Global Land Service portfolio (http://land.copernicus.eu/global/). The sensor design of PROBA-V with oriented cameras offers a wide field of view (FOV) for sampling the BRDF (Bidirectional Reflectance Distribution Function). This paper details the methodology implemented at the premises of VITO (Flemish Institute for Technological Research) with the aim to disseminate routinely from PROBA-V daily observations for both surface albedo (SA) and top-of-canopy corrected reflectance (TOC-R) products. The method classically operates a selection of cloudless scenes, performs atmospheric corrections, and finally applies a correction of directional effects on a pixel per pixel basis. The synthesis period is the decade and the composite period is 20 days. Such choice is a pointwise sampling as being a trade-off between the availability of clear scenes and the timescale for phenology. Regarding the albedo catalogue, a narrow-band to broadband conversion is stipulated. A recurrent technique serves for gap-filling based on the spread of weighed a priori data. Additional information concerns the quality flag and the age of the product. Preliminary accuracy assessment is performed through a comparison with the Moderate Imaging Spectroradiometer (MODIS) Collection 6. Dependable spatial consistency is reached except for wintertime with deviations in terms of rmse (root mean square errors) about 0.03 for visible and shortwave domains, and 0.04 for near infrared. Besides, both PROBA-V and MODIS C6 exhibit close time profiles, marked by smoothness or rapid transitions. Results over 10 confidence sites reveals rmse values of 0.032 and bias of 0.01 over the 2014 full annual cycle.","author":[{"dropping-particle":"","family":"Roujean","given":"Jean Louis","non-dropping-particle":"","parse-names":false,"suffix":""},{"dropping-particle":"","family":"Leon-Tavares","given":"Jonathan","non-dropping-particle":"","parse-names":false,"suffix":""},{"dropping-particle":"","family":"Smets","given":"Bruno","non-dropping-particle":"","parse-names":false,"suffix":""},{"dropping-particle":"","family":"Claes","given":"Patrick","non-dropping-particle":"","parse-names":false,"suffix":""},{"dropping-particle":"","family":"Camacho De Coca","given":"Fernando","non-dropping-particle":"","parse-names":false,"suffix":""},{"dropping-particle":"","family":"Sanchez-Zapero","given":"Jorge","non-dropping-particle":"","parse-names":false,"suffix":""}],"container-title":"Remote Sensing of Environment","id":"ITEM-1","issue":"May","issued":{"date-parts":[["2018"]]},"page":"57-73","publisher":"Elsevier","title":"Surface albedo and toc-r 300 m products from PROBA-V instrument in the framework of Copernicus Global Land Service","type":"article-journal","volume":"215"},"uris":["http://www.mendeley.com/documents/?uuid=19dd8806-d0e0-422e-8015-c56f883b74a1"]}],"mendeley":{"formattedCitation":"(Roujean et al., 2018)","manualFormatting":"Roujean et al. (2018)","plainTextFormattedCitation":"(Roujean et al., 2018)","previouslyFormattedCitation":"(Roujean et al., 2018)"},"properties":{"noteIndex":0},"schema":"https://github.com/citation-style-language/schema/raw/master/csl-citation.json"}</w:instrText>
            </w:r>
            <w:r>
              <w:rPr>
                <w:rFonts w:ascii="Times New Roman" w:eastAsia="Times New Roman" w:hAnsi="Times New Roman" w:cs="Times New Roman"/>
                <w:sz w:val="18"/>
              </w:rPr>
              <w:fldChar w:fldCharType="separate"/>
            </w:r>
            <w:r w:rsidR="00866DD2">
              <w:rPr>
                <w:rFonts w:ascii="Times New Roman" w:eastAsia="Times New Roman" w:hAnsi="Times New Roman" w:cs="Times New Roman"/>
                <w:noProof/>
                <w:sz w:val="18"/>
              </w:rPr>
              <w:t>Roujean et al. (</w:t>
            </w:r>
            <w:r w:rsidRPr="009F1139">
              <w:rPr>
                <w:rFonts w:ascii="Times New Roman" w:eastAsia="Times New Roman" w:hAnsi="Times New Roman" w:cs="Times New Roman"/>
                <w:noProof/>
                <w:sz w:val="18"/>
              </w:rPr>
              <w:t>2018)</w:t>
            </w:r>
            <w:r>
              <w:rPr>
                <w:rFonts w:ascii="Times New Roman" w:eastAsia="Times New Roman" w:hAnsi="Times New Roman" w:cs="Times New Roman"/>
                <w:sz w:val="18"/>
              </w:rPr>
              <w:fldChar w:fldCharType="end"/>
            </w:r>
          </w:p>
        </w:tc>
      </w:tr>
      <w:tr w:rsidR="009F1139" w:rsidRPr="00217D48" w:rsidTr="009F1139">
        <w:trPr>
          <w:cantSplit/>
          <w:trHeight w:val="1314"/>
        </w:trPr>
        <w:tc>
          <w:tcPr>
            <w:tcW w:w="1433" w:type="dxa"/>
            <w:vMerge w:val="restart"/>
            <w:tcBorders>
              <w:top w:val="nil"/>
              <w:left w:val="single" w:sz="4" w:space="0" w:color="auto"/>
              <w:bottom w:val="single" w:sz="4" w:space="0" w:color="000000"/>
            </w:tcBorders>
            <w:shd w:val="clear" w:color="auto" w:fill="auto"/>
            <w:noWrap/>
            <w:vAlign w:val="center"/>
            <w:hideMark/>
          </w:tcPr>
          <w:p w:rsidR="00217D48" w:rsidRPr="00217D48" w:rsidRDefault="00B664F3" w:rsidP="00B664F3">
            <w:pPr>
              <w:spacing w:after="0" w:line="240" w:lineRule="auto"/>
              <w:jc w:val="center"/>
              <w:rPr>
                <w:rFonts w:ascii="Times New Roman" w:eastAsia="Times New Roman" w:hAnsi="Times New Roman" w:cs="Times New Roman"/>
                <w:b/>
                <w:bCs/>
                <w:sz w:val="18"/>
              </w:rPr>
            </w:pPr>
            <w:r w:rsidRPr="009F1139">
              <w:rPr>
                <w:rFonts w:ascii="Times New Roman" w:eastAsia="Times New Roman" w:hAnsi="Times New Roman" w:cs="Times New Roman"/>
                <w:b/>
                <w:bCs/>
                <w:sz w:val="18"/>
              </w:rPr>
              <w:t>F</w:t>
            </w:r>
            <w:r w:rsidR="00217D48" w:rsidRPr="00217D48">
              <w:rPr>
                <w:rFonts w:ascii="Times New Roman" w:eastAsia="Times New Roman" w:hAnsi="Times New Roman" w:cs="Times New Roman"/>
                <w:b/>
                <w:bCs/>
                <w:sz w:val="18"/>
              </w:rPr>
              <w:t>APAR</w:t>
            </w:r>
          </w:p>
        </w:tc>
        <w:tc>
          <w:tcPr>
            <w:tcW w:w="4252" w:type="dxa"/>
            <w:tcBorders>
              <w:top w:val="nil"/>
              <w:left w:val="nil"/>
              <w:bottom w:val="single" w:sz="4" w:space="0" w:color="auto"/>
              <w:right w:val="single" w:sz="4" w:space="0" w:color="auto"/>
            </w:tcBorders>
            <w:shd w:val="clear" w:color="auto" w:fill="auto"/>
            <w:vAlign w:val="center"/>
            <w:hideMark/>
          </w:tcPr>
          <w:p w:rsidR="00217D48" w:rsidRPr="00217D48" w:rsidRDefault="00217D48" w:rsidP="00E822FA">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bCs/>
                <w:i/>
                <w:sz w:val="18"/>
              </w:rPr>
              <w:t>MODIS</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
                <w:bCs/>
                <w:sz w:val="18"/>
              </w:rPr>
              <w:t>CYCLOPES (SPOT-VGT), JRC</w:t>
            </w:r>
            <w:r w:rsidR="00B664F3" w:rsidRPr="009F1139">
              <w:rPr>
                <w:rFonts w:ascii="Times New Roman" w:eastAsia="Times New Roman" w:hAnsi="Times New Roman" w:cs="Times New Roman"/>
                <w:b/>
                <w:bCs/>
                <w:sz w:val="18"/>
              </w:rPr>
              <w:t xml:space="preserve"> </w:t>
            </w:r>
            <w:r w:rsidRPr="00217D48">
              <w:rPr>
                <w:rFonts w:ascii="Times New Roman" w:eastAsia="Times New Roman" w:hAnsi="Times New Roman" w:cs="Times New Roman"/>
                <w:bCs/>
                <w:i/>
                <w:sz w:val="18"/>
              </w:rPr>
              <w:t>(</w:t>
            </w:r>
            <w:proofErr w:type="spellStart"/>
            <w:r w:rsidRPr="00217D48">
              <w:rPr>
                <w:rFonts w:ascii="Times New Roman" w:eastAsia="Times New Roman" w:hAnsi="Times New Roman" w:cs="Times New Roman"/>
                <w:bCs/>
                <w:i/>
                <w:sz w:val="18"/>
              </w:rPr>
              <w:t>SeaWifs</w:t>
            </w:r>
            <w:proofErr w:type="spellEnd"/>
            <w:r w:rsidRPr="00217D48">
              <w:rPr>
                <w:rFonts w:ascii="Times New Roman" w:eastAsia="Times New Roman" w:hAnsi="Times New Roman" w:cs="Times New Roman"/>
                <w:bCs/>
                <w:i/>
                <w:sz w:val="18"/>
              </w:rPr>
              <w:t>)</w:t>
            </w:r>
            <w:r w:rsidRPr="00217D48">
              <w:rPr>
                <w:rFonts w:ascii="Times New Roman" w:eastAsia="Times New Roman" w:hAnsi="Times New Roman" w:cs="Times New Roman"/>
                <w:b/>
                <w:bCs/>
                <w:sz w:val="18"/>
              </w:rPr>
              <w:t xml:space="preserve">, and GLOBCARBON (SPOT-VGT) </w:t>
            </w:r>
            <w:r w:rsidRPr="00217D48">
              <w:rPr>
                <w:rFonts w:ascii="Times New Roman" w:eastAsia="Times New Roman" w:hAnsi="Times New Roman" w:cs="Times New Roman"/>
                <w:sz w:val="18"/>
              </w:rPr>
              <w:t xml:space="preserve">over Northern </w:t>
            </w:r>
            <w:proofErr w:type="spellStart"/>
            <w:r w:rsidRPr="00217D48">
              <w:rPr>
                <w:rFonts w:ascii="Times New Roman" w:eastAsia="Times New Roman" w:hAnsi="Times New Roman" w:cs="Times New Roman"/>
                <w:sz w:val="18"/>
              </w:rPr>
              <w:t>eurasia</w:t>
            </w:r>
            <w:proofErr w:type="spellEnd"/>
            <w:r w:rsidRPr="00217D48">
              <w:rPr>
                <w:rFonts w:ascii="Times New Roman" w:eastAsia="Times New Roman" w:hAnsi="Times New Roman" w:cs="Times New Roman"/>
                <w:sz w:val="18"/>
              </w:rPr>
              <w:t xml:space="preserve"> for the year 2000.</w:t>
            </w:r>
          </w:p>
        </w:tc>
        <w:tc>
          <w:tcPr>
            <w:tcW w:w="5812" w:type="dxa"/>
            <w:tcBorders>
              <w:top w:val="nil"/>
              <w:left w:val="nil"/>
              <w:bottom w:val="single" w:sz="4" w:space="0" w:color="auto"/>
              <w:right w:val="single" w:sz="4" w:space="0" w:color="auto"/>
            </w:tcBorders>
            <w:shd w:val="clear" w:color="auto" w:fill="auto"/>
            <w:vAlign w:val="center"/>
            <w:hideMark/>
          </w:tcPr>
          <w:p w:rsidR="007710C0" w:rsidRPr="007710C0" w:rsidRDefault="007710C0" w:rsidP="006D6504">
            <w:pPr>
              <w:pStyle w:val="ListParagraph"/>
              <w:numPr>
                <w:ilvl w:val="0"/>
                <w:numId w:val="3"/>
              </w:numPr>
              <w:spacing w:after="0" w:line="240" w:lineRule="auto"/>
              <w:jc w:val="both"/>
              <w:rPr>
                <w:rFonts w:ascii="Times New Roman" w:eastAsia="Times New Roman" w:hAnsi="Times New Roman" w:cs="Times New Roman"/>
                <w:sz w:val="18"/>
              </w:rPr>
            </w:pPr>
            <w:r w:rsidRPr="007710C0">
              <w:rPr>
                <w:rFonts w:ascii="Times New Roman" w:eastAsia="Times New Roman" w:hAnsi="Times New Roman" w:cs="Times New Roman"/>
                <w:sz w:val="18"/>
              </w:rPr>
              <w:t>Products achieve</w:t>
            </w:r>
            <w:r w:rsidR="00D3508C">
              <w:rPr>
                <w:rFonts w:ascii="Times New Roman" w:eastAsia="Times New Roman" w:hAnsi="Times New Roman" w:cs="Times New Roman"/>
                <w:sz w:val="18"/>
              </w:rPr>
              <w:t>d</w:t>
            </w:r>
            <w:r w:rsidRPr="007710C0">
              <w:rPr>
                <w:rFonts w:ascii="Times New Roman" w:eastAsia="Times New Roman" w:hAnsi="Times New Roman" w:cs="Times New Roman"/>
                <w:sz w:val="18"/>
              </w:rPr>
              <w:t xml:space="preserve"> similar results in deciduous broadleaf forests and croplands.</w:t>
            </w:r>
          </w:p>
          <w:p w:rsidR="007710C0" w:rsidRPr="007710C0" w:rsidRDefault="009E4523" w:rsidP="006D6504">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Low agreement</w:t>
            </w:r>
            <w:r w:rsidR="007710C0" w:rsidRPr="007710C0">
              <w:rPr>
                <w:rFonts w:ascii="Times New Roman" w:eastAsia="Times New Roman" w:hAnsi="Times New Roman" w:cs="Times New Roman"/>
                <w:sz w:val="18"/>
              </w:rPr>
              <w:t xml:space="preserve"> found in </w:t>
            </w:r>
            <w:proofErr w:type="spellStart"/>
            <w:r w:rsidR="007710C0" w:rsidRPr="007710C0">
              <w:rPr>
                <w:rFonts w:ascii="Times New Roman" w:eastAsia="Times New Roman" w:hAnsi="Times New Roman" w:cs="Times New Roman"/>
                <w:sz w:val="18"/>
              </w:rPr>
              <w:t>needleleaf</w:t>
            </w:r>
            <w:proofErr w:type="spellEnd"/>
            <w:r w:rsidR="007710C0" w:rsidRPr="007710C0">
              <w:rPr>
                <w:rFonts w:ascii="Times New Roman" w:eastAsia="Times New Roman" w:hAnsi="Times New Roman" w:cs="Times New Roman"/>
                <w:sz w:val="18"/>
              </w:rPr>
              <w:t xml:space="preserve"> and mixed forests and grassland/</w:t>
            </w:r>
            <w:proofErr w:type="spellStart"/>
            <w:r w:rsidR="007710C0" w:rsidRPr="007710C0">
              <w:rPr>
                <w:rFonts w:ascii="Times New Roman" w:eastAsia="Times New Roman" w:hAnsi="Times New Roman" w:cs="Times New Roman"/>
                <w:sz w:val="18"/>
              </w:rPr>
              <w:t>shrublands</w:t>
            </w:r>
            <w:proofErr w:type="spellEnd"/>
            <w:r w:rsidR="007710C0" w:rsidRPr="007710C0">
              <w:rPr>
                <w:rFonts w:ascii="Times New Roman" w:eastAsia="Times New Roman" w:hAnsi="Times New Roman" w:cs="Times New Roman"/>
                <w:sz w:val="18"/>
              </w:rPr>
              <w:t>.</w:t>
            </w:r>
          </w:p>
          <w:p w:rsidR="00E622B4" w:rsidRDefault="00E622B4" w:rsidP="006D6504">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MODIS and CYCLOPES reach</w:t>
            </w:r>
            <w:r w:rsidR="00D3508C">
              <w:rPr>
                <w:rFonts w:ascii="Times New Roman" w:eastAsia="Times New Roman" w:hAnsi="Times New Roman" w:cs="Times New Roman"/>
                <w:sz w:val="18"/>
              </w:rPr>
              <w:t>ed</w:t>
            </w:r>
            <w:r w:rsidR="00217D48" w:rsidRPr="00E622B4">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high </w:t>
            </w:r>
            <w:r w:rsidR="0087167C">
              <w:rPr>
                <w:rFonts w:ascii="Times New Roman" w:eastAsia="Times New Roman" w:hAnsi="Times New Roman" w:cs="Times New Roman"/>
                <w:sz w:val="18"/>
              </w:rPr>
              <w:t xml:space="preserve">FAPAR </w:t>
            </w:r>
            <w:r>
              <w:rPr>
                <w:rFonts w:ascii="Times New Roman" w:eastAsia="Times New Roman" w:hAnsi="Times New Roman" w:cs="Times New Roman"/>
                <w:sz w:val="18"/>
              </w:rPr>
              <w:t>values.</w:t>
            </w:r>
          </w:p>
          <w:p w:rsidR="00217D48" w:rsidRPr="00E622B4" w:rsidRDefault="00217D48" w:rsidP="006D6504">
            <w:pPr>
              <w:pStyle w:val="ListParagraph"/>
              <w:numPr>
                <w:ilvl w:val="0"/>
                <w:numId w:val="3"/>
              </w:numPr>
              <w:spacing w:after="0" w:line="240" w:lineRule="auto"/>
              <w:jc w:val="both"/>
              <w:rPr>
                <w:rFonts w:ascii="Times New Roman" w:eastAsia="Times New Roman" w:hAnsi="Times New Roman" w:cs="Times New Roman"/>
                <w:sz w:val="18"/>
              </w:rPr>
            </w:pPr>
            <w:r w:rsidRPr="00E622B4">
              <w:rPr>
                <w:rFonts w:ascii="Times New Roman" w:eastAsia="Times New Roman" w:hAnsi="Times New Roman" w:cs="Times New Roman"/>
                <w:sz w:val="18"/>
              </w:rPr>
              <w:t xml:space="preserve">JRC and GLOBCARBON </w:t>
            </w:r>
            <w:r w:rsidR="00264568">
              <w:rPr>
                <w:rFonts w:ascii="Times New Roman" w:eastAsia="Times New Roman" w:hAnsi="Times New Roman" w:cs="Times New Roman"/>
                <w:sz w:val="18"/>
              </w:rPr>
              <w:t xml:space="preserve">results </w:t>
            </w:r>
            <w:r w:rsidR="00D3508C">
              <w:rPr>
                <w:rFonts w:ascii="Times New Roman" w:eastAsia="Times New Roman" w:hAnsi="Times New Roman" w:cs="Times New Roman"/>
                <w:sz w:val="18"/>
              </w:rPr>
              <w:t>were</w:t>
            </w:r>
            <w:r w:rsidR="00264568">
              <w:rPr>
                <w:rFonts w:ascii="Times New Roman" w:eastAsia="Times New Roman" w:hAnsi="Times New Roman" w:cs="Times New Roman"/>
                <w:sz w:val="18"/>
              </w:rPr>
              <w:t xml:space="preserve"> similarly low</w:t>
            </w:r>
            <w:r w:rsidR="00E622B4">
              <w:rPr>
                <w:rFonts w:ascii="Times New Roman" w:eastAsia="Times New Roman" w:hAnsi="Times New Roman" w:cs="Times New Roman"/>
                <w:sz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17D48" w:rsidRPr="00217D48" w:rsidRDefault="009F1139" w:rsidP="00866DD2">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{"citationItems":[{"id":"ITEM-1","itemData":{"DOI":"10.1016/j.rse.2009.12.009","ISBN":"0034-4257","ISSN":"00344257","abstract":"The Fraction of Absorbed Photosynthetically Active Radiation (FAPAR) has been identified as one of several key satellite-derived biophysical datasets. With multiple global FAPAR datasets now available and a lack of in-situ measurements and comparison studies in the far north, this study attempts to provide the reader with an indication of the performance of four global FAPAR datasets (MODIS, CYCLOPES, JRC and GLOBCARBON) over Northern Eurasia in the year 2000 via comparison. Within the year 2000 growing season, both the MODIS and CYCLOPES datasets recorded on average similar but substantially higher values than the JRC and GLOBCARBON datasets. Among three of the four datasets, a high level of agreement in deciduous broadleaf forests and croplands was observed. Largest disagreement occurred among needleleaf forests and grassland/shrubland. Potential reasons for discrepancies among the datasets include different retrieval methods, use of LAI and land cover, snow effects and others. Findings from this study and other published results suggest that overall, JRC best captures FAPAR over northern Eurasia in the year 2000. However, when considering individual landcover types, any one or more of the four products may be suitable. There exists a real need for more in-situ measurements in this region - the lack of such measurements makes evaluation extremely difficult. It appears that areas north of 60° urgently require further investigation. © 2009 Elsevier Inc. All rights reserved.","author":[{"dropping-particle":"","family":"McCallum","given":"Ian","non-dropping-particle":"","parse-names":false,"suffix":""},{"dropping-particle":"","family":"Wagner","given":"Wolfgang","non-dropping-particle":"","parse-names":false,"suffix":""},{"dropping-particle":"","family":"Schmullius","given":"Christiane","non-dropping-particle":"","parse-names":false,"suffix":""},{"dropping-particle":"","family":"Shvidenko","given":"Anatoly","non-dropping-particle":"","parse-names":false,"suffix":""},{"dropping-particle":"","family":"Obersteiner","given":"Michael","non-dropping-particle":"","parse-names":false,"suffix":""},{"dropping-particle":"","family":"Fritz","given":"Steffen","non-dropping-particle":"","parse-names":false,"suffix":""},{"dropping-particle":"","family":"Nilsson","given":"Sten","non-dropping-particle":"","parse-names":false,"suffix":""}],"container-title":"Remote Sensing of Environment","id":"ITEM-1","issue":"5","issued":{"date-parts":[["2010"]]},"page":"941-949","publisher":"Elsevier Inc.","title":"Comparison of four global FAPAR datasets over Northern Eurasia for the year 2000","type":"article-journal","volume":"114"},"uris":["http://www.mendeley.com/documents/?uuid=5b610f1f-e86a-4494-972c-aeb6eb5933af"]}],"mendeley":{"formattedCitation":"(McCallum et al., 2010)","plainTextFormattedCitation":"(McCallum et al., 2010)","previouslyFormattedCitation":"(McCallum et al., 2010)"},"properties":{"noteIndex":0},"schema":"https://github.com/citation-style-language/schema/raw/master/csl-citation.json"}</w:instrText>
            </w:r>
            <w:r>
              <w:rPr>
                <w:rFonts w:ascii="Times New Roman" w:eastAsia="Times New Roman" w:hAnsi="Times New Roman" w:cs="Times New Roman"/>
                <w:sz w:val="18"/>
              </w:rPr>
              <w:fldChar w:fldCharType="separate"/>
            </w:r>
            <w:r w:rsidR="00866DD2">
              <w:rPr>
                <w:rFonts w:ascii="Times New Roman" w:eastAsia="Times New Roman" w:hAnsi="Times New Roman" w:cs="Times New Roman"/>
                <w:noProof/>
                <w:sz w:val="18"/>
              </w:rPr>
              <w:t xml:space="preserve">McCallum et al. </w:t>
            </w:r>
            <w:r w:rsidR="00866DD2" w:rsidRPr="009F1139">
              <w:rPr>
                <w:rFonts w:ascii="Times New Roman" w:eastAsia="Times New Roman" w:hAnsi="Times New Roman" w:cs="Times New Roman"/>
                <w:noProof/>
                <w:sz w:val="18"/>
              </w:rPr>
              <w:t>(</w:t>
            </w:r>
            <w:r w:rsidRPr="009F1139">
              <w:rPr>
                <w:rFonts w:ascii="Times New Roman" w:eastAsia="Times New Roman" w:hAnsi="Times New Roman" w:cs="Times New Roman"/>
                <w:noProof/>
                <w:sz w:val="18"/>
              </w:rPr>
              <w:t>2010)</w:t>
            </w:r>
            <w:r>
              <w:rPr>
                <w:rFonts w:ascii="Times New Roman" w:eastAsia="Times New Roman" w:hAnsi="Times New Roman" w:cs="Times New Roman"/>
                <w:sz w:val="18"/>
              </w:rPr>
              <w:fldChar w:fldCharType="end"/>
            </w:r>
          </w:p>
        </w:tc>
      </w:tr>
      <w:tr w:rsidR="009F1139" w:rsidRPr="00217D48" w:rsidTr="009F1139">
        <w:trPr>
          <w:cantSplit/>
          <w:trHeight w:val="155"/>
        </w:trPr>
        <w:tc>
          <w:tcPr>
            <w:tcW w:w="1433" w:type="dxa"/>
            <w:vMerge/>
            <w:tcBorders>
              <w:top w:val="nil"/>
              <w:left w:val="single" w:sz="4" w:space="0" w:color="auto"/>
              <w:bottom w:val="single" w:sz="4" w:space="0" w:color="000000"/>
            </w:tcBorders>
            <w:vAlign w:val="center"/>
            <w:hideMark/>
          </w:tcPr>
          <w:p w:rsidR="00217D48" w:rsidRPr="00217D48" w:rsidRDefault="00217D48" w:rsidP="00B664F3">
            <w:pPr>
              <w:spacing w:after="0" w:line="240" w:lineRule="auto"/>
              <w:jc w:val="center"/>
              <w:rPr>
                <w:rFonts w:ascii="Times New Roman" w:eastAsia="Times New Roman" w:hAnsi="Times New Roman" w:cs="Times New Roman"/>
                <w:b/>
                <w:bCs/>
                <w:sz w:val="18"/>
              </w:rPr>
            </w:pPr>
          </w:p>
        </w:tc>
        <w:tc>
          <w:tcPr>
            <w:tcW w:w="4252" w:type="dxa"/>
            <w:tcBorders>
              <w:top w:val="nil"/>
              <w:left w:val="nil"/>
              <w:bottom w:val="single" w:sz="4" w:space="0" w:color="auto"/>
              <w:right w:val="single" w:sz="4" w:space="0" w:color="auto"/>
            </w:tcBorders>
            <w:shd w:val="clear" w:color="auto" w:fill="auto"/>
            <w:vAlign w:val="center"/>
            <w:hideMark/>
          </w:tcPr>
          <w:p w:rsidR="00217D48" w:rsidRPr="00217D48" w:rsidRDefault="00217D48" w:rsidP="00E822FA">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bCs/>
                <w:i/>
                <w:sz w:val="18"/>
              </w:rPr>
              <w:t>MODIS</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
                <w:bCs/>
                <w:sz w:val="18"/>
              </w:rPr>
              <w:t>MERIS</w:t>
            </w:r>
            <w:r w:rsidRPr="00217D48">
              <w:rPr>
                <w:rFonts w:ascii="Times New Roman" w:eastAsia="Times New Roman" w:hAnsi="Times New Roman" w:cs="Times New Roman"/>
                <w:sz w:val="18"/>
              </w:rPr>
              <w:t xml:space="preserve">, </w:t>
            </w:r>
            <w:proofErr w:type="spellStart"/>
            <w:r w:rsidRPr="00217D48">
              <w:rPr>
                <w:rFonts w:ascii="Times New Roman" w:eastAsia="Times New Roman" w:hAnsi="Times New Roman" w:cs="Times New Roman"/>
                <w:bCs/>
                <w:i/>
                <w:sz w:val="18"/>
              </w:rPr>
              <w:t>SeaWIFS</w:t>
            </w:r>
            <w:proofErr w:type="spellEnd"/>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Cs/>
                <w:i/>
                <w:sz w:val="18"/>
              </w:rPr>
              <w:t>MODIS-TIP</w:t>
            </w:r>
            <w:r w:rsidRPr="00217D48">
              <w:rPr>
                <w:rFonts w:ascii="Times New Roman" w:eastAsia="Times New Roman" w:hAnsi="Times New Roman" w:cs="Times New Roman"/>
                <w:bCs/>
                <w:sz w:val="18"/>
              </w:rPr>
              <w:t>,</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
                <w:bCs/>
                <w:sz w:val="18"/>
              </w:rPr>
              <w:t>SPOT-VEG</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Cs/>
                <w:i/>
                <w:sz w:val="18"/>
              </w:rPr>
              <w:t>AVHRR</w:t>
            </w:r>
            <w:r w:rsidR="009E4523">
              <w:rPr>
                <w:rFonts w:ascii="Times New Roman" w:eastAsia="Times New Roman" w:hAnsi="Times New Roman" w:cs="Times New Roman"/>
                <w:sz w:val="18"/>
              </w:rPr>
              <w:t xml:space="preserve"> across</w:t>
            </w:r>
            <w:r w:rsidRPr="00217D48">
              <w:rPr>
                <w:rFonts w:ascii="Times New Roman" w:eastAsia="Times New Roman" w:hAnsi="Times New Roman" w:cs="Times New Roman"/>
                <w:sz w:val="18"/>
              </w:rPr>
              <w:t xml:space="preserve"> Australia</w:t>
            </w:r>
          </w:p>
        </w:tc>
        <w:tc>
          <w:tcPr>
            <w:tcW w:w="5812" w:type="dxa"/>
            <w:tcBorders>
              <w:top w:val="nil"/>
              <w:left w:val="nil"/>
              <w:bottom w:val="single" w:sz="4" w:space="0" w:color="auto"/>
              <w:right w:val="single" w:sz="4" w:space="0" w:color="auto"/>
            </w:tcBorders>
            <w:shd w:val="clear" w:color="auto" w:fill="auto"/>
            <w:vAlign w:val="center"/>
            <w:hideMark/>
          </w:tcPr>
          <w:p w:rsidR="009E4523" w:rsidRDefault="009E4523" w:rsidP="006D6504">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High agreement among products </w:t>
            </w:r>
            <w:r w:rsidR="00B80866">
              <w:rPr>
                <w:rFonts w:ascii="Times New Roman" w:eastAsia="Times New Roman" w:hAnsi="Times New Roman" w:cs="Times New Roman"/>
                <w:sz w:val="18"/>
              </w:rPr>
              <w:t xml:space="preserve">was found </w:t>
            </w:r>
            <w:r>
              <w:rPr>
                <w:rFonts w:ascii="Times New Roman" w:eastAsia="Times New Roman" w:hAnsi="Times New Roman" w:cs="Times New Roman"/>
                <w:sz w:val="18"/>
              </w:rPr>
              <w:t>in s</w:t>
            </w:r>
            <w:r w:rsidR="00217D48" w:rsidRPr="00217D48">
              <w:rPr>
                <w:rFonts w:ascii="Times New Roman" w:eastAsia="Times New Roman" w:hAnsi="Times New Roman" w:cs="Times New Roman"/>
                <w:sz w:val="18"/>
              </w:rPr>
              <w:t xml:space="preserve">avanna/ grassland, </w:t>
            </w:r>
            <w:proofErr w:type="spellStart"/>
            <w:r w:rsidR="00217D48" w:rsidRPr="00217D48">
              <w:rPr>
                <w:rFonts w:ascii="Times New Roman" w:eastAsia="Times New Roman" w:hAnsi="Times New Roman" w:cs="Times New Roman"/>
                <w:sz w:val="18"/>
              </w:rPr>
              <w:t>shrubland</w:t>
            </w:r>
            <w:proofErr w:type="spellEnd"/>
            <w:r w:rsidR="00217D48" w:rsidRPr="00217D48">
              <w:rPr>
                <w:rFonts w:ascii="Times New Roman" w:eastAsia="Times New Roman" w:hAnsi="Times New Roman" w:cs="Times New Roman"/>
                <w:sz w:val="18"/>
              </w:rPr>
              <w:t xml:space="preserve"> and managed land (agricu</w:t>
            </w:r>
            <w:r w:rsidR="00760C72">
              <w:rPr>
                <w:rFonts w:ascii="Times New Roman" w:eastAsia="Times New Roman" w:hAnsi="Times New Roman" w:cs="Times New Roman"/>
                <w:sz w:val="18"/>
              </w:rPr>
              <w:t xml:space="preserve">ltural land) </w:t>
            </w:r>
            <w:r w:rsidR="00E822FA">
              <w:rPr>
                <w:rFonts w:ascii="Times New Roman" w:eastAsia="Times New Roman" w:hAnsi="Times New Roman" w:cs="Times New Roman"/>
                <w:sz w:val="18"/>
              </w:rPr>
              <w:t>b</w:t>
            </w:r>
            <w:r w:rsidR="00760C72">
              <w:rPr>
                <w:rFonts w:ascii="Times New Roman" w:eastAsia="Times New Roman" w:hAnsi="Times New Roman" w:cs="Times New Roman"/>
                <w:sz w:val="18"/>
              </w:rPr>
              <w:t>iomes.</w:t>
            </w:r>
          </w:p>
          <w:p w:rsidR="00E822FA" w:rsidRPr="00B80866" w:rsidRDefault="009E4523" w:rsidP="00B80866">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Low agreement </w:t>
            </w:r>
            <w:r w:rsidR="00B80866">
              <w:rPr>
                <w:rFonts w:ascii="Times New Roman" w:eastAsia="Times New Roman" w:hAnsi="Times New Roman" w:cs="Times New Roman"/>
                <w:sz w:val="18"/>
              </w:rPr>
              <w:t xml:space="preserve">was found </w:t>
            </w:r>
            <w:r w:rsidR="00760C72">
              <w:rPr>
                <w:rFonts w:ascii="Times New Roman" w:eastAsia="Times New Roman" w:hAnsi="Times New Roman" w:cs="Times New Roman"/>
                <w:sz w:val="18"/>
              </w:rPr>
              <w:t>in forest biomes</w:t>
            </w:r>
            <w:r w:rsidR="00B80866">
              <w:rPr>
                <w:rFonts w:ascii="Times New Roman" w:eastAsia="Times New Roman" w:hAnsi="Times New Roman" w:cs="Times New Roman"/>
                <w:sz w:val="18"/>
              </w:rPr>
              <w:t>.</w:t>
            </w:r>
            <w:r w:rsidR="00E822FA" w:rsidRPr="00B80866">
              <w:rPr>
                <w:rFonts w:ascii="Times New Roman" w:eastAsia="Times New Roman" w:hAnsi="Times New Roman" w:cs="Times New Roman"/>
                <w:sz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17D48" w:rsidRPr="00217D48" w:rsidRDefault="009F1139" w:rsidP="009F1139">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{"citationItems":[{"id":"ITEM-1","itemData":{"DOI":"10.1016/j.rse.2013.08.037","ISBN":"00344257","ISSN":"00344257","PMID":"23853053","abstract":"Satellite remote sensing products of the Fraction of Absorbed Photosynthetically Active Radiation (FAPAR) are routinely used for diverse applications in Earth-System and land-surface modelling and monitoring. The availability of numerous products creates a need to understand the level of consistency between products, and reasons for inconsistencies. We evaluate the consistency of six FAPAR products (MODIS, MERIS, SeaWIFS, MODIS-TIP, SPOT-VEG, and AVHRR) across the Australian continent, using multi-year records. We find that seemingly large differences in FAPAR products over much of Australia can be explained by a simple offset present in certain products. Additional inconsistencies arise from different sensitivities in FAPAR to changes in vegetation cover. These inconsistencies can in turn be partially attributed to changes in biome type that are relevant to certain products and related model-specific assumptions. The satellite FAPAR products are compared to ~. 800 observation-based estimates of fractional vegetation cover at field sites across Australia. After accounting for offsets in FAPAR, relatively high agreement occurs at sites classified as grasslands, shrublands and managed land (agriculture). Significant disagreement occurs at sites correctly classified as forests. Consequently, some products show significant differences in FAPAR between regions of similar vegetation cover but different biome classification. We find that all products show a much lower sensitivity to fractional vegetation cover (range in coefficient of linear regression: 0.28-0.61) than is predicted theoretically (0.96-1.18) using a canopy radiative transfer model. Reasons for this discrepancy are discussed. © 2013 Elsevier Inc.","author":[{"dropping-particle":"","family":"Pickett-Heaps","given":"Christopher A.","non-dropping-particle":"","parse-names":false,"suffix":""},{"dropping-particle":"","family":"Canadell","given":"Josep G.","non-dropping-particle":"","parse-names":false,"suffix":""},{"dropping-particle":"","family":"Briggs","given":"Peter R.","non-dropping-particle":"","parse-names":false,"suffix":""},{"dropping-particle":"","family":"Gobron","given":"Nadine","non-dropping-particle":"","parse-names":false,"suffix":""},{"dropping-particle":"","family":"Haverd","given":"Vanessa","non-dropping-particle":"","parse-names":false,"suffix":""},{"dropping-particle":"","family":"Paget","given":"Matt J.","non-dropping-particle":"","parse-names":false,"suffix":""},{"dropping-particle":"","family":"Pinty","given":"Bernard","non-dropping-particle":"","parse-names":false,"suffix":""},{"dropping-particle":"","family":"Raupach","given":"Michael R.","non-dropping-particle":"","parse-names":false,"suffix":""}],"container-title":"Remote Sensing of Environment","id":"ITEM-1","issued":{"date-parts":[["2014"]]},"page":"241-256","publisher":"Elsevier Inc.","title":"Evaluation of six satellite-derived Fraction of Absorbed Photosynthetic Active Radiation (FAPAR) products across the Australian continent","type":"article-journal","volume":"140"},"uris":["http://www.mendeley.com/documents/?uuid=87fe94c7-5cae-479c-8b5b-db60e612cdcd"]}],"mendeley":{"formattedCitation":"(Pickett-Heaps et al., 2014)","plainTextFormattedCitation":"(Pickett-Heaps et al., 2014)","previouslyFormattedCitation":"(Pickett-Heaps et al., 2014)"},"properties":{"noteIndex":0},"schema":"https://github.com/citation-style-language/schema/raw/master/csl-citation.json"}</w:instrText>
            </w:r>
            <w:r>
              <w:rPr>
                <w:rFonts w:ascii="Times New Roman" w:eastAsia="Times New Roman" w:hAnsi="Times New Roman" w:cs="Times New Roman"/>
                <w:sz w:val="18"/>
              </w:rPr>
              <w:fldChar w:fldCharType="separate"/>
            </w:r>
            <w:r w:rsidR="00866DD2">
              <w:rPr>
                <w:rFonts w:ascii="Times New Roman" w:eastAsia="Times New Roman" w:hAnsi="Times New Roman" w:cs="Times New Roman"/>
                <w:noProof/>
                <w:sz w:val="18"/>
              </w:rPr>
              <w:t>Pickett-Heaps et al.</w:t>
            </w:r>
            <w:r w:rsidRPr="009F1139">
              <w:rPr>
                <w:rFonts w:ascii="Times New Roman" w:eastAsia="Times New Roman" w:hAnsi="Times New Roman" w:cs="Times New Roman"/>
                <w:noProof/>
                <w:sz w:val="18"/>
              </w:rPr>
              <w:t xml:space="preserve"> </w:t>
            </w:r>
            <w:r w:rsidR="00866DD2" w:rsidRPr="009F1139">
              <w:rPr>
                <w:rFonts w:ascii="Times New Roman" w:eastAsia="Times New Roman" w:hAnsi="Times New Roman" w:cs="Times New Roman"/>
                <w:noProof/>
                <w:sz w:val="18"/>
              </w:rPr>
              <w:t>(</w:t>
            </w:r>
            <w:r w:rsidRPr="009F1139">
              <w:rPr>
                <w:rFonts w:ascii="Times New Roman" w:eastAsia="Times New Roman" w:hAnsi="Times New Roman" w:cs="Times New Roman"/>
                <w:noProof/>
                <w:sz w:val="18"/>
              </w:rPr>
              <w:t>2014)</w:t>
            </w:r>
            <w:r>
              <w:rPr>
                <w:rFonts w:ascii="Times New Roman" w:eastAsia="Times New Roman" w:hAnsi="Times New Roman" w:cs="Times New Roman"/>
                <w:sz w:val="18"/>
              </w:rPr>
              <w:fldChar w:fldCharType="end"/>
            </w:r>
          </w:p>
        </w:tc>
      </w:tr>
      <w:tr w:rsidR="00573F3D" w:rsidRPr="009F1139" w:rsidTr="00953606">
        <w:trPr>
          <w:cantSplit/>
          <w:trHeight w:val="80"/>
        </w:trPr>
        <w:tc>
          <w:tcPr>
            <w:tcW w:w="1433" w:type="dxa"/>
            <w:tcBorders>
              <w:top w:val="nil"/>
              <w:left w:val="single" w:sz="4" w:space="0" w:color="auto"/>
              <w:bottom w:val="single" w:sz="4" w:space="0" w:color="000000"/>
            </w:tcBorders>
            <w:shd w:val="clear" w:color="auto" w:fill="D9D9D9" w:themeFill="background1" w:themeFillShade="D9"/>
            <w:noWrap/>
            <w:vAlign w:val="center"/>
          </w:tcPr>
          <w:p w:rsidR="00573F3D" w:rsidRPr="00953606" w:rsidRDefault="00573F3D" w:rsidP="00B664F3">
            <w:pPr>
              <w:spacing w:after="0" w:line="240" w:lineRule="auto"/>
              <w:jc w:val="center"/>
              <w:rPr>
                <w:rFonts w:ascii="Times New Roman" w:eastAsia="Times New Roman" w:hAnsi="Times New Roman" w:cs="Times New Roman"/>
                <w:b/>
                <w:bCs/>
                <w:sz w:val="18"/>
              </w:rPr>
            </w:pPr>
            <w:r w:rsidRPr="00953606">
              <w:rPr>
                <w:rFonts w:ascii="Times New Roman" w:eastAsia="Times New Roman" w:hAnsi="Times New Roman" w:cs="Times New Roman"/>
                <w:b/>
                <w:bCs/>
                <w:sz w:val="18"/>
              </w:rPr>
              <w:t>LAI/ FAPAR</w:t>
            </w:r>
          </w:p>
        </w:tc>
        <w:tc>
          <w:tcPr>
            <w:tcW w:w="4252" w:type="dxa"/>
            <w:tcBorders>
              <w:top w:val="nil"/>
              <w:left w:val="nil"/>
              <w:bottom w:val="single" w:sz="4" w:space="0" w:color="auto"/>
              <w:right w:val="single" w:sz="4" w:space="0" w:color="auto"/>
            </w:tcBorders>
            <w:shd w:val="clear" w:color="auto" w:fill="D9D9D9" w:themeFill="background1" w:themeFillShade="D9"/>
            <w:vAlign w:val="center"/>
          </w:tcPr>
          <w:p w:rsidR="00573F3D" w:rsidRPr="00953606" w:rsidRDefault="00573F3D" w:rsidP="00953606">
            <w:pPr>
              <w:spacing w:after="0" w:line="240" w:lineRule="auto"/>
              <w:jc w:val="both"/>
              <w:rPr>
                <w:rFonts w:ascii="Times New Roman" w:eastAsia="Times New Roman" w:hAnsi="Times New Roman" w:cs="Times New Roman"/>
                <w:sz w:val="18"/>
              </w:rPr>
            </w:pPr>
            <w:r w:rsidRPr="00953606">
              <w:rPr>
                <w:rFonts w:ascii="Times New Roman" w:eastAsia="Times New Roman" w:hAnsi="Times New Roman" w:cs="Times New Roman"/>
                <w:bCs/>
                <w:i/>
                <w:sz w:val="18"/>
              </w:rPr>
              <w:t>MODIS</w:t>
            </w:r>
            <w:r w:rsidR="00953606" w:rsidRPr="00953606">
              <w:rPr>
                <w:rFonts w:ascii="Times New Roman" w:eastAsia="Times New Roman" w:hAnsi="Times New Roman" w:cs="Times New Roman"/>
                <w:sz w:val="18"/>
              </w:rPr>
              <w:t xml:space="preserve">, </w:t>
            </w:r>
            <w:proofErr w:type="spellStart"/>
            <w:r w:rsidR="00953606" w:rsidRPr="00953606">
              <w:rPr>
                <w:rFonts w:ascii="Times New Roman" w:eastAsia="Times New Roman" w:hAnsi="Times New Roman" w:cs="Times New Roman"/>
                <w:sz w:val="18"/>
              </w:rPr>
              <w:t>Formosat</w:t>
            </w:r>
            <w:proofErr w:type="spellEnd"/>
            <w:r w:rsidR="00953606" w:rsidRPr="00953606">
              <w:rPr>
                <w:rFonts w:ascii="Times New Roman" w:eastAsia="Times New Roman" w:hAnsi="Times New Roman" w:cs="Times New Roman"/>
                <w:sz w:val="18"/>
              </w:rPr>
              <w:t xml:space="preserve">, </w:t>
            </w:r>
            <w:r w:rsidRPr="00953606">
              <w:rPr>
                <w:rFonts w:ascii="Times New Roman" w:eastAsia="Times New Roman" w:hAnsi="Times New Roman" w:cs="Times New Roman"/>
                <w:b/>
                <w:sz w:val="18"/>
              </w:rPr>
              <w:t>GEOLAND-2(</w:t>
            </w:r>
            <w:r w:rsidRPr="00953606">
              <w:rPr>
                <w:rFonts w:ascii="Times New Roman" w:eastAsia="Times New Roman" w:hAnsi="Times New Roman" w:cs="Times New Roman"/>
                <w:b/>
                <w:bCs/>
                <w:sz w:val="18"/>
              </w:rPr>
              <w:t xml:space="preserve">SPOT-VGT) </w:t>
            </w:r>
            <w:r w:rsidRPr="00953606">
              <w:rPr>
                <w:rFonts w:ascii="Times New Roman" w:eastAsia="Times New Roman" w:hAnsi="Times New Roman" w:cs="Times New Roman"/>
                <w:bCs/>
                <w:sz w:val="18"/>
              </w:rPr>
              <w:t>and in situ measurements</w:t>
            </w:r>
            <w:r w:rsidRPr="00953606">
              <w:rPr>
                <w:rFonts w:ascii="Times New Roman" w:eastAsia="Times New Roman" w:hAnsi="Times New Roman" w:cs="Times New Roman"/>
                <w:b/>
                <w:bCs/>
                <w:sz w:val="18"/>
              </w:rPr>
              <w:t xml:space="preserve"> </w:t>
            </w:r>
            <w:r w:rsidRPr="00953606">
              <w:rPr>
                <w:rFonts w:ascii="Times New Roman" w:eastAsia="Times New Roman" w:hAnsi="Times New Roman" w:cs="Times New Roman"/>
                <w:bCs/>
                <w:sz w:val="18"/>
              </w:rPr>
              <w:t>over crops in southwest France</w:t>
            </w:r>
          </w:p>
        </w:tc>
        <w:tc>
          <w:tcPr>
            <w:tcW w:w="5812" w:type="dxa"/>
            <w:tcBorders>
              <w:top w:val="nil"/>
              <w:left w:val="nil"/>
              <w:bottom w:val="single" w:sz="4" w:space="0" w:color="auto"/>
              <w:right w:val="single" w:sz="4" w:space="0" w:color="auto"/>
            </w:tcBorders>
            <w:shd w:val="clear" w:color="auto" w:fill="D9D9D9" w:themeFill="background1" w:themeFillShade="D9"/>
            <w:vAlign w:val="center"/>
          </w:tcPr>
          <w:p w:rsidR="00573F3D" w:rsidRPr="00953606" w:rsidRDefault="00953606" w:rsidP="006D6504">
            <w:pPr>
              <w:pStyle w:val="ListParagraph"/>
              <w:numPr>
                <w:ilvl w:val="0"/>
                <w:numId w:val="3"/>
              </w:numPr>
              <w:spacing w:after="0" w:line="240" w:lineRule="auto"/>
              <w:jc w:val="both"/>
              <w:rPr>
                <w:rFonts w:ascii="Times New Roman" w:eastAsia="Times New Roman" w:hAnsi="Times New Roman" w:cs="Times New Roman"/>
                <w:sz w:val="18"/>
              </w:rPr>
            </w:pPr>
            <w:r w:rsidRPr="00953606">
              <w:rPr>
                <w:rFonts w:ascii="Times New Roman" w:eastAsia="Times New Roman" w:hAnsi="Times New Roman" w:cs="Times New Roman"/>
                <w:sz w:val="18"/>
              </w:rPr>
              <w:t>Results from all products were</w:t>
            </w:r>
            <w:r w:rsidR="00573F3D" w:rsidRPr="00953606">
              <w:rPr>
                <w:rFonts w:ascii="Times New Roman" w:eastAsia="Times New Roman" w:hAnsi="Times New Roman" w:cs="Times New Roman"/>
                <w:sz w:val="18"/>
              </w:rPr>
              <w:t xml:space="preserve"> in good agreement with </w:t>
            </w:r>
            <w:r w:rsidRPr="00953606">
              <w:rPr>
                <w:rFonts w:ascii="Times New Roman" w:eastAsia="Times New Roman" w:hAnsi="Times New Roman" w:cs="Times New Roman"/>
                <w:sz w:val="18"/>
              </w:rPr>
              <w:t xml:space="preserve">a </w:t>
            </w:r>
            <w:r w:rsidR="00573F3D" w:rsidRPr="00953606">
              <w:rPr>
                <w:rFonts w:ascii="Times New Roman" w:eastAsia="Times New Roman" w:hAnsi="Times New Roman" w:cs="Times New Roman"/>
                <w:sz w:val="18"/>
              </w:rPr>
              <w:t>significant positive correlation.</w:t>
            </w:r>
          </w:p>
          <w:p w:rsidR="00573F3D" w:rsidRPr="00953606" w:rsidRDefault="00573F3D" w:rsidP="006D6504">
            <w:pPr>
              <w:pStyle w:val="ListParagraph"/>
              <w:numPr>
                <w:ilvl w:val="0"/>
                <w:numId w:val="3"/>
              </w:numPr>
              <w:spacing w:after="0" w:line="240" w:lineRule="auto"/>
              <w:jc w:val="both"/>
              <w:rPr>
                <w:rFonts w:ascii="Times New Roman" w:eastAsia="Times New Roman" w:hAnsi="Times New Roman" w:cs="Times New Roman"/>
                <w:sz w:val="18"/>
              </w:rPr>
            </w:pPr>
            <w:r w:rsidRPr="00953606">
              <w:rPr>
                <w:rFonts w:ascii="Times New Roman" w:eastAsia="Times New Roman" w:hAnsi="Times New Roman" w:cs="Times New Roman"/>
                <w:sz w:val="18"/>
              </w:rPr>
              <w:t>Uncertainty LAI: 0.35</w:t>
            </w:r>
          </w:p>
          <w:p w:rsidR="00573F3D" w:rsidRPr="00953606" w:rsidRDefault="00573F3D" w:rsidP="006D6504">
            <w:pPr>
              <w:pStyle w:val="ListParagraph"/>
              <w:numPr>
                <w:ilvl w:val="0"/>
                <w:numId w:val="3"/>
              </w:numPr>
              <w:spacing w:after="0" w:line="240" w:lineRule="auto"/>
              <w:jc w:val="both"/>
              <w:rPr>
                <w:rFonts w:ascii="Times New Roman" w:eastAsia="Times New Roman" w:hAnsi="Times New Roman" w:cs="Times New Roman"/>
                <w:sz w:val="18"/>
              </w:rPr>
            </w:pPr>
            <w:r w:rsidRPr="00953606">
              <w:rPr>
                <w:rFonts w:ascii="Times New Roman" w:eastAsia="Times New Roman" w:hAnsi="Times New Roman" w:cs="Times New Roman"/>
                <w:sz w:val="18"/>
              </w:rPr>
              <w:t>Uncertainty FAPAR: 0.07</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tcPr>
          <w:p w:rsidR="00573F3D" w:rsidRPr="00953606" w:rsidRDefault="00573F3D" w:rsidP="00DA5A53">
            <w:pPr>
              <w:spacing w:after="0" w:line="240" w:lineRule="auto"/>
              <w:jc w:val="center"/>
              <w:rPr>
                <w:rFonts w:ascii="Times New Roman" w:eastAsia="Times New Roman" w:hAnsi="Times New Roman" w:cs="Times New Roman"/>
                <w:sz w:val="18"/>
              </w:rPr>
            </w:pPr>
            <w:r w:rsidRPr="00953606">
              <w:rPr>
                <w:rFonts w:ascii="Times New Roman" w:eastAsia="Times New Roman" w:hAnsi="Times New Roman" w:cs="Times New Roman"/>
                <w:sz w:val="18"/>
              </w:rPr>
              <w:fldChar w:fldCharType="begin" w:fldLock="1"/>
            </w:r>
            <w:r w:rsidRPr="00953606">
              <w:rPr>
                <w:rFonts w:ascii="Times New Roman" w:eastAsia="Times New Roman" w:hAnsi="Times New Roman" w:cs="Times New Roman"/>
                <w:sz w:val="18"/>
              </w:rPr>
              <w:instrText>ADDIN CSL_CITATION {"citationItems":[{"id":"ITEM-1","itemData":{"DOI":"10.1016/j.rse.2013.07.027","ISBN":"0034-4257","ISSN":"00344257","abstract":"This study aims at validating Leaf Area Index (LAI) and Fraction of Absorbed Photosynthetically Active Radiation (FAPAR) products derived from MODIS surface reflectance (MOD09CMG) at coarse resolution (0.05°) over crops. These Essential Climate Variables (ECVs) are estimated by using the inversion of the PROSAIL radiative transfer (BV-NNET tool) applied on MODIS BRDF (Bidirectional Reflectance Distribution Function) corrected surface reflectances and non-corrected. ECV estimates and the corresponding MCD15A3 Collection 5 and GEOLAND-2 (GEOv1) products are compared with ECV reference maps derived from BV-NNET applied on 105 high spatial resolution images (Formosat-2, 8. m) which were acquired from 2006 to 2010 in Southwest France. These latter are compared with local scale in situ measurements. The validation shows an uncertainty of 0.35 and 0.07 for LAI and FAPAR, respectively.The comparison shows that the ECV estimates from the three products properly capture the crops phenology in agreement with reference maps. Results indicate that MCD15A3 uncertainties (0.23 and 0.07 for LAI and FAPAR, respectively) are similar to previous intercomparison studies. GEOv1 shows a systemic positive bias for both LAI and FAPAR. The best agreement with the reference maps is found for MODIS BV-NNET products with r2higher than 0.9 and relative uncertainties lower than 17%. The use of BRDF-corrected surface reflectances as input of BV-NNET tool improves the uncertainty of LAI estimates (0.11, compared to 0.17 when directional surface reflectances are used as input) but not the uncertainty of FAPAR estimates. The deviation between FAPAR products which mostly affects low winter FAPAR, is related to the discrepancy of the soil directional assumption in PROSAIL model and BRDF correction method. The temporal stability of the daily MODIS BV-NNET products is better than the 4-day composite MCD15A3 products. Finally, BV-NNET tool applied at finer resolutions demonstrates that the increase of the resolution results in a decrease of the LAI and FAPAR uncertainties and a conservation of the biases. © 2013 Elsevier Inc.","author":[{"dropping-particle":"","family":"Claverie","given":"Martin","non-dropping-particle":"","parse-names":false,"suffix":""},{"dropping-particle":"","family":"Vermote","given":"Eric F.","non-dropping-particle":"","parse-names":false,"suffix":""},{"dropping-particle":"","family":"Weiss","given":"Marie","non-dropping-particle":"","parse-names":false,"suffix":""},{"dropping-particle":"","family":"Baret","given":"Frédéric","non-dropping-particle":"","parse-names":false,"suffix":""},{"dropping-particle":"","family":"Hagolle","given":"Olivier","non-dropping-particle":"","parse-names":false,"suffix":""},{"dropping-particle":"","family":"Demarez","given":"Valérie","non-dropping-particle":"","parse-names":false,"suffix":""}],"container-title":"Remote Sensing of Environment","id":"ITEM-1","issued":{"date-parts":[["2013"]]},"page":"216-230","publisher":"Elsevier Inc.","title":"Validation of coarse spatial resolution LAI and FAPAR time series over cropland in southwest France","type":"article-journal","volume":"139"},"uris":["http://www.mendeley.com/documents/?uuid=3911cc4f-a0b6-4af1-9f88-c23630784c1a"]}],"mendeley":{"formattedCitation":"(Claverie et al., 2013)","plainTextFormattedCitation":"(Claverie et al., 2013)","previouslyFormattedCitation":"(Claverie et al., 2013)"},"properties":{"noteIndex":0},"schema":"https://github.com/citation-style-language/schema/raw/master/csl-citation.json"}</w:instrText>
            </w:r>
            <w:r w:rsidRPr="00953606">
              <w:rPr>
                <w:rFonts w:ascii="Times New Roman" w:eastAsia="Times New Roman" w:hAnsi="Times New Roman" w:cs="Times New Roman"/>
                <w:sz w:val="18"/>
              </w:rPr>
              <w:fldChar w:fldCharType="separate"/>
            </w:r>
            <w:r w:rsidRPr="00953606">
              <w:rPr>
                <w:rFonts w:ascii="Times New Roman" w:eastAsia="Times New Roman" w:hAnsi="Times New Roman" w:cs="Times New Roman"/>
                <w:noProof/>
                <w:sz w:val="18"/>
              </w:rPr>
              <w:t>Claverie et al. (2013)</w:t>
            </w:r>
            <w:r w:rsidRPr="00953606">
              <w:rPr>
                <w:rFonts w:ascii="Times New Roman" w:eastAsia="Times New Roman" w:hAnsi="Times New Roman" w:cs="Times New Roman"/>
                <w:sz w:val="18"/>
              </w:rPr>
              <w:fldChar w:fldCharType="end"/>
            </w:r>
          </w:p>
        </w:tc>
      </w:tr>
      <w:tr w:rsidR="00573F3D" w:rsidRPr="009F1139" w:rsidTr="00573F3D">
        <w:trPr>
          <w:cantSplit/>
          <w:trHeight w:val="80"/>
        </w:trPr>
        <w:tc>
          <w:tcPr>
            <w:tcW w:w="1433" w:type="dxa"/>
            <w:tcBorders>
              <w:top w:val="nil"/>
              <w:left w:val="single" w:sz="4" w:space="0" w:color="auto"/>
              <w:bottom w:val="single" w:sz="4" w:space="0" w:color="000000"/>
            </w:tcBorders>
            <w:shd w:val="clear" w:color="auto" w:fill="auto"/>
            <w:noWrap/>
            <w:vAlign w:val="center"/>
          </w:tcPr>
          <w:p w:rsidR="00573F3D" w:rsidRPr="00217D48" w:rsidRDefault="00573F3D" w:rsidP="006103C6">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 xml:space="preserve">FCOVER/ LAI/ </w:t>
            </w:r>
            <w:r w:rsidRPr="00217D48">
              <w:rPr>
                <w:rFonts w:ascii="Times New Roman" w:eastAsia="Times New Roman" w:hAnsi="Times New Roman" w:cs="Times New Roman"/>
                <w:b/>
                <w:bCs/>
                <w:sz w:val="18"/>
              </w:rPr>
              <w:t>FAPAR</w:t>
            </w:r>
          </w:p>
        </w:tc>
        <w:tc>
          <w:tcPr>
            <w:tcW w:w="4252" w:type="dxa"/>
            <w:tcBorders>
              <w:top w:val="nil"/>
              <w:left w:val="nil"/>
              <w:bottom w:val="single" w:sz="4" w:space="0" w:color="auto"/>
              <w:right w:val="single" w:sz="4" w:space="0" w:color="auto"/>
            </w:tcBorders>
            <w:shd w:val="clear" w:color="auto" w:fill="auto"/>
            <w:vAlign w:val="center"/>
          </w:tcPr>
          <w:p w:rsidR="00573F3D" w:rsidRPr="00217D48" w:rsidRDefault="00573F3D" w:rsidP="00632D0C">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sz w:val="18"/>
              </w:rPr>
              <w:t>The spatial and temporal consistencies of GEOV1 products (</w:t>
            </w:r>
            <w:r w:rsidRPr="00217D48">
              <w:rPr>
                <w:rFonts w:ascii="Times New Roman" w:eastAsia="Times New Roman" w:hAnsi="Times New Roman" w:cs="Times New Roman"/>
                <w:b/>
                <w:bCs/>
                <w:sz w:val="18"/>
              </w:rPr>
              <w:t>FCOVER, LAI, FAPAR using SPOT-VGT</w:t>
            </w:r>
            <w:r w:rsidRPr="00217D48">
              <w:rPr>
                <w:rFonts w:ascii="Times New Roman" w:eastAsia="Times New Roman" w:hAnsi="Times New Roman" w:cs="Times New Roman"/>
                <w:sz w:val="18"/>
              </w:rPr>
              <w:t xml:space="preserve">: GEOLAND2 project) were assessed by </w:t>
            </w:r>
            <w:proofErr w:type="spellStart"/>
            <w:r w:rsidRPr="00217D48">
              <w:rPr>
                <w:rFonts w:ascii="Times New Roman" w:eastAsia="Times New Roman" w:hAnsi="Times New Roman" w:cs="Times New Roman"/>
                <w:sz w:val="18"/>
              </w:rPr>
              <w:t>intercomparison</w:t>
            </w:r>
            <w:proofErr w:type="spellEnd"/>
            <w:r w:rsidRPr="00217D48">
              <w:rPr>
                <w:rFonts w:ascii="Times New Roman" w:eastAsia="Times New Roman" w:hAnsi="Times New Roman" w:cs="Times New Roman"/>
                <w:sz w:val="18"/>
              </w:rPr>
              <w:t xml:space="preserve"> with reference global products (</w:t>
            </w:r>
            <w:r w:rsidRPr="00217D48">
              <w:rPr>
                <w:rFonts w:ascii="Times New Roman" w:eastAsia="Times New Roman" w:hAnsi="Times New Roman" w:cs="Times New Roman"/>
                <w:bCs/>
                <w:i/>
                <w:sz w:val="18"/>
              </w:rPr>
              <w:t>MODIS c5</w:t>
            </w:r>
            <w:r w:rsidRPr="00217D48">
              <w:rPr>
                <w:rFonts w:ascii="Times New Roman" w:eastAsia="Times New Roman" w:hAnsi="Times New Roman" w:cs="Times New Roman"/>
                <w:b/>
                <w:bCs/>
                <w:sz w:val="18"/>
              </w:rPr>
              <w:t>, CYCLOPES v3.1  (SPOT-VGT)</w:t>
            </w:r>
            <w:r w:rsidRPr="00217D48">
              <w:rPr>
                <w:rFonts w:ascii="Times New Roman" w:eastAsia="Times New Roman" w:hAnsi="Times New Roman" w:cs="Times New Roman"/>
                <w:sz w:val="18"/>
              </w:rPr>
              <w:t>, GLOBCARBON v2 LAI</w:t>
            </w:r>
            <w:r w:rsidRPr="00217D48">
              <w:rPr>
                <w:rFonts w:ascii="Times New Roman" w:eastAsia="Times New Roman" w:hAnsi="Times New Roman" w:cs="Times New Roman"/>
                <w:b/>
                <w:bCs/>
                <w:sz w:val="18"/>
              </w:rPr>
              <w:t xml:space="preserve"> (SPOT-VGT</w:t>
            </w:r>
            <w:r w:rsidR="00632D0C">
              <w:rPr>
                <w:rFonts w:ascii="Times New Roman" w:eastAsia="Times New Roman" w:hAnsi="Times New Roman" w:cs="Times New Roman"/>
                <w:b/>
                <w:bCs/>
                <w:sz w:val="18"/>
              </w:rPr>
              <w:t>, ENVISAT/AATSR</w:t>
            </w:r>
            <w:r w:rsidRPr="00217D48">
              <w:rPr>
                <w:rFonts w:ascii="Times New Roman" w:eastAsia="Times New Roman" w:hAnsi="Times New Roman" w:cs="Times New Roman"/>
                <w:sz w:val="18"/>
              </w:rPr>
              <w:t xml:space="preserve">), and JRC </w:t>
            </w:r>
            <w:proofErr w:type="spellStart"/>
            <w:r w:rsidRPr="00217D48">
              <w:rPr>
                <w:rFonts w:ascii="Times New Roman" w:eastAsia="Times New Roman" w:hAnsi="Times New Roman" w:cs="Times New Roman"/>
                <w:bCs/>
                <w:i/>
                <w:sz w:val="18"/>
              </w:rPr>
              <w:t>SeaWIFS</w:t>
            </w:r>
            <w:proofErr w:type="spellEnd"/>
            <w:r w:rsidRPr="00217D48">
              <w:rPr>
                <w:rFonts w:ascii="Times New Roman" w:eastAsia="Times New Roman" w:hAnsi="Times New Roman" w:cs="Times New Roman"/>
                <w:sz w:val="18"/>
              </w:rPr>
              <w:t xml:space="preserve"> FAPAR)</w:t>
            </w:r>
          </w:p>
        </w:tc>
        <w:tc>
          <w:tcPr>
            <w:tcW w:w="5812" w:type="dxa"/>
            <w:tcBorders>
              <w:top w:val="nil"/>
              <w:left w:val="nil"/>
              <w:bottom w:val="single" w:sz="4" w:space="0" w:color="auto"/>
              <w:right w:val="single" w:sz="4" w:space="0" w:color="auto"/>
            </w:tcBorders>
            <w:shd w:val="clear" w:color="auto" w:fill="auto"/>
            <w:vAlign w:val="center"/>
          </w:tcPr>
          <w:p w:rsidR="00632D0C" w:rsidRDefault="00573F3D" w:rsidP="006D6504">
            <w:pPr>
              <w:pStyle w:val="ListParagraph"/>
              <w:numPr>
                <w:ilvl w:val="0"/>
                <w:numId w:val="3"/>
              </w:numPr>
              <w:spacing w:after="0" w:line="240" w:lineRule="auto"/>
              <w:jc w:val="both"/>
              <w:rPr>
                <w:rFonts w:ascii="Times New Roman" w:eastAsia="Times New Roman" w:hAnsi="Times New Roman" w:cs="Times New Roman"/>
                <w:sz w:val="18"/>
              </w:rPr>
            </w:pPr>
            <w:r w:rsidRPr="00632D0C">
              <w:rPr>
                <w:rFonts w:ascii="Times New Roman" w:eastAsia="Times New Roman" w:hAnsi="Times New Roman" w:cs="Times New Roman"/>
                <w:sz w:val="18"/>
              </w:rPr>
              <w:t xml:space="preserve">GEOV1 products </w:t>
            </w:r>
            <w:r w:rsidR="00632D0C">
              <w:rPr>
                <w:rFonts w:ascii="Times New Roman" w:eastAsia="Times New Roman" w:hAnsi="Times New Roman" w:cs="Times New Roman"/>
                <w:sz w:val="18"/>
              </w:rPr>
              <w:t>present</w:t>
            </w:r>
            <w:r w:rsidR="00D3508C">
              <w:rPr>
                <w:rFonts w:ascii="Times New Roman" w:eastAsia="Times New Roman" w:hAnsi="Times New Roman" w:cs="Times New Roman"/>
                <w:sz w:val="18"/>
              </w:rPr>
              <w:t>ed</w:t>
            </w:r>
            <w:r w:rsidR="00632D0C">
              <w:rPr>
                <w:rFonts w:ascii="Times New Roman" w:eastAsia="Times New Roman" w:hAnsi="Times New Roman" w:cs="Times New Roman"/>
                <w:sz w:val="18"/>
              </w:rPr>
              <w:t xml:space="preserve"> </w:t>
            </w:r>
            <w:r w:rsidRPr="00632D0C">
              <w:rPr>
                <w:rFonts w:ascii="Times New Roman" w:eastAsia="Times New Roman" w:hAnsi="Times New Roman" w:cs="Times New Roman"/>
                <w:sz w:val="18"/>
              </w:rPr>
              <w:t>good performances</w:t>
            </w:r>
            <w:r w:rsidR="00EA123B">
              <w:rPr>
                <w:rFonts w:ascii="Times New Roman" w:eastAsia="Times New Roman" w:hAnsi="Times New Roman" w:cs="Times New Roman"/>
                <w:sz w:val="18"/>
              </w:rPr>
              <w:t>.</w:t>
            </w:r>
          </w:p>
          <w:p w:rsidR="00EA123B" w:rsidRDefault="00EA123B" w:rsidP="006D6504">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GEOV1 products achieve</w:t>
            </w:r>
            <w:r w:rsidR="00D3508C">
              <w:rPr>
                <w:rFonts w:ascii="Times New Roman" w:eastAsia="Times New Roman" w:hAnsi="Times New Roman" w:cs="Times New Roman"/>
                <w:sz w:val="18"/>
              </w:rPr>
              <w:t>d</w:t>
            </w:r>
            <w:r>
              <w:rPr>
                <w:rFonts w:ascii="Times New Roman" w:eastAsia="Times New Roman" w:hAnsi="Times New Roman" w:cs="Times New Roman"/>
                <w:sz w:val="18"/>
              </w:rPr>
              <w:t xml:space="preserve"> higher quality in comparison with the reference products used in the study. </w:t>
            </w:r>
          </w:p>
          <w:p w:rsidR="00573F3D" w:rsidRPr="0037749B" w:rsidRDefault="00D3508C" w:rsidP="006D6504">
            <w:pPr>
              <w:pStyle w:val="ListParagraph"/>
              <w:numPr>
                <w:ilvl w:val="0"/>
                <w:numId w:val="3"/>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GEOV1 p</w:t>
            </w:r>
            <w:r w:rsidR="00221E85">
              <w:rPr>
                <w:rFonts w:ascii="Times New Roman" w:eastAsia="Times New Roman" w:hAnsi="Times New Roman" w:cs="Times New Roman"/>
                <w:sz w:val="18"/>
              </w:rPr>
              <w:t>roducts ha</w:t>
            </w:r>
            <w:r w:rsidR="00344CFE">
              <w:rPr>
                <w:rFonts w:ascii="Times New Roman" w:eastAsia="Times New Roman" w:hAnsi="Times New Roman" w:cs="Times New Roman"/>
                <w:sz w:val="18"/>
              </w:rPr>
              <w:t>d</w:t>
            </w:r>
            <w:r w:rsidR="00EA123B">
              <w:rPr>
                <w:rFonts w:ascii="Times New Roman" w:eastAsia="Times New Roman" w:hAnsi="Times New Roman" w:cs="Times New Roman"/>
                <w:sz w:val="18"/>
              </w:rPr>
              <w:t xml:space="preserve"> a l</w:t>
            </w:r>
            <w:r w:rsidR="00573F3D" w:rsidRPr="00632D0C">
              <w:rPr>
                <w:rFonts w:ascii="Times New Roman" w:eastAsia="Times New Roman" w:hAnsi="Times New Roman" w:cs="Times New Roman"/>
                <w:sz w:val="18"/>
              </w:rPr>
              <w:t>ack</w:t>
            </w:r>
            <w:r w:rsidR="0037749B">
              <w:rPr>
                <w:rFonts w:ascii="Times New Roman" w:eastAsia="Times New Roman" w:hAnsi="Times New Roman" w:cs="Times New Roman"/>
                <w:sz w:val="18"/>
              </w:rPr>
              <w:t xml:space="preserve"> of </w:t>
            </w:r>
            <w:proofErr w:type="spellStart"/>
            <w:r w:rsidR="0037749B">
              <w:rPr>
                <w:rFonts w:ascii="Times New Roman" w:eastAsia="Times New Roman" w:hAnsi="Times New Roman" w:cs="Times New Roman"/>
                <w:sz w:val="18"/>
              </w:rPr>
              <w:t>spatio</w:t>
            </w:r>
            <w:proofErr w:type="spellEnd"/>
            <w:r w:rsidR="0037749B">
              <w:rPr>
                <w:rFonts w:ascii="Times New Roman" w:eastAsia="Times New Roman" w:hAnsi="Times New Roman" w:cs="Times New Roman"/>
                <w:sz w:val="18"/>
              </w:rPr>
              <w:t xml:space="preserve">-temporal continuity (e.g. </w:t>
            </w:r>
            <w:r w:rsidR="00573F3D" w:rsidRPr="00632D0C">
              <w:rPr>
                <w:rFonts w:ascii="Times New Roman" w:eastAsia="Times New Roman" w:hAnsi="Times New Roman" w:cs="Times New Roman"/>
                <w:sz w:val="18"/>
              </w:rPr>
              <w:t>over high latitudes and equatorial regions</w:t>
            </w:r>
            <w:r w:rsidR="0037749B">
              <w:rPr>
                <w:rFonts w:ascii="Times New Roman" w:eastAsia="Times New Roman" w:hAnsi="Times New Roman" w:cs="Times New Roman"/>
                <w:sz w:val="18"/>
              </w:rPr>
              <w:t>)</w:t>
            </w:r>
            <w:r w:rsidR="00573F3D" w:rsidRPr="00632D0C">
              <w:rPr>
                <w:rFonts w:ascii="Times New Roman" w:eastAsia="Times New Roman" w:hAnsi="Times New Roman" w:cs="Times New Roman"/>
                <w:sz w:val="18"/>
              </w:rPr>
              <w:t>.</w:t>
            </w:r>
          </w:p>
        </w:tc>
        <w:tc>
          <w:tcPr>
            <w:tcW w:w="1984" w:type="dxa"/>
            <w:tcBorders>
              <w:top w:val="nil"/>
              <w:left w:val="nil"/>
              <w:bottom w:val="single" w:sz="4" w:space="0" w:color="auto"/>
              <w:right w:val="single" w:sz="4" w:space="0" w:color="auto"/>
            </w:tcBorders>
            <w:shd w:val="clear" w:color="auto" w:fill="auto"/>
            <w:noWrap/>
            <w:vAlign w:val="center"/>
          </w:tcPr>
          <w:p w:rsidR="00573F3D" w:rsidRPr="00217D48" w:rsidRDefault="00573F3D" w:rsidP="006103C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{"citationItems":[{"id":"ITEM-1","itemData":{"DOI":"10.1016/j.rse.2013.02.030","ISBN":"0034-4257","ISSN":"00344257","abstract":"This paper describes the scientific validation of the first version of global biophysical products (i.e., leaf area index, fraction of absorbed photosynthetically active radiation and fraction of vegetation cover), namely GEOV1, developed in the framework of the geoland-2/BioPar core mapping service at 1. km spatial resolution and 10-days temporal frequency. The strategy follows the recommendations of the CEOS/WGCV Land Product Validation for LAI global products validation. Several criteria of performance were evaluated, including continuity, spatial and temporal consistency, dynamic range of retrievals, statistical analysis per biome type, precision and accuracy. The spatial and temporal consistencies of GEOV1 products were assessed by intercomparison with reference global products (MODIS c5, CYCLOPES v3.1, GLOBCARBON v2 LAI, and JRC SeaWIFS FAPAR) over a global network of homogeneous sites (BELMANIP-2) during the 2003-2005 period. The accuracy of GEOV1 was evaluated against a number of available ground reference maps. Our results show that GEOV1 products present reliable spatial distribution, smooth temporal profiles which are stable from year to year, good dynamic range with reliable magnitude for bare areas and dense forests, and optimal performances with ground-based maps. GEOV1 outperforms the quality of reference global products in most of the examined criteria, and constitutes a step forward in the development of consistent and accurate global biophysical variables within the context of the land monitoring core service of GMES. © 2013 Elsevier Inc.","author":[{"dropping-particle":"","family":"Camacho","given":"Fernando","non-dropping-particle":"","parse-names":false,"suffix":""},{"dropping-particle":"","family":"Cernicharo","given":"Jesús","non-dropping-particle":"","parse-names":false,"suffix":""},{"dropping-particle":"","family":"Lacaze","given":"Roselyne","non-dropping-particle":"","parse-names":false,"suffix":""},{"dropping-particle":"","family":"Baret","given":"Frédéric","non-dropping-particle":"","parse-names":false,"suffix":""},{"dropping-particle":"","family":"Weiss","given":"Marie","non-dropping-particle":"","parse-names":false,"suffix":""}],"container-title":"Remote Sensing of Environment","id":"ITEM-1","issued":{"date-parts":[["2013"]]},"page":"310-329","publisher":"Elsevier Inc.","title":"GEOV1: LAI, FAPAR essential climate variables and FCOVER global time series capitalizing over existing products. Part 2: Validation and intercomparison with reference products","type":"article-journal","volume":"137"},"uris":["http://www.mendeley.com/documents/?uuid=7ab6bae9-71b8-45d1-92e3-5b504fc9def7"]}],"mendeley":{"formattedCitation":"(Camacho, Cernicharo, Lacaze, Baret, &amp; Weiss, 2013)","plainTextFormattedCitation":"(Camacho, Cernicharo, Lacaze, Baret, &amp; Weiss, 2013)","previouslyFormattedCitation":"(Camacho, Cernicharo, Lacaze, Baret, &amp; Weiss, 2013)"},"properties":{"noteIndex":0},"schema":"https://github.com/citation-style-language/schema/raw/master/csl-citation.json"}</w:instrText>
            </w:r>
            <w:r>
              <w:rPr>
                <w:rFonts w:ascii="Times New Roman" w:eastAsia="Times New Roman" w:hAnsi="Times New Roman" w:cs="Times New Roman"/>
                <w:sz w:val="18"/>
              </w:rPr>
              <w:fldChar w:fldCharType="separate"/>
            </w:r>
            <w:r w:rsidRPr="00866DD2">
              <w:rPr>
                <w:rFonts w:ascii="Times New Roman" w:eastAsia="Times New Roman" w:hAnsi="Times New Roman" w:cs="Times New Roman"/>
                <w:noProof/>
                <w:sz w:val="18"/>
              </w:rPr>
              <w:t xml:space="preserve">Camacho, Cernicharo, Lacaze, Baret, &amp; Weiss, </w:t>
            </w:r>
            <w:r w:rsidRPr="009F1139">
              <w:rPr>
                <w:rFonts w:ascii="Times New Roman" w:eastAsia="Times New Roman" w:hAnsi="Times New Roman" w:cs="Times New Roman"/>
                <w:noProof/>
                <w:sz w:val="18"/>
              </w:rPr>
              <w:t>(</w:t>
            </w:r>
            <w:r w:rsidRPr="00866DD2">
              <w:rPr>
                <w:rFonts w:ascii="Times New Roman" w:eastAsia="Times New Roman" w:hAnsi="Times New Roman" w:cs="Times New Roman"/>
                <w:noProof/>
                <w:sz w:val="18"/>
              </w:rPr>
              <w:t>2013)</w:t>
            </w:r>
            <w:r>
              <w:rPr>
                <w:rFonts w:ascii="Times New Roman" w:eastAsia="Times New Roman" w:hAnsi="Times New Roman" w:cs="Times New Roman"/>
                <w:sz w:val="18"/>
              </w:rPr>
              <w:fldChar w:fldCharType="end"/>
            </w:r>
          </w:p>
        </w:tc>
      </w:tr>
      <w:tr w:rsidR="00A77585" w:rsidRPr="009F1139" w:rsidTr="006103C6">
        <w:trPr>
          <w:cantSplit/>
          <w:trHeight w:val="699"/>
        </w:trPr>
        <w:tc>
          <w:tcPr>
            <w:tcW w:w="1433" w:type="dxa"/>
            <w:tcBorders>
              <w:top w:val="nil"/>
              <w:left w:val="single" w:sz="4" w:space="0" w:color="auto"/>
              <w:bottom w:val="single" w:sz="4" w:space="0" w:color="auto"/>
            </w:tcBorders>
            <w:shd w:val="clear" w:color="auto" w:fill="D9D9D9" w:themeFill="background1" w:themeFillShade="D9"/>
            <w:noWrap/>
            <w:vAlign w:val="center"/>
            <w:hideMark/>
          </w:tcPr>
          <w:p w:rsidR="00A77585" w:rsidRPr="00217D48" w:rsidRDefault="00A77585" w:rsidP="006103C6">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t>FCOVER</w:t>
            </w:r>
          </w:p>
        </w:tc>
        <w:tc>
          <w:tcPr>
            <w:tcW w:w="4252" w:type="dxa"/>
            <w:tcBorders>
              <w:top w:val="nil"/>
              <w:left w:val="nil"/>
              <w:bottom w:val="single" w:sz="4" w:space="0" w:color="auto"/>
              <w:right w:val="single" w:sz="4" w:space="0" w:color="auto"/>
            </w:tcBorders>
            <w:shd w:val="clear" w:color="auto" w:fill="D9D9D9" w:themeFill="background1" w:themeFillShade="D9"/>
            <w:vAlign w:val="center"/>
            <w:hideMark/>
          </w:tcPr>
          <w:p w:rsidR="00A77585" w:rsidRPr="00A77585" w:rsidRDefault="00A77585" w:rsidP="00A77585">
            <w:pPr>
              <w:spacing w:after="0" w:line="240" w:lineRule="auto"/>
              <w:jc w:val="center"/>
              <w:rPr>
                <w:rFonts w:ascii="Times New Roman" w:eastAsia="Times New Roman" w:hAnsi="Times New Roman" w:cs="Times New Roman"/>
                <w:b/>
                <w:sz w:val="18"/>
              </w:rPr>
            </w:pPr>
            <w:r w:rsidRPr="00A77585">
              <w:rPr>
                <w:rFonts w:ascii="Times New Roman" w:eastAsia="Times New Roman" w:hAnsi="Times New Roman" w:cs="Times New Roman"/>
                <w:b/>
                <w:sz w:val="18"/>
              </w:rPr>
              <w:t xml:space="preserve">GEOV1 </w:t>
            </w:r>
            <w:r w:rsidR="001637FC">
              <w:rPr>
                <w:rFonts w:ascii="Times New Roman" w:eastAsia="Times New Roman" w:hAnsi="Times New Roman" w:cs="Times New Roman"/>
                <w:b/>
                <w:sz w:val="18"/>
              </w:rPr>
              <w:t xml:space="preserve">Fractional Vegetation Cover, </w:t>
            </w:r>
            <w:r w:rsidRPr="00A77585">
              <w:rPr>
                <w:rFonts w:ascii="Times New Roman" w:eastAsia="Times New Roman" w:hAnsi="Times New Roman" w:cs="Times New Roman"/>
                <w:b/>
                <w:sz w:val="18"/>
              </w:rPr>
              <w:t>FVC (SPOT-VGT)</w:t>
            </w:r>
          </w:p>
        </w:tc>
        <w:tc>
          <w:tcPr>
            <w:tcW w:w="5812" w:type="dxa"/>
            <w:tcBorders>
              <w:top w:val="nil"/>
              <w:left w:val="nil"/>
              <w:bottom w:val="single" w:sz="4" w:space="0" w:color="auto"/>
              <w:right w:val="single" w:sz="4" w:space="0" w:color="auto"/>
            </w:tcBorders>
            <w:shd w:val="clear" w:color="auto" w:fill="D9D9D9" w:themeFill="background1" w:themeFillShade="D9"/>
            <w:vAlign w:val="center"/>
            <w:hideMark/>
          </w:tcPr>
          <w:p w:rsidR="00A77585" w:rsidRPr="001637FC" w:rsidRDefault="001637FC" w:rsidP="001637FC">
            <w:pPr>
              <w:pStyle w:val="ListParagraph"/>
              <w:numPr>
                <w:ilvl w:val="0"/>
                <w:numId w:val="15"/>
              </w:numPr>
              <w:spacing w:after="0" w:line="240" w:lineRule="auto"/>
              <w:ind w:left="1152" w:hanging="450"/>
              <w:rPr>
                <w:rFonts w:ascii="Times New Roman" w:eastAsia="Times New Roman" w:hAnsi="Times New Roman" w:cs="Times New Roman"/>
                <w:sz w:val="18"/>
              </w:rPr>
            </w:pPr>
            <w:r>
              <w:rPr>
                <w:rFonts w:ascii="Times New Roman" w:eastAsia="Times New Roman" w:hAnsi="Times New Roman" w:cs="Times New Roman"/>
                <w:sz w:val="18"/>
              </w:rPr>
              <w:t>FVC</w:t>
            </w:r>
            <w:r w:rsidR="00A77585">
              <w:rPr>
                <w:rFonts w:ascii="Times New Roman" w:eastAsia="Times New Roman" w:hAnsi="Times New Roman" w:cs="Times New Roman"/>
                <w:sz w:val="18"/>
              </w:rPr>
              <w:t xml:space="preserve"> </w:t>
            </w:r>
            <w:r>
              <w:rPr>
                <w:rFonts w:ascii="Times New Roman" w:eastAsia="Times New Roman" w:hAnsi="Times New Roman" w:cs="Times New Roman"/>
                <w:sz w:val="18"/>
              </w:rPr>
              <w:t>was overestimated in croplands</w:t>
            </w:r>
            <w:r w:rsidR="00A77585">
              <w:rPr>
                <w:rFonts w:ascii="Times New Roman" w:eastAsia="Times New Roman" w:hAnsi="Times New Roman" w:cs="Times New Roman"/>
                <w:sz w:val="18"/>
              </w:rPr>
              <w:t xml:space="preserve"> (0.20). </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rsidR="00A77585" w:rsidRPr="00217D48" w:rsidRDefault="00A77585" w:rsidP="006103C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{"citationItems":[{"id":"ITEM-1","itemData":{"DOI":"10.1109/JSTARS.2014.2342257","ISSN":"21511535","abstract":"Fractional vegetation cover (FVC) is one of the most important criteria for surface vegetation status. This criterion corresponds to the complement of gap fraction unity at the nadir direction and accounts for the amount of horizontal vegetation distribution. This study aims to directly validate the accuracy of FVC products over crops at coarse resolutions (1 km) by employing field measurements and high-resolution data. The study area was within an oasis in the Heihe Basin, Northwest China, where the Heihe Watershed Allied Telemetry Experimental Research was conducted. Reference FVC was generated through upscaling, which fitted field-measured data with spaceborne and airborne data to retrieve high-resolution FVC, and then high-resolution FVC was aggregated with a coarse scale. The fraction of green vegetation cover product (i.e., GEOV1 FVC) of SPOT/VEGETATION data taken during the GEOLAND2 project was compared with reference data. GEOV1 FVC was generally overestimated for crops in the study area compared with our estimates. Reference FVC exhibits a systematic uncertainty, and GEOV1 can overestimate FVC by up to 0.20. This finding indicates the necessity of reanalyzing and improving GEOV1 FVC over croplands.","author":[{"dropping-particle":"","family":"Mu","given":"Xihan","non-dropping-particle":"","parse-names":false,"suffix":""},{"dropping-particle":"","family":"Huang","given":"Shuai","non-dropping-particle":"","parse-names":false,"suffix":""},{"dropping-particle":"","family":"Ren","given":"Huazhong","non-dropping-particle":"","parse-names":false,"suffix":""},{"dropping-particle":"","family":"Yan","given":"Guangjian","non-dropping-particle":"","parse-names":false,"suffix":""},{"dropping-particle":"","family":"Song","given":"Wanjuan","non-dropping-particle":"","parse-names":false,"suffix":""},{"dropping-particle":"","family":"Ruan","given":"Gaiyan","non-dropping-particle":"","parse-names":false,"suffix":""}],"container-title":"IEEE Journal of Selected Topics in Applied Earth Observations and Remote Sensing","id":"ITEM-1","issue":"2","issued":{"date-parts":[["2015"]]},"page":"439-446","publisher":"IEEE","title":"Validating GEOV1 fractional vegetation cover derived from coarse-resolution remote sensing images over croplands","type":"article-journal","volume":"8"},"uris":["http://www.mendeley.com/documents/?uuid=7908dceb-61b7-4bca-a7f4-6ccbcfc948f0"]}],"mendeley":{"formattedCitation":"(Mu et al., 2015)","plainTextFormattedCitation":"(Mu et al., 2015)","previouslyFormattedCitation":"(Mu et al., 2015)"},"properties":{"noteIndex":0},"schema":"https://github.com/citation-style-language/schema/raw/master/csl-citation.json"}</w:instrText>
            </w:r>
            <w:r>
              <w:rPr>
                <w:rFonts w:ascii="Times New Roman" w:eastAsia="Times New Roman" w:hAnsi="Times New Roman" w:cs="Times New Roman"/>
                <w:sz w:val="18"/>
              </w:rPr>
              <w:fldChar w:fldCharType="separate"/>
            </w:r>
            <w:r w:rsidRPr="00866DD2">
              <w:rPr>
                <w:rFonts w:ascii="Times New Roman" w:eastAsia="Times New Roman" w:hAnsi="Times New Roman" w:cs="Times New Roman"/>
                <w:noProof/>
                <w:sz w:val="18"/>
              </w:rPr>
              <w:t xml:space="preserve">Mu et al., </w:t>
            </w:r>
            <w:r w:rsidRPr="009F1139">
              <w:rPr>
                <w:rFonts w:ascii="Times New Roman" w:eastAsia="Times New Roman" w:hAnsi="Times New Roman" w:cs="Times New Roman"/>
                <w:noProof/>
                <w:sz w:val="18"/>
              </w:rPr>
              <w:t>(</w:t>
            </w:r>
            <w:r w:rsidRPr="00866DD2">
              <w:rPr>
                <w:rFonts w:ascii="Times New Roman" w:eastAsia="Times New Roman" w:hAnsi="Times New Roman" w:cs="Times New Roman"/>
                <w:noProof/>
                <w:sz w:val="18"/>
              </w:rPr>
              <w:t>2015)</w:t>
            </w:r>
            <w:r>
              <w:rPr>
                <w:rFonts w:ascii="Times New Roman" w:eastAsia="Times New Roman" w:hAnsi="Times New Roman" w:cs="Times New Roman"/>
                <w:sz w:val="18"/>
              </w:rPr>
              <w:fldChar w:fldCharType="end"/>
            </w:r>
          </w:p>
        </w:tc>
      </w:tr>
      <w:tr w:rsidR="00573F3D" w:rsidRPr="009F1139" w:rsidTr="00A77585">
        <w:trPr>
          <w:cantSplit/>
          <w:trHeight w:val="828"/>
        </w:trPr>
        <w:tc>
          <w:tcPr>
            <w:tcW w:w="1433" w:type="dxa"/>
            <w:tcBorders>
              <w:top w:val="nil"/>
              <w:left w:val="single" w:sz="4" w:space="0" w:color="auto"/>
              <w:bottom w:val="single" w:sz="4" w:space="0" w:color="000000"/>
            </w:tcBorders>
            <w:shd w:val="clear" w:color="auto" w:fill="auto"/>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LAI</w:t>
            </w:r>
          </w:p>
        </w:tc>
        <w:tc>
          <w:tcPr>
            <w:tcW w:w="4252" w:type="dxa"/>
            <w:tcBorders>
              <w:top w:val="nil"/>
              <w:left w:val="nil"/>
              <w:bottom w:val="single" w:sz="4" w:space="0" w:color="auto"/>
              <w:right w:val="single" w:sz="4" w:space="0" w:color="auto"/>
            </w:tcBorders>
            <w:shd w:val="clear" w:color="auto" w:fill="auto"/>
            <w:vAlign w:val="center"/>
            <w:hideMark/>
          </w:tcPr>
          <w:p w:rsidR="00573F3D" w:rsidRPr="00217D48" w:rsidRDefault="00573F3D" w:rsidP="00E822FA">
            <w:pPr>
              <w:spacing w:after="0" w:line="240" w:lineRule="auto"/>
              <w:jc w:val="both"/>
              <w:rPr>
                <w:rFonts w:ascii="Times New Roman" w:eastAsia="Times New Roman" w:hAnsi="Times New Roman" w:cs="Times New Roman"/>
                <w:sz w:val="18"/>
              </w:rPr>
            </w:pPr>
            <w:r w:rsidRPr="00221E85">
              <w:rPr>
                <w:rFonts w:ascii="Times New Roman" w:eastAsia="Times New Roman" w:hAnsi="Times New Roman" w:cs="Times New Roman"/>
                <w:i/>
                <w:sz w:val="18"/>
              </w:rPr>
              <w:t>ECOCLIMAP</w:t>
            </w:r>
            <w:r w:rsidR="00221E85">
              <w:rPr>
                <w:rFonts w:ascii="Times New Roman" w:eastAsia="Times New Roman" w:hAnsi="Times New Roman" w:cs="Times New Roman"/>
                <w:i/>
                <w:sz w:val="18"/>
              </w:rPr>
              <w:t xml:space="preserve"> (NOAA/AVHRR)</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
                <w:bCs/>
                <w:sz w:val="18"/>
              </w:rPr>
              <w:t>GLOBCARBON (SPOT-VEG</w:t>
            </w:r>
            <w:r w:rsidRPr="00217D48">
              <w:rPr>
                <w:rFonts w:ascii="Times New Roman" w:eastAsia="Times New Roman" w:hAnsi="Times New Roman" w:cs="Times New Roman"/>
                <w:sz w:val="18"/>
              </w:rPr>
              <w:t xml:space="preserve">), </w:t>
            </w:r>
            <w:r w:rsidRPr="00217D48">
              <w:rPr>
                <w:rFonts w:ascii="Times New Roman" w:eastAsia="Times New Roman" w:hAnsi="Times New Roman" w:cs="Times New Roman"/>
                <w:b/>
                <w:bCs/>
                <w:sz w:val="18"/>
              </w:rPr>
              <w:t>CYCLOPES (SPOT-VEG</w:t>
            </w:r>
            <w:r w:rsidRPr="00217D48">
              <w:rPr>
                <w:rFonts w:ascii="Times New Roman" w:eastAsia="Times New Roman" w:hAnsi="Times New Roman" w:cs="Times New Roman"/>
                <w:sz w:val="18"/>
              </w:rPr>
              <w:t xml:space="preserve">), and </w:t>
            </w:r>
            <w:r w:rsidRPr="00217D48">
              <w:rPr>
                <w:rFonts w:ascii="Times New Roman" w:eastAsia="Times New Roman" w:hAnsi="Times New Roman" w:cs="Times New Roman"/>
                <w:bCs/>
                <w:i/>
                <w:sz w:val="18"/>
              </w:rPr>
              <w:t>MODIS</w:t>
            </w:r>
            <w:r w:rsidRPr="00217D48">
              <w:rPr>
                <w:rFonts w:ascii="Times New Roman" w:eastAsia="Times New Roman" w:hAnsi="Times New Roman" w:cs="Times New Roman"/>
                <w:sz w:val="18"/>
              </w:rPr>
              <w:t>.</w:t>
            </w:r>
          </w:p>
        </w:tc>
        <w:tc>
          <w:tcPr>
            <w:tcW w:w="5812" w:type="dxa"/>
            <w:tcBorders>
              <w:top w:val="nil"/>
              <w:left w:val="nil"/>
              <w:bottom w:val="single" w:sz="4" w:space="0" w:color="auto"/>
              <w:right w:val="single" w:sz="4" w:space="0" w:color="auto"/>
            </w:tcBorders>
            <w:shd w:val="clear" w:color="auto" w:fill="auto"/>
            <w:vAlign w:val="center"/>
            <w:hideMark/>
          </w:tcPr>
          <w:p w:rsidR="00CC00EF" w:rsidRDefault="00221E85" w:rsidP="00CC00EF">
            <w:pPr>
              <w:pStyle w:val="ListParagraph"/>
              <w:numPr>
                <w:ilvl w:val="0"/>
                <w:numId w:val="6"/>
              </w:numPr>
              <w:spacing w:after="0" w:line="240" w:lineRule="auto"/>
              <w:ind w:left="1062"/>
              <w:rPr>
                <w:rFonts w:ascii="Times New Roman" w:eastAsia="Times New Roman" w:hAnsi="Times New Roman" w:cs="Times New Roman"/>
                <w:sz w:val="18"/>
              </w:rPr>
            </w:pPr>
            <w:r>
              <w:rPr>
                <w:rFonts w:ascii="Times New Roman" w:eastAsia="Times New Roman" w:hAnsi="Times New Roman" w:cs="Times New Roman"/>
                <w:sz w:val="18"/>
              </w:rPr>
              <w:t>R</w:t>
            </w:r>
            <w:r w:rsidR="00CC00EF">
              <w:rPr>
                <w:rFonts w:ascii="Times New Roman" w:eastAsia="Times New Roman" w:hAnsi="Times New Roman" w:cs="Times New Roman"/>
                <w:sz w:val="18"/>
              </w:rPr>
              <w:t xml:space="preserve">esults </w:t>
            </w:r>
            <w:r w:rsidR="00344CFE">
              <w:rPr>
                <w:rFonts w:ascii="Times New Roman" w:eastAsia="Times New Roman" w:hAnsi="Times New Roman" w:cs="Times New Roman"/>
                <w:sz w:val="18"/>
              </w:rPr>
              <w:t>wer</w:t>
            </w:r>
            <w:r w:rsidR="00CC00EF">
              <w:rPr>
                <w:rFonts w:ascii="Times New Roman" w:eastAsia="Times New Roman" w:hAnsi="Times New Roman" w:cs="Times New Roman"/>
                <w:sz w:val="18"/>
              </w:rPr>
              <w:t>e more similar over croplands and grasslands than forests.</w:t>
            </w:r>
          </w:p>
          <w:p w:rsidR="00573F3D" w:rsidRPr="00221E85" w:rsidRDefault="00221E85" w:rsidP="00344CFE">
            <w:pPr>
              <w:pStyle w:val="ListParagraph"/>
              <w:numPr>
                <w:ilvl w:val="0"/>
                <w:numId w:val="6"/>
              </w:numPr>
              <w:spacing w:after="0" w:line="240" w:lineRule="auto"/>
              <w:ind w:left="1062"/>
              <w:rPr>
                <w:rFonts w:ascii="Times New Roman" w:eastAsia="Times New Roman" w:hAnsi="Times New Roman" w:cs="Times New Roman"/>
                <w:sz w:val="18"/>
              </w:rPr>
            </w:pPr>
            <w:r>
              <w:rPr>
                <w:rFonts w:ascii="Times New Roman" w:eastAsia="Times New Roman" w:hAnsi="Times New Roman" w:cs="Times New Roman"/>
                <w:sz w:val="18"/>
              </w:rPr>
              <w:t xml:space="preserve">ECOCLIMAP </w:t>
            </w:r>
            <w:r w:rsidR="00344CFE">
              <w:rPr>
                <w:rFonts w:ascii="Times New Roman" w:eastAsia="Times New Roman" w:hAnsi="Times New Roman" w:cs="Times New Roman"/>
                <w:sz w:val="18"/>
              </w:rPr>
              <w:t>was</w:t>
            </w:r>
            <w:r>
              <w:rPr>
                <w:rFonts w:ascii="Times New Roman" w:eastAsia="Times New Roman" w:hAnsi="Times New Roman" w:cs="Times New Roman"/>
                <w:sz w:val="18"/>
              </w:rPr>
              <w:t xml:space="preserve"> the only product with no spatiotemporal gaps.</w:t>
            </w:r>
          </w:p>
        </w:tc>
        <w:tc>
          <w:tcPr>
            <w:tcW w:w="1984" w:type="dxa"/>
            <w:tcBorders>
              <w:top w:val="nil"/>
              <w:left w:val="nil"/>
              <w:bottom w:val="single" w:sz="4" w:space="0" w:color="auto"/>
              <w:right w:val="single" w:sz="4" w:space="0" w:color="auto"/>
            </w:tcBorders>
            <w:shd w:val="clear" w:color="auto" w:fill="auto"/>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{"citationItems":[{"id":"ITEM-1","itemData":{"DOI":"10.1029/2007JG000635","ISBN":"0148-0227","ISSN":"01480227","abstract":"This study investigates the performances of four major global Leaf\\nArea Index (LAI) products at 1/11.2 degrees spatial sampling and\\na monthly time step: ECOCLIMAP climatology, GLOBCARBON (from SPOT/VEGETATION\\nand ATSR/AATSR), CYCLOPES (from SPOT/VEGETATION) and MODIS Collection\\n4 (main algorithm, from MODIS/TERRA). These products were intercompared\\nduring the 2001 - 2003 period over the BELMANIP network of sites.\\nTheir uncertainty was assessed by comparison with 56 LAI reference\\nmaps derived from ground measurements. CYCLOPES and MODIS depict\\nrealistic spatial variations at continental scale, while ECOCLIMAP\\npoorly captures surface spatial heterogeneity, and GLOBCARBON tends\\nto display erratic variations. ECOCLIMAP and GLOBCARBON show the\\nhighest frequency of successful retrievals while MODIS and CYCLOPES\\nretrievals are frequently missing in winter over northern latitudes\\nand over the equatorial belt. CYCLOPES and MODIS describe consistent\\ntemporal profiles over most vegetation types, while ECOCLIMAP does\\nnot show any interannual variations, and GLOBCARBON can exhibit temporal\\ninstability during the growing season over forests. The CYCLOPES,\\nMODIS, and GLOBCARBON LAI values agree better over croplands and\\ngrasslands than over forests, where differences in vegetation structure\\nrepresentation between algorithms and surface reflectance uncertainties\\nlead to substantial discrepancies between products. CYCLOPES does\\nnot reach high enough LAI values to properly characterize forests.\\nIn contrast, the other products have sufficient dynamic range of\\nLAI to describe the global variability of LAI. Overall, CYCLOPES\\nis the most similar product to the LAI reference maps. However, more\\naccurate ground measurements and better representation of the global\\nand seasonal variability of vegetation are required to refine this\\nresult.","author":[{"dropping-particle":"","family":"Garrigues","given":"Sebastien","non-dropping-particle":"","parse-names":false,"suffix":""},{"dropping-particle":"","family":"Lacaze","given":"R.","non-dropping-particle":"","parse-names":false,"suffix":""},{"dropping-particle":"","family":"Baret","given":"F.","non-dropping-particle":"","parse-names":false,"suffix":""},{"dropping-particle":"","family":"Morisette","given":"J. T.","non-dropping-particle":"","parse-names":false,"suffix":""},{"dropping-particle":"","family":"Weiss","given":"M.","non-dropping-particle":"","parse-names":false,"suffix":""},{"dropping-particle":"","family":"Nickeson","given":"J. E.","non-dropping-particle":"","parse-names":false,"suffix":""},{"dropping-particle":"","family":"Fernandes","given":"R.","non-dropping-particle":"","parse-names":false,"suffix":""},{"dropping-particle":"","family":"Plummer","given":"S.","non-dropping-particle":"","parse-names":false,"suffix":""},{"dropping-particle":"V.","family":"Shabanov","given":"N.","non-dropping-particle":"","parse-names":false,"suffix":""},{"dropping-particle":"","family":"Myneni","given":"R. B.","non-dropping-particle":"","parse-names":false,"suffix":""},{"dropping-particle":"","family":"Knyazikhin","given":"Y.","non-dropping-particle":"","parse-names":false,"suffix":""},{"dropping-particle":"","family":"Yang","given":"W.","non-dropping-particle":"","parse-names":false,"suffix":""}],"container-title":"Journal of Geophysical Research: Biogeosciences","id":"ITEM-1","issue":"2","issued":{"date-parts":[["2008"]]},"title":"Validation and intercomparison of global Leaf Area Index products derived from remote sensing data","type":"article-journal","volume":"113"},"uris":["http://www.mendeley.com/documents/?uuid=721a9abd-5371-4e68-8f0f-c69b46287deb"]}],"mendeley":{"formattedCitation":"(Garrigues et al., 2008)","plainTextFormattedCitation":"(Garrigues et al., 2008)","previouslyFormattedCitation":"(Garrigues et al., 2008)"},"properties":{"noteIndex":0},"schema":"https://github.com/citation-style-language/schema/raw/master/csl-citation.json"}</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Garrigues et al.</w:t>
            </w:r>
            <w:r w:rsidRPr="009F1139">
              <w:rPr>
                <w:rFonts w:ascii="Times New Roman" w:eastAsia="Times New Roman" w:hAnsi="Times New Roman" w:cs="Times New Roman"/>
                <w:noProof/>
                <w:sz w:val="18"/>
              </w:rPr>
              <w:t xml:space="preserve"> (2008)</w:t>
            </w:r>
            <w:r>
              <w:rPr>
                <w:rFonts w:ascii="Times New Roman" w:eastAsia="Times New Roman" w:hAnsi="Times New Roman" w:cs="Times New Roman"/>
                <w:sz w:val="18"/>
              </w:rPr>
              <w:fldChar w:fldCharType="end"/>
            </w:r>
          </w:p>
        </w:tc>
      </w:tr>
      <w:tr w:rsidR="00573F3D" w:rsidRPr="009F1139" w:rsidTr="00A77585">
        <w:trPr>
          <w:cantSplit/>
          <w:trHeight w:val="854"/>
        </w:trPr>
        <w:tc>
          <w:tcPr>
            <w:tcW w:w="1433" w:type="dxa"/>
            <w:tcBorders>
              <w:top w:val="nil"/>
              <w:left w:val="single" w:sz="4" w:space="0" w:color="auto"/>
              <w:bottom w:val="single" w:sz="4" w:space="0" w:color="auto"/>
            </w:tcBorders>
            <w:shd w:val="clear" w:color="auto" w:fill="D9D9D9" w:themeFill="background1" w:themeFillShade="D9"/>
            <w:noWrap/>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t>NDVI</w:t>
            </w:r>
          </w:p>
        </w:tc>
        <w:tc>
          <w:tcPr>
            <w:tcW w:w="4252" w:type="dxa"/>
            <w:tcBorders>
              <w:top w:val="nil"/>
              <w:left w:val="nil"/>
              <w:bottom w:val="single" w:sz="4" w:space="0" w:color="auto"/>
              <w:right w:val="single" w:sz="4" w:space="0" w:color="auto"/>
            </w:tcBorders>
            <w:shd w:val="clear" w:color="auto" w:fill="D9D9D9" w:themeFill="background1" w:themeFillShade="D9"/>
            <w:vAlign w:val="center"/>
            <w:hideMark/>
          </w:tcPr>
          <w:p w:rsidR="00573F3D" w:rsidRPr="00217D48" w:rsidRDefault="00573F3D" w:rsidP="00FA042C">
            <w:pPr>
              <w:spacing w:after="0" w:line="240" w:lineRule="auto"/>
              <w:jc w:val="both"/>
              <w:rPr>
                <w:rFonts w:ascii="Times New Roman" w:eastAsia="Times New Roman" w:hAnsi="Times New Roman" w:cs="Times New Roman"/>
                <w:sz w:val="18"/>
              </w:rPr>
            </w:pPr>
            <w:r w:rsidRPr="00221E85">
              <w:rPr>
                <w:rFonts w:ascii="Times New Roman" w:eastAsia="Times New Roman" w:hAnsi="Times New Roman" w:cs="Times New Roman"/>
                <w:i/>
                <w:sz w:val="18"/>
              </w:rPr>
              <w:t>GIMMS (from AVHRR)</w:t>
            </w:r>
            <w:r w:rsidRPr="00217D48">
              <w:rPr>
                <w:rFonts w:ascii="Times New Roman" w:eastAsia="Times New Roman" w:hAnsi="Times New Roman" w:cs="Times New Roman"/>
                <w:sz w:val="18"/>
              </w:rPr>
              <w:t xml:space="preserve"> and </w:t>
            </w:r>
            <w:r w:rsidRPr="00217D48">
              <w:rPr>
                <w:rFonts w:ascii="Times New Roman" w:eastAsia="Times New Roman" w:hAnsi="Times New Roman" w:cs="Times New Roman"/>
                <w:i/>
                <w:sz w:val="18"/>
              </w:rPr>
              <w:t>MODIS NDVI</w:t>
            </w:r>
          </w:p>
        </w:tc>
        <w:tc>
          <w:tcPr>
            <w:tcW w:w="5812" w:type="dxa"/>
            <w:tcBorders>
              <w:top w:val="nil"/>
              <w:left w:val="nil"/>
              <w:bottom w:val="single" w:sz="4" w:space="0" w:color="auto"/>
              <w:right w:val="single" w:sz="4" w:space="0" w:color="auto"/>
            </w:tcBorders>
            <w:shd w:val="clear" w:color="auto" w:fill="D9D9D9" w:themeFill="background1" w:themeFillShade="D9"/>
            <w:vAlign w:val="center"/>
            <w:hideMark/>
          </w:tcPr>
          <w:p w:rsidR="00344CFE" w:rsidRPr="00C61912" w:rsidRDefault="00573F3D" w:rsidP="001637FC">
            <w:pPr>
              <w:pStyle w:val="ListParagraph"/>
              <w:numPr>
                <w:ilvl w:val="0"/>
                <w:numId w:val="16"/>
              </w:numPr>
              <w:spacing w:after="0" w:line="240" w:lineRule="auto"/>
              <w:ind w:left="1062"/>
              <w:rPr>
                <w:rFonts w:ascii="Times New Roman" w:eastAsia="Times New Roman" w:hAnsi="Times New Roman" w:cs="Times New Roman"/>
                <w:sz w:val="18"/>
              </w:rPr>
            </w:pPr>
            <w:r w:rsidRPr="00D3508C">
              <w:rPr>
                <w:rFonts w:ascii="Times New Roman" w:eastAsia="Times New Roman" w:hAnsi="Times New Roman" w:cs="Times New Roman"/>
                <w:sz w:val="18"/>
              </w:rPr>
              <w:t>The trends of GIMMS NDVI</w:t>
            </w:r>
            <w:r w:rsidR="00344CFE">
              <w:rPr>
                <w:rFonts w:ascii="Times New Roman" w:eastAsia="Times New Roman" w:hAnsi="Times New Roman" w:cs="Times New Roman"/>
                <w:sz w:val="18"/>
              </w:rPr>
              <w:t xml:space="preserve"> were</w:t>
            </w:r>
            <w:r w:rsidRPr="00D3508C">
              <w:rPr>
                <w:rFonts w:ascii="Times New Roman" w:eastAsia="Times New Roman" w:hAnsi="Times New Roman" w:cs="Times New Roman"/>
                <w:sz w:val="18"/>
              </w:rPr>
              <w:t xml:space="preserve"> in overall </w:t>
            </w:r>
            <w:r w:rsidR="00344CFE">
              <w:rPr>
                <w:rFonts w:ascii="Times New Roman" w:eastAsia="Times New Roman" w:hAnsi="Times New Roman" w:cs="Times New Roman"/>
                <w:sz w:val="18"/>
              </w:rPr>
              <w:t xml:space="preserve">agreement with MODIS NDVI data except for artic areas in Northern Hemisphere and </w:t>
            </w:r>
            <w:r w:rsidR="00344CFE" w:rsidRPr="00344CFE">
              <w:rPr>
                <w:rFonts w:ascii="Times New Roman" w:eastAsia="Times New Roman" w:hAnsi="Times New Roman" w:cs="Times New Roman"/>
                <w:sz w:val="18"/>
              </w:rPr>
              <w:t>South America and Australia</w:t>
            </w:r>
            <w:r w:rsidR="00C61912">
              <w:rPr>
                <w:rFonts w:ascii="Times New Roman" w:eastAsia="Times New Roman" w:hAnsi="Times New Roman" w:cs="Times New Roman"/>
                <w:sz w:val="18"/>
              </w:rPr>
              <w:t xml:space="preserve"> in Southern Hemisphere</w:t>
            </w:r>
            <w:r w:rsidR="00344CFE" w:rsidRPr="00344CFE">
              <w:rPr>
                <w:rFonts w:ascii="Times New Roman" w:eastAsia="Times New Roman" w:hAnsi="Times New Roman" w:cs="Times New Roman"/>
                <w:sz w:val="18"/>
              </w:rPr>
              <w:t>.</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{"citationItems":[{"id":"ITEM-1","itemData":{"DOI":"10.1016/j.rse.2011.12.015","ISBN":"0034-4257","ISSN":"00344257","PMID":"27236628","abstract":"A new and updated version of the AVHRR (Advanced Very High Resolution Radiometer) based GIMMS (Global Inventory Modelling and Mapping Studies) NDVI (Normalized Difference Vegetation Index) dataset is now available covering 1981 to 2010 (GIMMS3g). Earlier versions of this global coverage 15-day composite dataset have been used for numerous local to global scale vegetation time series studies during recent years. However, several aspects of the AVHRR sensor design and data processing potentially introduce substantial noise into the NDVI dataset if not corrected for. The more recent NDVI dataset from Terra MODIS (Moderate Resolution Imaging Spectroradiometer) is considered an improvement over AVHRR data and with the release of GIMMS3g an overlapping period of 11. years now provides a possibility to perform a robust evaluation of the accuracy of GIMMS3g data and derived trends. In this study the accuracy is evaluated by comparison with the global Terra MODIS NDVI (MOD13C2 Collection 5) data using linear regression trend analysis. The trends of GIMMS NDVI were found to be in overall acceptable agreement with MODIS NDVI data. A significant trend in NDVI (α = 0.05) was found for 11.8% of the MODIS NDVI pixels on a global scale (5.4% characterised by positive trends and 6.3 with negative trends) whereas GIMMS NDVI analysis produced a total of 10.5% significant pixels (4.9% positive, 5.6% negative). However, larger differences were found for the Southern Hemisphere land masses (South America and Australia) and the high northern latitude Arctic regions. From a linear regression analysis the correlation coefficient between the two datasets was found to be highly significant for areas with a distinct phenological cycle. Discrepancies between the GIMMS and MODIS datasets were found in equatorial areas (broadleaved, evergreen forest), Arctic areas (sparse herbaceous or sparse shrub cover) and arid areas (herbaceous cover, closed-open). Linear regression of QA filtered Terra and Aqua MODIS NDVI (2003-2010) revealed similar inconsistencies for Arctic and equatorial areas suggesting that robust long-term NDVI trend estimates in these areas are difficult to obtain from both GIMMS and MODIS data. Additionally, GIMMS based NDVI trend analysis in arid areas of limited photosynthetic activity should be interpreted with caution. The regression coefficient (slope value) (p &lt; 0.01) was found to be close to 1 for most land cover types on a global scale (global land cover class a…","author":[{"dropping-particle":"","family":"Fensholt","given":"Rasmus","non-dropping-particle":"","parse-names":false,"suffix":""},{"dropping-particle":"","family":"Proud","given":"Simon R.","non-dropping-particle":"","parse-names":false,"suffix":""}],"container-title":"Remote Sensing of Environment","id":"ITEM-1","issued":{"date-parts":[["2012"]]},"page":"131-147","title":"Evaluation of Earth Observation based global long term vegetation trends - Comparing GIMMS and MODIS global NDVI time series","type":"article-journal","volume":"119"},"uris":["http://www.mendeley.com/documents/?uuid=35d32382-7588-4fa1-afa8-2f4fa9ff1807"]}],"mendeley":{"formattedCitation":"(Fensholt &amp; Proud, 2012)","plainTextFormattedCitation":"(Fensholt &amp; Proud, 2012)"},"properties":{"noteIndex":0},"schema":"https://github.com/citation-style-language/schema/raw/master/csl-citation.json"}</w:instrText>
            </w:r>
            <w:r>
              <w:rPr>
                <w:rFonts w:ascii="Times New Roman" w:eastAsia="Times New Roman" w:hAnsi="Times New Roman" w:cs="Times New Roman"/>
                <w:sz w:val="18"/>
              </w:rPr>
              <w:fldChar w:fldCharType="separate"/>
            </w:r>
            <w:r w:rsidRPr="00866DD2">
              <w:rPr>
                <w:rFonts w:ascii="Times New Roman" w:eastAsia="Times New Roman" w:hAnsi="Times New Roman" w:cs="Times New Roman"/>
                <w:noProof/>
                <w:sz w:val="18"/>
              </w:rPr>
              <w:t xml:space="preserve">Fensholt &amp; Proud, </w:t>
            </w:r>
            <w:r w:rsidRPr="009F1139">
              <w:rPr>
                <w:rFonts w:ascii="Times New Roman" w:eastAsia="Times New Roman" w:hAnsi="Times New Roman" w:cs="Times New Roman"/>
                <w:noProof/>
                <w:sz w:val="18"/>
              </w:rPr>
              <w:t>(</w:t>
            </w:r>
            <w:r w:rsidRPr="00866DD2">
              <w:rPr>
                <w:rFonts w:ascii="Times New Roman" w:eastAsia="Times New Roman" w:hAnsi="Times New Roman" w:cs="Times New Roman"/>
                <w:noProof/>
                <w:sz w:val="18"/>
              </w:rPr>
              <w:t>20</w:t>
            </w:r>
            <w:bookmarkStart w:id="0" w:name="_GoBack"/>
            <w:bookmarkEnd w:id="0"/>
            <w:r w:rsidRPr="00866DD2">
              <w:rPr>
                <w:rFonts w:ascii="Times New Roman" w:eastAsia="Times New Roman" w:hAnsi="Times New Roman" w:cs="Times New Roman"/>
                <w:noProof/>
                <w:sz w:val="18"/>
              </w:rPr>
              <w:t>12)</w:t>
            </w:r>
            <w:r>
              <w:rPr>
                <w:rFonts w:ascii="Times New Roman" w:eastAsia="Times New Roman" w:hAnsi="Times New Roman" w:cs="Times New Roman"/>
                <w:sz w:val="18"/>
              </w:rPr>
              <w:fldChar w:fldCharType="end"/>
            </w:r>
          </w:p>
        </w:tc>
      </w:tr>
      <w:tr w:rsidR="00573F3D" w:rsidRPr="009F1139" w:rsidTr="00A77585">
        <w:trPr>
          <w:cantSplit/>
          <w:trHeight w:val="1408"/>
        </w:trPr>
        <w:tc>
          <w:tcPr>
            <w:tcW w:w="1433" w:type="dxa"/>
            <w:tcBorders>
              <w:top w:val="single" w:sz="4" w:space="0" w:color="auto"/>
              <w:left w:val="single" w:sz="4" w:space="0" w:color="auto"/>
              <w:bottom w:val="single" w:sz="4" w:space="0" w:color="auto"/>
            </w:tcBorders>
            <w:shd w:val="clear" w:color="auto" w:fill="FFFFFF" w:themeFill="background1"/>
            <w:noWrap/>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lastRenderedPageBreak/>
              <w:t>LST</w:t>
            </w:r>
          </w:p>
        </w:tc>
        <w:tc>
          <w:tcPr>
            <w:tcW w:w="4252" w:type="dxa"/>
            <w:tcBorders>
              <w:top w:val="single" w:sz="4" w:space="0" w:color="auto"/>
              <w:left w:val="nil"/>
              <w:bottom w:val="single" w:sz="4" w:space="0" w:color="auto"/>
              <w:right w:val="nil"/>
            </w:tcBorders>
            <w:shd w:val="clear" w:color="auto" w:fill="FFFFFF" w:themeFill="background1"/>
            <w:noWrap/>
            <w:vAlign w:val="center"/>
            <w:hideMark/>
          </w:tcPr>
          <w:p w:rsidR="00573F3D" w:rsidRPr="00217D48" w:rsidRDefault="00573F3D" w:rsidP="0087167C">
            <w:pPr>
              <w:spacing w:after="0" w:line="240" w:lineRule="auto"/>
              <w:rPr>
                <w:rFonts w:ascii="Times New Roman" w:eastAsia="Times New Roman" w:hAnsi="Times New Roman" w:cs="Times New Roman"/>
                <w:i/>
                <w:sz w:val="18"/>
              </w:rPr>
            </w:pPr>
            <w:r w:rsidRPr="00217D48">
              <w:rPr>
                <w:rFonts w:ascii="Times New Roman" w:eastAsia="Times New Roman" w:hAnsi="Times New Roman" w:cs="Times New Roman"/>
                <w:i/>
                <w:sz w:val="18"/>
              </w:rPr>
              <w:t>EOS-MODIS MOD11_L2/MYD11_L2 LS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167C" w:rsidRDefault="00345B3D" w:rsidP="0087167C">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The </w:t>
            </w:r>
            <w:r w:rsidR="00695125">
              <w:rPr>
                <w:rFonts w:ascii="Times New Roman" w:eastAsia="Times New Roman" w:hAnsi="Times New Roman" w:cs="Times New Roman"/>
                <w:sz w:val="18"/>
              </w:rPr>
              <w:t>M</w:t>
            </w:r>
            <w:r>
              <w:rPr>
                <w:rFonts w:ascii="Times New Roman" w:eastAsia="Times New Roman" w:hAnsi="Times New Roman" w:cs="Times New Roman"/>
                <w:sz w:val="18"/>
              </w:rPr>
              <w:t>*</w:t>
            </w:r>
            <w:r w:rsidR="00695125">
              <w:rPr>
                <w:rFonts w:ascii="Times New Roman" w:eastAsia="Times New Roman" w:hAnsi="Times New Roman" w:cs="Times New Roman"/>
                <w:sz w:val="18"/>
              </w:rPr>
              <w:t>D</w:t>
            </w:r>
            <w:r>
              <w:rPr>
                <w:rFonts w:ascii="Times New Roman" w:eastAsia="Times New Roman" w:hAnsi="Times New Roman" w:cs="Times New Roman"/>
                <w:sz w:val="18"/>
              </w:rPr>
              <w:t>11_L2 product achieved lower uncertainty.</w:t>
            </w:r>
            <w:r w:rsidR="003D00C9">
              <w:rPr>
                <w:rFonts w:ascii="Times New Roman" w:eastAsia="Times New Roman" w:hAnsi="Times New Roman" w:cs="Times New Roman"/>
                <w:sz w:val="18"/>
              </w:rPr>
              <w:t xml:space="preserve"> </w:t>
            </w:r>
          </w:p>
          <w:p w:rsidR="00573F3D" w:rsidRPr="003D00C9" w:rsidRDefault="0087167C" w:rsidP="0087167C">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U</w:t>
            </w:r>
            <w:r w:rsidR="00573F3D" w:rsidRPr="003D00C9">
              <w:rPr>
                <w:rFonts w:ascii="Times New Roman" w:eastAsia="Times New Roman" w:hAnsi="Times New Roman" w:cs="Times New Roman"/>
                <w:sz w:val="18"/>
              </w:rPr>
              <w:t xml:space="preserve">nderestimation of </w:t>
            </w:r>
            <w:r w:rsidR="00345B3D" w:rsidRPr="003D00C9">
              <w:rPr>
                <w:rFonts w:ascii="Times New Roman" w:eastAsia="Times New Roman" w:hAnsi="Times New Roman" w:cs="Times New Roman"/>
                <w:sz w:val="18"/>
              </w:rPr>
              <w:t>ca.</w:t>
            </w:r>
            <w:r w:rsidR="00573F3D" w:rsidRPr="003D00C9">
              <w:rPr>
                <w:rFonts w:ascii="Times New Roman" w:eastAsia="Times New Roman" w:hAnsi="Times New Roman" w:cs="Times New Roman"/>
                <w:sz w:val="18"/>
              </w:rPr>
              <w:t xml:space="preserve"> −0.15 K was observed</w:t>
            </w:r>
            <w:r w:rsidR="003D00C9" w:rsidRPr="003D00C9">
              <w:rPr>
                <w:rFonts w:ascii="Times New Roman" w:eastAsia="Times New Roman" w:hAnsi="Times New Roman" w:cs="Times New Roman"/>
                <w:sz w:val="18"/>
              </w:rPr>
              <w:t xml:space="preserve"> with uncertainty values </w:t>
            </w:r>
            <w:r w:rsidR="003D00C9">
              <w:rPr>
                <w:rFonts w:ascii="Times New Roman" w:eastAsia="Times New Roman" w:hAnsi="Times New Roman" w:cs="Times New Roman"/>
                <w:sz w:val="18"/>
              </w:rPr>
              <w:t>± 2K</w:t>
            </w:r>
            <w:r>
              <w:rPr>
                <w:rFonts w:ascii="Times New Roman" w:eastAsia="Times New Roman" w:hAnsi="Times New Roman" w:cs="Times New Roman"/>
                <w:sz w:val="18"/>
              </w:rPr>
              <w:t xml:space="preserve"> in a rice crop and a Mediterranean </w:t>
            </w:r>
            <w:proofErr w:type="spellStart"/>
            <w:r>
              <w:rPr>
                <w:rFonts w:ascii="Times New Roman" w:eastAsia="Times New Roman" w:hAnsi="Times New Roman" w:cs="Times New Roman"/>
                <w:sz w:val="18"/>
              </w:rPr>
              <w:t>shrubland</w:t>
            </w:r>
            <w:proofErr w:type="spellEnd"/>
            <w:r>
              <w:rPr>
                <w:rFonts w:ascii="Times New Roman" w:eastAsia="Times New Roman" w:hAnsi="Times New Roman" w:cs="Times New Roman"/>
                <w:sz w:val="18"/>
              </w:rPr>
              <w:t>.</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{"citationItems":[{"id":"ITEM-1","itemData":{"DOI":"10.3390/rs71115269","ISBN":"1526915294","ISSN":"20724292","abstract":"An autonomous system for field land surface temperature (LST) measurements taken at different observation angles was developed to be deployed easily at any conventional meteorological tower station. The system permits ground-truth data to be acquired on a continuous basis, and angularly scans land and sky hemispheres with a single thermal-infrared (TIR) radiometer. This paper describes the autonomous angular system and the methodology to assess ground-truth LST and relative-to-nadir emissivity data from system measurements. Ground-truth LSTs were used to validate satellite-retrieved LST products at two experimental sites (rice crop and shrubland areas). The relative-to-nadir emissivity values were used to analyze the anisotropy of surface emissive properties over thermally-homogeneous covers. The EOS-MODIS MOD11_L2/MYD11_L2 LST product was evaluated and shown to work within expected uncertainties (&lt;2.0 K) when tested against the system data. A slight underestimation of around −0.15 K was observed, which became greater for the off-nadir observation angles at the shrubland site. The system took angular measurements for the different seasonal homogeneous covers at the rice crop site. These measurements showed emissivity angular anisotropies, which were in good agreement with previously published data. The dual-view ENVISAT-AATSR data reproduced them, and revealed that the system data collected for thermally-homogeneous surfaces could be used to test future satellite TIR sensors with multi-angular or bi-angular capabilities, like the forthcoming SLSTR on board Copernicus Sentinel-3A.","author":[{"dropping-particle":"","family":"Niclòs","given":"Raquel","non-dropping-particle":"","parse-names":false,"suffix":""},{"dropping-particle":"","family":"Valiente","given":"José A.","non-dropping-particle":"","parse-names":false,"suffix":""},{"dropping-particle":"","family":"Barberà","given":"Maria J.","non-dropping-particle":"","parse-names":false,"suffix":""},{"dropping-particle":"","family":"Coll","given":"César","non-dropping-particle":"","parse-names":false,"suffix":""}],"container-title":"Remote Sensing","id":"ITEM-1","issue":"11","issued":{"date-parts":[["2015"]]},"page":"15269-15294","title":"An autonomous system to take angular thermal-infrared measurements for validating satellite products","type":"article-journal","volume":"7"},"uris":["http://www.mendeley.com/documents/?uuid=30ac4051-f865-457a-80a4-e07c6b916adb"]}],"mendeley":{"formattedCitation":"(Niclòs, Valiente, Barberà, &amp; Coll, 2015)","plainTextFormattedCitation":"(Niclòs, Valiente, Barberà, &amp; Coll, 2015)","previouslyFormattedCitation":"(Niclòs, Valiente, Barberà, &amp; Coll, 2015)"},"properties":{"noteIndex":0},"schema":"https://github.com/citation-style-language/schema/raw/master/csl-citation.json"}</w:instrText>
            </w:r>
            <w:r>
              <w:rPr>
                <w:rFonts w:ascii="Times New Roman" w:eastAsia="Times New Roman" w:hAnsi="Times New Roman" w:cs="Times New Roman"/>
                <w:sz w:val="18"/>
              </w:rPr>
              <w:fldChar w:fldCharType="separate"/>
            </w:r>
            <w:r w:rsidRPr="009F1139">
              <w:rPr>
                <w:rFonts w:ascii="Times New Roman" w:eastAsia="Times New Roman" w:hAnsi="Times New Roman" w:cs="Times New Roman"/>
                <w:noProof/>
                <w:sz w:val="18"/>
              </w:rPr>
              <w:t>Ni</w:t>
            </w:r>
            <w:r>
              <w:rPr>
                <w:rFonts w:ascii="Times New Roman" w:eastAsia="Times New Roman" w:hAnsi="Times New Roman" w:cs="Times New Roman"/>
                <w:noProof/>
                <w:sz w:val="18"/>
              </w:rPr>
              <w:t>clòs, Valiente, Barberà, &amp; Coll</w:t>
            </w:r>
            <w:r w:rsidRPr="009F1139">
              <w:rPr>
                <w:rFonts w:ascii="Times New Roman" w:eastAsia="Times New Roman" w:hAnsi="Times New Roman" w:cs="Times New Roman"/>
                <w:noProof/>
                <w:sz w:val="18"/>
              </w:rPr>
              <w:t xml:space="preserve"> (2015)</w:t>
            </w:r>
            <w:r>
              <w:rPr>
                <w:rFonts w:ascii="Times New Roman" w:eastAsia="Times New Roman" w:hAnsi="Times New Roman" w:cs="Times New Roman"/>
                <w:sz w:val="18"/>
              </w:rPr>
              <w:fldChar w:fldCharType="end"/>
            </w:r>
          </w:p>
        </w:tc>
      </w:tr>
      <w:tr w:rsidR="00573F3D" w:rsidRPr="009F1139" w:rsidTr="00A77585">
        <w:trPr>
          <w:cantSplit/>
          <w:trHeight w:val="467"/>
        </w:trPr>
        <w:tc>
          <w:tcPr>
            <w:tcW w:w="1433" w:type="dxa"/>
            <w:vMerge w:val="restart"/>
            <w:tcBorders>
              <w:top w:val="single" w:sz="4" w:space="0" w:color="auto"/>
              <w:left w:val="single" w:sz="4" w:space="0" w:color="auto"/>
              <w:bottom w:val="single" w:sz="4" w:space="0" w:color="auto"/>
            </w:tcBorders>
            <w:shd w:val="clear" w:color="auto" w:fill="D9D9D9" w:themeFill="background1" w:themeFillShade="D9"/>
            <w:noWrap/>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t>Land Cover</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73F3D" w:rsidRPr="00217D48" w:rsidRDefault="00573F3D" w:rsidP="00FA042C">
            <w:pPr>
              <w:spacing w:after="0" w:line="240" w:lineRule="auto"/>
              <w:jc w:val="both"/>
              <w:rPr>
                <w:rFonts w:ascii="Times New Roman" w:eastAsia="Times New Roman" w:hAnsi="Times New Roman" w:cs="Times New Roman"/>
                <w:sz w:val="18"/>
              </w:rPr>
            </w:pPr>
            <w:r w:rsidRPr="00C40D9D">
              <w:rPr>
                <w:rFonts w:ascii="Times New Roman" w:eastAsia="Times New Roman" w:hAnsi="Times New Roman" w:cs="Times New Roman"/>
                <w:b/>
                <w:sz w:val="18"/>
              </w:rPr>
              <w:t>ESA CCI</w:t>
            </w:r>
            <w:r w:rsidR="0039656A">
              <w:rPr>
                <w:rFonts w:ascii="Times New Roman" w:eastAsia="Times New Roman" w:hAnsi="Times New Roman" w:cs="Times New Roman"/>
                <w:b/>
                <w:sz w:val="18"/>
              </w:rPr>
              <w:t xml:space="preserve"> (ENVISAT MERIS, ASAR/ SPOT-VGT)</w:t>
            </w:r>
            <w:r w:rsidRPr="00217D48">
              <w:rPr>
                <w:rFonts w:ascii="Times New Roman" w:eastAsia="Times New Roman" w:hAnsi="Times New Roman" w:cs="Times New Roman"/>
                <w:sz w:val="18"/>
              </w:rPr>
              <w:t xml:space="preserve">, </w:t>
            </w:r>
            <w:r w:rsidRPr="0039656A">
              <w:rPr>
                <w:rFonts w:ascii="Times New Roman" w:eastAsia="Times New Roman" w:hAnsi="Times New Roman" w:cs="Times New Roman"/>
                <w:b/>
                <w:sz w:val="18"/>
              </w:rPr>
              <w:t>GLC2000</w:t>
            </w:r>
            <w:r w:rsidR="0039656A" w:rsidRPr="0039656A">
              <w:rPr>
                <w:rFonts w:ascii="Times New Roman" w:eastAsia="Times New Roman" w:hAnsi="Times New Roman" w:cs="Times New Roman"/>
                <w:b/>
                <w:sz w:val="18"/>
              </w:rPr>
              <w:t xml:space="preserve"> (SPOT-VGT)</w:t>
            </w:r>
            <w:r w:rsidRPr="0039656A">
              <w:rPr>
                <w:rFonts w:ascii="Times New Roman" w:eastAsia="Times New Roman" w:hAnsi="Times New Roman" w:cs="Times New Roman"/>
                <w:b/>
                <w:sz w:val="18"/>
              </w:rPr>
              <w:t>,</w:t>
            </w:r>
            <w:r w:rsidRPr="00217D48">
              <w:rPr>
                <w:rFonts w:ascii="Times New Roman" w:eastAsia="Times New Roman" w:hAnsi="Times New Roman" w:cs="Times New Roman"/>
                <w:sz w:val="18"/>
              </w:rPr>
              <w:t xml:space="preserve"> </w:t>
            </w:r>
            <w:proofErr w:type="spellStart"/>
            <w:r w:rsidRPr="0039656A">
              <w:rPr>
                <w:rFonts w:ascii="Times New Roman" w:eastAsia="Times New Roman" w:hAnsi="Times New Roman" w:cs="Times New Roman"/>
                <w:b/>
                <w:sz w:val="18"/>
              </w:rPr>
              <w:t>GlobCover</w:t>
            </w:r>
            <w:proofErr w:type="spellEnd"/>
            <w:r w:rsidR="0039656A" w:rsidRPr="0039656A">
              <w:rPr>
                <w:rFonts w:ascii="Times New Roman" w:eastAsia="Times New Roman" w:hAnsi="Times New Roman" w:cs="Times New Roman"/>
                <w:b/>
                <w:sz w:val="18"/>
              </w:rPr>
              <w:t xml:space="preserve"> (ENVISAT MERIS)</w:t>
            </w:r>
            <w:r w:rsidRPr="0039656A">
              <w:rPr>
                <w:rFonts w:ascii="Times New Roman" w:eastAsia="Times New Roman" w:hAnsi="Times New Roman" w:cs="Times New Roman"/>
                <w:b/>
                <w:sz w:val="18"/>
              </w:rPr>
              <w:t xml:space="preserve">, </w:t>
            </w:r>
            <w:r w:rsidR="0039656A" w:rsidRPr="0039656A">
              <w:rPr>
                <w:rFonts w:ascii="Times New Roman" w:eastAsia="Times New Roman" w:hAnsi="Times New Roman" w:cs="Times New Roman"/>
                <w:sz w:val="18"/>
              </w:rPr>
              <w:t xml:space="preserve">GlobeLand30 </w:t>
            </w:r>
            <w:r w:rsidR="0039656A">
              <w:rPr>
                <w:rFonts w:ascii="Times New Roman" w:eastAsia="Times New Roman" w:hAnsi="Times New Roman" w:cs="Times New Roman"/>
                <w:sz w:val="18"/>
              </w:rPr>
              <w:t>(</w:t>
            </w:r>
            <w:r w:rsidR="003B0DCC" w:rsidRPr="003B0DCC">
              <w:rPr>
                <w:rFonts w:ascii="Times New Roman" w:eastAsia="Times New Roman" w:hAnsi="Times New Roman" w:cs="Times New Roman"/>
                <w:i/>
                <w:sz w:val="18"/>
              </w:rPr>
              <w:t>Landsat</w:t>
            </w:r>
            <w:r w:rsidR="003B0DCC">
              <w:rPr>
                <w:rFonts w:ascii="Times New Roman" w:eastAsia="Times New Roman" w:hAnsi="Times New Roman" w:cs="Times New Roman"/>
                <w:sz w:val="18"/>
              </w:rPr>
              <w:t xml:space="preserve"> and </w:t>
            </w:r>
            <w:r w:rsidR="003B0DCC" w:rsidRPr="003B0DCC">
              <w:rPr>
                <w:rFonts w:ascii="Times New Roman" w:eastAsia="Times New Roman" w:hAnsi="Times New Roman" w:cs="Times New Roman"/>
                <w:sz w:val="18"/>
              </w:rPr>
              <w:t>HJ-A1/B</w:t>
            </w:r>
            <w:r w:rsidR="003B0DCC">
              <w:rPr>
                <w:rFonts w:ascii="Times New Roman" w:eastAsia="Times New Roman" w:hAnsi="Times New Roman" w:cs="Times New Roman"/>
                <w:sz w:val="18"/>
              </w:rPr>
              <w:t xml:space="preserve">: </w:t>
            </w:r>
            <w:r w:rsidR="0039656A">
              <w:rPr>
                <w:rFonts w:ascii="Times New Roman" w:eastAsia="Times New Roman" w:hAnsi="Times New Roman" w:cs="Times New Roman"/>
                <w:sz w:val="18"/>
              </w:rPr>
              <w:t xml:space="preserve">Chinese), </w:t>
            </w:r>
            <w:r w:rsidR="0039656A" w:rsidRPr="0039656A">
              <w:rPr>
                <w:rFonts w:ascii="Times New Roman" w:eastAsia="Times New Roman" w:hAnsi="Times New Roman" w:cs="Times New Roman"/>
                <w:i/>
                <w:sz w:val="18"/>
              </w:rPr>
              <w:t>MCD12Q1</w:t>
            </w:r>
            <w:r w:rsidR="0039656A">
              <w:rPr>
                <w:rFonts w:ascii="Times New Roman" w:eastAsia="Times New Roman" w:hAnsi="Times New Roman" w:cs="Times New Roman"/>
                <w:sz w:val="18"/>
              </w:rPr>
              <w:t xml:space="preserve">, </w:t>
            </w:r>
            <w:r w:rsidR="00FA042C">
              <w:rPr>
                <w:rFonts w:ascii="Times New Roman" w:eastAsia="Times New Roman" w:hAnsi="Times New Roman" w:cs="Times New Roman"/>
                <w:sz w:val="18"/>
              </w:rPr>
              <w:t xml:space="preserve">GLC SHARE (global land cover products FAO, LCCS) </w:t>
            </w:r>
            <w:r w:rsidRPr="00217D48">
              <w:rPr>
                <w:rFonts w:ascii="Times New Roman" w:eastAsia="Times New Roman" w:hAnsi="Times New Roman" w:cs="Times New Roman"/>
                <w:sz w:val="18"/>
              </w:rPr>
              <w:t xml:space="preserve">IIASA </w:t>
            </w:r>
            <w:r w:rsidR="00FA042C">
              <w:rPr>
                <w:rFonts w:ascii="Times New Roman" w:eastAsia="Times New Roman" w:hAnsi="Times New Roman" w:cs="Times New Roman"/>
                <w:sz w:val="18"/>
              </w:rPr>
              <w:t xml:space="preserve">IFPRI </w:t>
            </w:r>
            <w:r w:rsidRPr="00217D48">
              <w:rPr>
                <w:rFonts w:ascii="Times New Roman" w:eastAsia="Times New Roman" w:hAnsi="Times New Roman" w:cs="Times New Roman"/>
                <w:sz w:val="18"/>
              </w:rPr>
              <w:t>Cropland</w:t>
            </w:r>
            <w:r w:rsidR="00FA042C">
              <w:rPr>
                <w:rFonts w:ascii="Times New Roman" w:eastAsia="Times New Roman" w:hAnsi="Times New Roman" w:cs="Times New Roman"/>
                <w:sz w:val="18"/>
              </w:rPr>
              <w:t xml:space="preserve"> Maps (global land cover products and national statistics), </w:t>
            </w:r>
            <w:r w:rsidR="00FA042C" w:rsidRPr="00FA042C">
              <w:rPr>
                <w:rFonts w:ascii="Times New Roman" w:eastAsia="Times New Roman" w:hAnsi="Times New Roman" w:cs="Times New Roman"/>
                <w:sz w:val="18"/>
                <w:u w:val="single"/>
              </w:rPr>
              <w:t>GFSAD Crop Extent for Africa (Landsat 8 and Sentinel 2)</w:t>
            </w:r>
            <w:r w:rsidR="00FA042C">
              <w:rPr>
                <w:rFonts w:ascii="Times New Roman" w:eastAsia="Times New Roman" w:hAnsi="Times New Roman" w:cs="Times New Roman"/>
                <w:sz w:val="18"/>
              </w:rPr>
              <w:t xml:space="preserve"> in five </w:t>
            </w:r>
            <w:proofErr w:type="spellStart"/>
            <w:r w:rsidR="00FA042C">
              <w:rPr>
                <w:rFonts w:ascii="Times New Roman" w:eastAsia="Times New Roman" w:hAnsi="Times New Roman" w:cs="Times New Roman"/>
                <w:sz w:val="18"/>
              </w:rPr>
              <w:t>Sahelian</w:t>
            </w:r>
            <w:proofErr w:type="spellEnd"/>
            <w:r w:rsidR="00FA042C">
              <w:rPr>
                <w:rFonts w:ascii="Times New Roman" w:eastAsia="Times New Roman" w:hAnsi="Times New Roman" w:cs="Times New Roman"/>
                <w:sz w:val="18"/>
              </w:rPr>
              <w:t xml:space="preserve"> countries</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3F1D" w:rsidRDefault="00573F3D" w:rsidP="00FA042C">
            <w:pPr>
              <w:pStyle w:val="ListParagraph"/>
              <w:numPr>
                <w:ilvl w:val="0"/>
                <w:numId w:val="7"/>
              </w:numPr>
              <w:spacing w:after="0" w:line="240" w:lineRule="auto"/>
              <w:jc w:val="both"/>
              <w:rPr>
                <w:rFonts w:ascii="Times New Roman" w:eastAsia="Times New Roman" w:hAnsi="Times New Roman" w:cs="Times New Roman"/>
                <w:sz w:val="18"/>
              </w:rPr>
            </w:pPr>
            <w:r w:rsidRPr="00F93F1D">
              <w:rPr>
                <w:rFonts w:ascii="Times New Roman" w:eastAsia="Times New Roman" w:hAnsi="Times New Roman" w:cs="Times New Roman"/>
                <w:sz w:val="18"/>
              </w:rPr>
              <w:t>ESA CCI 2013</w:t>
            </w:r>
            <w:r w:rsidR="00C40D9D">
              <w:rPr>
                <w:rFonts w:ascii="Times New Roman" w:eastAsia="Times New Roman" w:hAnsi="Times New Roman" w:cs="Times New Roman"/>
                <w:sz w:val="18"/>
              </w:rPr>
              <w:t xml:space="preserve">, MODIS 2013 and </w:t>
            </w:r>
            <w:proofErr w:type="spellStart"/>
            <w:r w:rsidR="00C40D9D">
              <w:rPr>
                <w:rFonts w:ascii="Times New Roman" w:eastAsia="Times New Roman" w:hAnsi="Times New Roman" w:cs="Times New Roman"/>
                <w:sz w:val="18"/>
              </w:rPr>
              <w:t>GlobCover</w:t>
            </w:r>
            <w:proofErr w:type="spellEnd"/>
            <w:r w:rsidR="00C40D9D">
              <w:rPr>
                <w:rFonts w:ascii="Times New Roman" w:eastAsia="Times New Roman" w:hAnsi="Times New Roman" w:cs="Times New Roman"/>
                <w:sz w:val="18"/>
              </w:rPr>
              <w:t xml:space="preserve"> 2009 outperform</w:t>
            </w:r>
            <w:r w:rsidR="00B80866">
              <w:rPr>
                <w:rFonts w:ascii="Times New Roman" w:eastAsia="Times New Roman" w:hAnsi="Times New Roman" w:cs="Times New Roman"/>
                <w:sz w:val="18"/>
              </w:rPr>
              <w:t>ed</w:t>
            </w:r>
            <w:r w:rsidR="00C40D9D">
              <w:rPr>
                <w:rFonts w:ascii="Times New Roman" w:eastAsia="Times New Roman" w:hAnsi="Times New Roman" w:cs="Times New Roman"/>
                <w:sz w:val="18"/>
              </w:rPr>
              <w:t xml:space="preserve"> GLC2000.</w:t>
            </w:r>
          </w:p>
          <w:p w:rsidR="00C40D9D" w:rsidRPr="00B80866" w:rsidRDefault="00C40D9D" w:rsidP="00B80866">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GFSAD30 and GLOBELand30 </w:t>
            </w:r>
            <w:r w:rsidR="00F10F84">
              <w:rPr>
                <w:rFonts w:ascii="Times New Roman" w:eastAsia="Times New Roman" w:hAnsi="Times New Roman" w:cs="Times New Roman"/>
                <w:sz w:val="18"/>
              </w:rPr>
              <w:t xml:space="preserve">obtained </w:t>
            </w:r>
            <w:r>
              <w:rPr>
                <w:rFonts w:ascii="Times New Roman" w:eastAsia="Times New Roman" w:hAnsi="Times New Roman" w:cs="Times New Roman"/>
                <w:sz w:val="18"/>
              </w:rPr>
              <w:t xml:space="preserve">the best accuracy in croplands. </w:t>
            </w:r>
            <w:r w:rsidR="00B80866">
              <w:rPr>
                <w:rFonts w:ascii="Times New Roman" w:eastAsia="Times New Roman" w:hAnsi="Times New Roman" w:cs="Times New Roman"/>
                <w:sz w:val="18"/>
              </w:rPr>
              <w:t xml:space="preserve">(GFSAD30: </w:t>
            </w:r>
            <w:r w:rsidRPr="00B80866">
              <w:rPr>
                <w:rFonts w:ascii="Times New Roman" w:eastAsia="Times New Roman" w:hAnsi="Times New Roman" w:cs="Times New Roman"/>
                <w:sz w:val="18"/>
              </w:rPr>
              <w:t>64.19% and GlobeLand30</w:t>
            </w:r>
            <w:r w:rsidR="00B80866">
              <w:rPr>
                <w:rFonts w:ascii="Times New Roman" w:eastAsia="Times New Roman" w:hAnsi="Times New Roman" w:cs="Times New Roman"/>
                <w:sz w:val="18"/>
              </w:rPr>
              <w:t xml:space="preserve">: </w:t>
            </w:r>
            <w:r w:rsidRPr="00B80866">
              <w:rPr>
                <w:rFonts w:ascii="Times New Roman" w:eastAsia="Times New Roman" w:hAnsi="Times New Roman" w:cs="Times New Roman"/>
                <w:sz w:val="18"/>
              </w:rPr>
              <w:t>68.89%</w:t>
            </w:r>
            <w:r w:rsidR="00B80866">
              <w:rPr>
                <w:rFonts w:ascii="Times New Roman" w:eastAsia="Times New Roman" w:hAnsi="Times New Roman" w:cs="Times New Roman"/>
                <w:sz w:val="18"/>
              </w:rPr>
              <w:t>)</w:t>
            </w:r>
            <w:r w:rsidRPr="00B80866">
              <w:rPr>
                <w:rFonts w:ascii="Times New Roman" w:eastAsia="Times New Roman" w:hAnsi="Times New Roman" w:cs="Times New Roman"/>
                <w:sz w:val="18"/>
              </w:rPr>
              <w:t>.</w:t>
            </w:r>
          </w:p>
          <w:p w:rsidR="00C40D9D" w:rsidRDefault="00C40D9D" w:rsidP="00FA042C">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ESA CCI and MODIS achi</w:t>
            </w:r>
            <w:r w:rsidR="00C07203">
              <w:rPr>
                <w:rFonts w:ascii="Times New Roman" w:eastAsia="Times New Roman" w:hAnsi="Times New Roman" w:cs="Times New Roman"/>
                <w:sz w:val="18"/>
              </w:rPr>
              <w:t>e</w:t>
            </w:r>
            <w:r>
              <w:rPr>
                <w:rFonts w:ascii="Times New Roman" w:eastAsia="Times New Roman" w:hAnsi="Times New Roman" w:cs="Times New Roman"/>
                <w:sz w:val="18"/>
              </w:rPr>
              <w:t>ved best accuracies in mixed crops.</w:t>
            </w:r>
          </w:p>
          <w:p w:rsidR="00C40D9D" w:rsidRDefault="00C07203" w:rsidP="00FA042C">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All</w:t>
            </w:r>
            <w:r w:rsidR="003C2893">
              <w:rPr>
                <w:rFonts w:ascii="Times New Roman" w:eastAsia="Times New Roman" w:hAnsi="Times New Roman" w:cs="Times New Roman"/>
                <w:sz w:val="18"/>
              </w:rPr>
              <w:t xml:space="preserve"> products </w:t>
            </w:r>
            <w:r w:rsidR="00B80866">
              <w:rPr>
                <w:rFonts w:ascii="Times New Roman" w:eastAsia="Times New Roman" w:hAnsi="Times New Roman" w:cs="Times New Roman"/>
                <w:sz w:val="18"/>
              </w:rPr>
              <w:t>reported accuracies</w:t>
            </w:r>
            <w:r>
              <w:rPr>
                <w:rFonts w:ascii="Times New Roman" w:eastAsia="Times New Roman" w:hAnsi="Times New Roman" w:cs="Times New Roman"/>
                <w:sz w:val="18"/>
              </w:rPr>
              <w:t xml:space="preserve"> lower than 75%.</w:t>
            </w:r>
          </w:p>
          <w:p w:rsidR="00573F3D" w:rsidRPr="00C40D9D" w:rsidRDefault="003C2893" w:rsidP="00FA042C">
            <w:pPr>
              <w:pStyle w:val="ListParagraph"/>
              <w:numPr>
                <w:ilvl w:val="0"/>
                <w:numId w:val="7"/>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All </w:t>
            </w:r>
            <w:r w:rsidR="00573F3D" w:rsidRPr="00C40D9D">
              <w:rPr>
                <w:rFonts w:ascii="Times New Roman" w:eastAsia="Times New Roman" w:hAnsi="Times New Roman" w:cs="Times New Roman"/>
                <w:sz w:val="18"/>
              </w:rPr>
              <w:t>products overestimate</w:t>
            </w:r>
            <w:r w:rsidR="00C07203">
              <w:rPr>
                <w:rFonts w:ascii="Times New Roman" w:eastAsia="Times New Roman" w:hAnsi="Times New Roman" w:cs="Times New Roman"/>
                <w:sz w:val="18"/>
              </w:rPr>
              <w:t>d</w:t>
            </w:r>
            <w:r w:rsidR="00573F3D" w:rsidRPr="00C40D9D">
              <w:rPr>
                <w:rFonts w:ascii="Times New Roman" w:eastAsia="Times New Roman" w:hAnsi="Times New Roman" w:cs="Times New Roman"/>
                <w:sz w:val="18"/>
              </w:rPr>
              <w:t xml:space="preserve"> cultivated areas </w:t>
            </w:r>
            <w:r w:rsidR="00C07203">
              <w:rPr>
                <w:rFonts w:ascii="Times New Roman" w:eastAsia="Times New Roman" w:hAnsi="Times New Roman" w:cs="Times New Roman"/>
                <w:sz w:val="18"/>
              </w:rPr>
              <w:t xml:space="preserve">(i.e. </w:t>
            </w:r>
            <w:r w:rsidR="00573F3D" w:rsidRPr="00C40D9D">
              <w:rPr>
                <w:rFonts w:ascii="Times New Roman" w:eastAsia="Times New Roman" w:hAnsi="Times New Roman" w:cs="Times New Roman"/>
                <w:sz w:val="18"/>
              </w:rPr>
              <w:t xml:space="preserve">170% </w:t>
            </w:r>
            <w:r w:rsidR="00C07203">
              <w:rPr>
                <w:rFonts w:ascii="Times New Roman" w:eastAsia="Times New Roman" w:hAnsi="Times New Roman" w:cs="Times New Roman"/>
                <w:sz w:val="18"/>
              </w:rPr>
              <w:t>on average).</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{"citationItems":[{"id":"ITEM-1","itemData":{"DOI":"10.3390/rs10111785","ISSN":"2072-4292","abstract":"&lt;p&gt;Accurate estimates of cultivated area and crop yield are critical to our understanding of agricultural production and food security, particularly for semi-arid regions like the Sahel of West Africa, where crop production is mainly rain-fed and food security is closely correlated with the inter-annual variations in rainfall. Several global and regional land cover products, based on satellite remotely-sensed data, provide estimates of the agricultural land use intensity, but the initial comparisons indicate considerable differences among them, relating to differences in the satellite data quality, classification approaches, and spatial and temporal resolutions. Here, we quantify the accuracy of available cropland products across Sahelian West Africa using an independent, high-resolution, visually interpreted sample dataset that classifies all points across West Africa using a 2-km sample grid (~500,000 points for the study area). We estimate the “quantity” and “allocation” disagreements for the cropland class of eight land cover products in five Western Sahel countries (Burkina Faso, Mali, Mauritania, Niger, and Senegal). The results confirm that coarse spatial resolution (300 m, 500 m, and 1000 m) land cover products have higher disagreements in mapping the fragmented agricultural landscape of the Western Sahel. Earlier products (e.g., GLC2000) are less accurate than recent products (e.g., ESA CCI 2013, MODIS 2013 and GlobCover 2009). We also show that two of the finer spatial resolution maps (GFSAD30, and GlobeLand30) using advanced classification approaches (random forest, decision trees, and pixel-object combined) are currently the best available products for cropland identification. However, none of the eight land cover databases examined is consistent in reaching the targeted 75% accuracy threshold in the five Sahelian countries. The majority of currently available land cover products overestimate cultivated areas by an average of 170% relative to the cropland area in the reference data.&lt;/p&gt;","author":[{"dropping-particle":"","family":"Samasse","given":"Kaboro","non-dropping-particle":"","parse-names":false,"suffix":""},{"dropping-particle":"","family":"Hanan","given":"Niall","non-dropping-particle":"","parse-names":false,"suffix":""},{"dropping-particle":"","family":"Tappan","given":"Gray","non-dropping-particle":"","parse-names":false,"suffix":""},{"dropping-particle":"","family":"Diallo","given":"Yacouba","non-dropping-particle":"","parse-names":false,"suffix":""},{"dropping-particle":"","family":"Samasse","given":"Kaboro","non-dropping-particle":"","parse-names":false,"suffix":""},{"dropping-particle":"","family":"Hanan","given":"Niall P.","non-dropping-particle":"","parse-names":false,"suffix":""},{"dropping-particle":"","family":"Tappan","given":"Gray","non-dropping-particle":"","parse-names":false,"suffix":""},{"dropping-particle":"","family":"Diallo","given":"Yacouba","non-dropping-particle":"","parse-names":false,"suffix":""}],"container-title":"Remote Sensing","id":"ITEM-1","issue":"11","issued":{"date-parts":[["2018"]]},"page":"1785","title":"Assessing Cropland Area in West Africa for Agricultural Yield Analysis","type":"article-journal","volume":"10"},"uris":["http://www.mendeley.com/documents/?uuid=9cd31e0b-8e93-4484-9ddf-3dfe96b3ff82"]}],"mendeley":{"formattedCitation":"(Samasse et al., 2018)","plainTextFormattedCitation":"(Samasse et al., 2018)","previouslyFormattedCitation":"(Samasse et al., 2018)"},"properties":{"noteIndex":0},"schema":"https://github.com/citation-style-language/schema/raw/master/csl-citation.json"}</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Samasse et al.</w:t>
            </w:r>
            <w:r w:rsidRPr="009F1139">
              <w:rPr>
                <w:rFonts w:ascii="Times New Roman" w:eastAsia="Times New Roman" w:hAnsi="Times New Roman" w:cs="Times New Roman"/>
                <w:noProof/>
                <w:sz w:val="18"/>
              </w:rPr>
              <w:t xml:space="preserve"> (2018)</w:t>
            </w:r>
            <w:r>
              <w:rPr>
                <w:rFonts w:ascii="Times New Roman" w:eastAsia="Times New Roman" w:hAnsi="Times New Roman" w:cs="Times New Roman"/>
                <w:sz w:val="18"/>
              </w:rPr>
              <w:fldChar w:fldCharType="end"/>
            </w:r>
          </w:p>
        </w:tc>
      </w:tr>
      <w:tr w:rsidR="00573F3D" w:rsidRPr="009F1139" w:rsidTr="00A77585">
        <w:trPr>
          <w:cantSplit/>
          <w:trHeight w:val="795"/>
        </w:trPr>
        <w:tc>
          <w:tcPr>
            <w:tcW w:w="1433" w:type="dxa"/>
            <w:vMerge/>
            <w:tcBorders>
              <w:top w:val="single" w:sz="4" w:space="0" w:color="auto"/>
              <w:left w:val="single" w:sz="4" w:space="0" w:color="auto"/>
              <w:bottom w:val="single" w:sz="4" w:space="0" w:color="auto"/>
            </w:tcBorders>
            <w:shd w:val="clear" w:color="auto" w:fill="D9D9D9" w:themeFill="background1" w:themeFillShade="D9"/>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p>
        </w:tc>
        <w:tc>
          <w:tcPr>
            <w:tcW w:w="4252" w:type="dxa"/>
            <w:tcBorders>
              <w:top w:val="nil"/>
              <w:left w:val="nil"/>
              <w:bottom w:val="single" w:sz="4" w:space="0" w:color="auto"/>
              <w:right w:val="single" w:sz="4" w:space="0" w:color="auto"/>
            </w:tcBorders>
            <w:shd w:val="clear" w:color="auto" w:fill="D9D9D9" w:themeFill="background1" w:themeFillShade="D9"/>
            <w:vAlign w:val="center"/>
            <w:hideMark/>
          </w:tcPr>
          <w:p w:rsidR="00573F3D" w:rsidRPr="00217D48" w:rsidRDefault="00573F3D" w:rsidP="003B0DCC">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sz w:val="18"/>
              </w:rPr>
              <w:t>FAO-</w:t>
            </w:r>
            <w:proofErr w:type="spellStart"/>
            <w:r w:rsidRPr="00217D48">
              <w:rPr>
                <w:rFonts w:ascii="Times New Roman" w:eastAsia="Times New Roman" w:hAnsi="Times New Roman" w:cs="Times New Roman"/>
                <w:sz w:val="18"/>
              </w:rPr>
              <w:t>GLCshare</w:t>
            </w:r>
            <w:proofErr w:type="spellEnd"/>
            <w:r w:rsidRPr="00217D48">
              <w:rPr>
                <w:rFonts w:ascii="Times New Roman" w:eastAsia="Times New Roman" w:hAnsi="Times New Roman" w:cs="Times New Roman"/>
                <w:sz w:val="18"/>
              </w:rPr>
              <w:t xml:space="preserve"> (FAO Global Land Cover Network), </w:t>
            </w:r>
            <w:proofErr w:type="spellStart"/>
            <w:r w:rsidRPr="003C2893">
              <w:rPr>
                <w:rFonts w:ascii="Times New Roman" w:eastAsia="Times New Roman" w:hAnsi="Times New Roman" w:cs="Times New Roman"/>
                <w:sz w:val="18"/>
                <w:u w:val="single"/>
              </w:rPr>
              <w:t>Geowiki</w:t>
            </w:r>
            <w:proofErr w:type="spellEnd"/>
            <w:r w:rsidRPr="003C2893">
              <w:rPr>
                <w:rFonts w:ascii="Times New Roman" w:eastAsia="Times New Roman" w:hAnsi="Times New Roman" w:cs="Times New Roman"/>
                <w:sz w:val="18"/>
                <w:u w:val="single"/>
              </w:rPr>
              <w:t xml:space="preserve"> </w:t>
            </w:r>
            <w:r w:rsidR="003C2893" w:rsidRPr="003C2893">
              <w:rPr>
                <w:rFonts w:ascii="Times New Roman" w:eastAsia="Times New Roman" w:hAnsi="Times New Roman" w:cs="Times New Roman"/>
                <w:sz w:val="18"/>
                <w:u w:val="single"/>
              </w:rPr>
              <w:t>Hybrid-1 IIASA (MODIS, SPOT4, MERIS)</w:t>
            </w:r>
            <w:r w:rsidRPr="00217D48">
              <w:rPr>
                <w:rFonts w:ascii="Times New Roman" w:eastAsia="Times New Roman" w:hAnsi="Times New Roman" w:cs="Times New Roman"/>
                <w:sz w:val="18"/>
              </w:rPr>
              <w:t xml:space="preserve">, </w:t>
            </w:r>
            <w:r w:rsidRPr="003C2893">
              <w:rPr>
                <w:rFonts w:ascii="Times New Roman" w:eastAsia="Times New Roman" w:hAnsi="Times New Roman" w:cs="Times New Roman"/>
                <w:b/>
                <w:sz w:val="18"/>
              </w:rPr>
              <w:t>GLC2000</w:t>
            </w:r>
            <w:r w:rsidR="003C2893" w:rsidRPr="003C2893">
              <w:rPr>
                <w:rFonts w:ascii="Times New Roman" w:eastAsia="Times New Roman" w:hAnsi="Times New Roman" w:cs="Times New Roman"/>
                <w:b/>
                <w:sz w:val="18"/>
              </w:rPr>
              <w:t>-JRC</w:t>
            </w:r>
            <w:r w:rsidRPr="003C2893">
              <w:rPr>
                <w:rFonts w:ascii="Times New Roman" w:eastAsia="Times New Roman" w:hAnsi="Times New Roman" w:cs="Times New Roman"/>
                <w:b/>
                <w:sz w:val="18"/>
              </w:rPr>
              <w:t xml:space="preserve"> (</w:t>
            </w:r>
            <w:r w:rsidR="003C2893" w:rsidRPr="003C2893">
              <w:rPr>
                <w:rFonts w:ascii="Times New Roman" w:eastAsia="Times New Roman" w:hAnsi="Times New Roman" w:cs="Times New Roman"/>
                <w:b/>
                <w:sz w:val="18"/>
              </w:rPr>
              <w:t>SPOT-4/VGT</w:t>
            </w:r>
            <w:r w:rsidRPr="00217D48">
              <w:rPr>
                <w:rFonts w:ascii="Times New Roman" w:eastAsia="Times New Roman" w:hAnsi="Times New Roman" w:cs="Times New Roman"/>
                <w:sz w:val="18"/>
              </w:rPr>
              <w:t xml:space="preserve">), </w:t>
            </w:r>
            <w:r w:rsidRPr="003C2893">
              <w:rPr>
                <w:rFonts w:ascii="Times New Roman" w:eastAsia="Times New Roman" w:hAnsi="Times New Roman" w:cs="Times New Roman"/>
                <w:i/>
                <w:sz w:val="18"/>
              </w:rPr>
              <w:t>GLCNMO</w:t>
            </w:r>
            <w:r w:rsidR="003C2893" w:rsidRPr="003C2893">
              <w:rPr>
                <w:rFonts w:ascii="Times New Roman" w:eastAsia="Times New Roman" w:hAnsi="Times New Roman" w:cs="Times New Roman"/>
                <w:i/>
                <w:sz w:val="18"/>
              </w:rPr>
              <w:t xml:space="preserve"> v2-ISCGM </w:t>
            </w:r>
            <w:r w:rsidRPr="003C2893">
              <w:rPr>
                <w:rFonts w:ascii="Times New Roman" w:eastAsia="Times New Roman" w:hAnsi="Times New Roman" w:cs="Times New Roman"/>
                <w:i/>
                <w:sz w:val="18"/>
              </w:rPr>
              <w:t>(</w:t>
            </w:r>
            <w:r w:rsidR="003C2893" w:rsidRPr="003C2893">
              <w:rPr>
                <w:rFonts w:ascii="Times New Roman" w:eastAsia="Times New Roman" w:hAnsi="Times New Roman" w:cs="Times New Roman"/>
                <w:i/>
                <w:sz w:val="18"/>
              </w:rPr>
              <w:t>MODIS</w:t>
            </w:r>
            <w:r w:rsidRPr="003C2893">
              <w:rPr>
                <w:rFonts w:ascii="Times New Roman" w:eastAsia="Times New Roman" w:hAnsi="Times New Roman" w:cs="Times New Roman"/>
                <w:i/>
                <w:sz w:val="18"/>
              </w:rPr>
              <w:t>)</w:t>
            </w:r>
            <w:r w:rsidRPr="00217D48">
              <w:rPr>
                <w:rFonts w:ascii="Times New Roman" w:eastAsia="Times New Roman" w:hAnsi="Times New Roman" w:cs="Times New Roman"/>
                <w:sz w:val="18"/>
              </w:rPr>
              <w:t xml:space="preserve">, </w:t>
            </w:r>
            <w:r w:rsidR="003C2893" w:rsidRPr="00D67D5D">
              <w:rPr>
                <w:rFonts w:ascii="Times New Roman" w:eastAsia="Times New Roman" w:hAnsi="Times New Roman" w:cs="Times New Roman"/>
                <w:sz w:val="18"/>
              </w:rPr>
              <w:t>GlobeL</w:t>
            </w:r>
            <w:r w:rsidRPr="00D67D5D">
              <w:rPr>
                <w:rFonts w:ascii="Times New Roman" w:eastAsia="Times New Roman" w:hAnsi="Times New Roman" w:cs="Times New Roman"/>
                <w:sz w:val="18"/>
              </w:rPr>
              <w:t>and30</w:t>
            </w:r>
            <w:r w:rsidR="003C2893">
              <w:rPr>
                <w:rFonts w:ascii="Times New Roman" w:eastAsia="Times New Roman" w:hAnsi="Times New Roman" w:cs="Times New Roman"/>
                <w:sz w:val="18"/>
              </w:rPr>
              <w:t xml:space="preserve"> (</w:t>
            </w:r>
            <w:r w:rsidR="003C2893" w:rsidRPr="003C2893">
              <w:rPr>
                <w:rFonts w:ascii="Times New Roman" w:eastAsia="Times New Roman" w:hAnsi="Times New Roman" w:cs="Times New Roman"/>
                <w:i/>
                <w:sz w:val="18"/>
              </w:rPr>
              <w:t>Landsat TM/ETM7</w:t>
            </w:r>
            <w:r w:rsidR="003C2893">
              <w:rPr>
                <w:rFonts w:ascii="Times New Roman" w:eastAsia="Times New Roman" w:hAnsi="Times New Roman" w:cs="Times New Roman"/>
                <w:sz w:val="18"/>
              </w:rPr>
              <w:t xml:space="preserve">, and </w:t>
            </w:r>
            <w:r w:rsidR="003B0DCC" w:rsidRPr="003B0DCC">
              <w:rPr>
                <w:rFonts w:ascii="Times New Roman" w:eastAsia="Times New Roman" w:hAnsi="Times New Roman" w:cs="Times New Roman"/>
                <w:sz w:val="18"/>
              </w:rPr>
              <w:t>HJ-A1/B: Chinese</w:t>
            </w:r>
            <w:r w:rsidR="003C2893">
              <w:rPr>
                <w:rFonts w:ascii="Times New Roman" w:eastAsia="Times New Roman" w:hAnsi="Times New Roman" w:cs="Times New Roman"/>
                <w:sz w:val="18"/>
              </w:rPr>
              <w:t>)</w:t>
            </w:r>
            <w:r w:rsidRPr="00217D48">
              <w:rPr>
                <w:rFonts w:ascii="Times New Roman" w:eastAsia="Times New Roman" w:hAnsi="Times New Roman" w:cs="Times New Roman"/>
                <w:sz w:val="18"/>
              </w:rPr>
              <w:t xml:space="preserve">, </w:t>
            </w:r>
            <w:proofErr w:type="spellStart"/>
            <w:r w:rsidR="00D67D5D" w:rsidRPr="00D67D5D">
              <w:rPr>
                <w:rFonts w:ascii="Times New Roman" w:eastAsia="Times New Roman" w:hAnsi="Times New Roman" w:cs="Times New Roman"/>
                <w:b/>
                <w:sz w:val="18"/>
              </w:rPr>
              <w:t>GlobCover</w:t>
            </w:r>
            <w:proofErr w:type="spellEnd"/>
            <w:r w:rsidR="00D67D5D" w:rsidRPr="00D67D5D">
              <w:rPr>
                <w:rFonts w:ascii="Times New Roman" w:eastAsia="Times New Roman" w:hAnsi="Times New Roman" w:cs="Times New Roman"/>
                <w:b/>
                <w:sz w:val="18"/>
              </w:rPr>
              <w:t xml:space="preserve"> 2009 (MERIS)</w:t>
            </w:r>
            <w:r w:rsidR="00D67D5D">
              <w:rPr>
                <w:rFonts w:ascii="Times New Roman" w:eastAsia="Times New Roman" w:hAnsi="Times New Roman" w:cs="Times New Roman"/>
                <w:sz w:val="18"/>
              </w:rPr>
              <w:t xml:space="preserve">, </w:t>
            </w:r>
            <w:r w:rsidRPr="00D67D5D">
              <w:rPr>
                <w:rFonts w:ascii="Times New Roman" w:eastAsia="Times New Roman" w:hAnsi="Times New Roman" w:cs="Times New Roman"/>
                <w:b/>
                <w:sz w:val="18"/>
              </w:rPr>
              <w:t>LC-CCI</w:t>
            </w:r>
            <w:r w:rsidR="00D67D5D" w:rsidRPr="00D67D5D">
              <w:rPr>
                <w:rFonts w:ascii="Times New Roman" w:eastAsia="Times New Roman" w:hAnsi="Times New Roman" w:cs="Times New Roman"/>
                <w:b/>
                <w:sz w:val="18"/>
              </w:rPr>
              <w:t xml:space="preserve"> 2010</w:t>
            </w:r>
            <w:r w:rsidRPr="00217D48">
              <w:rPr>
                <w:rFonts w:ascii="Times New Roman" w:eastAsia="Times New Roman" w:hAnsi="Times New Roman" w:cs="Times New Roman"/>
                <w:sz w:val="18"/>
              </w:rPr>
              <w:t xml:space="preserve"> </w:t>
            </w:r>
            <w:r w:rsidRPr="00D67D5D">
              <w:rPr>
                <w:rFonts w:ascii="Times New Roman" w:eastAsia="Times New Roman" w:hAnsi="Times New Roman" w:cs="Times New Roman"/>
                <w:b/>
                <w:sz w:val="18"/>
              </w:rPr>
              <w:t>(</w:t>
            </w:r>
            <w:r w:rsidR="00D67D5D" w:rsidRPr="00D67D5D">
              <w:rPr>
                <w:rFonts w:ascii="Times New Roman" w:eastAsia="Times New Roman" w:hAnsi="Times New Roman" w:cs="Times New Roman"/>
                <w:b/>
                <w:sz w:val="18"/>
              </w:rPr>
              <w:t>MERIS, SPOT-VGT</w:t>
            </w:r>
            <w:r w:rsidRPr="00D67D5D">
              <w:rPr>
                <w:rFonts w:ascii="Times New Roman" w:eastAsia="Times New Roman" w:hAnsi="Times New Roman" w:cs="Times New Roman"/>
                <w:b/>
                <w:sz w:val="18"/>
              </w:rPr>
              <w:t>)</w:t>
            </w:r>
            <w:r w:rsidR="00D67D5D">
              <w:rPr>
                <w:rFonts w:ascii="Times New Roman" w:eastAsia="Times New Roman" w:hAnsi="Times New Roman" w:cs="Times New Roman"/>
                <w:b/>
                <w:sz w:val="18"/>
              </w:rPr>
              <w:t>,</w:t>
            </w:r>
            <w:r w:rsidRPr="00217D48">
              <w:rPr>
                <w:rFonts w:ascii="Times New Roman" w:eastAsia="Times New Roman" w:hAnsi="Times New Roman" w:cs="Times New Roman"/>
                <w:sz w:val="18"/>
              </w:rPr>
              <w:t xml:space="preserve"> </w:t>
            </w:r>
            <w:r w:rsidR="00D67D5D" w:rsidRPr="00D67D5D">
              <w:rPr>
                <w:rFonts w:ascii="Times New Roman" w:eastAsia="Times New Roman" w:hAnsi="Times New Roman" w:cs="Times New Roman"/>
                <w:b/>
                <w:sz w:val="18"/>
              </w:rPr>
              <w:t>LC-CCI 2015-ESA(MERIS, PROBA-V, SPOT-VGT, AVHRR)</w:t>
            </w:r>
            <w:r w:rsidRPr="00D67D5D">
              <w:rPr>
                <w:rFonts w:ascii="Times New Roman" w:eastAsia="Times New Roman" w:hAnsi="Times New Roman" w:cs="Times New Roman"/>
                <w:b/>
                <w:sz w:val="18"/>
              </w:rPr>
              <w:t>,</w:t>
            </w:r>
            <w:r w:rsidRPr="00217D48">
              <w:rPr>
                <w:rFonts w:ascii="Times New Roman" w:eastAsia="Times New Roman" w:hAnsi="Times New Roman" w:cs="Times New Roman"/>
                <w:sz w:val="18"/>
              </w:rPr>
              <w:t xml:space="preserve"> and </w:t>
            </w:r>
            <w:r w:rsidRPr="00D67D5D">
              <w:rPr>
                <w:rFonts w:ascii="Times New Roman" w:eastAsia="Times New Roman" w:hAnsi="Times New Roman" w:cs="Times New Roman"/>
                <w:i/>
                <w:sz w:val="18"/>
              </w:rPr>
              <w:t>MODISLC</w:t>
            </w:r>
            <w:r w:rsidRPr="00217D48">
              <w:rPr>
                <w:rFonts w:ascii="Times New Roman" w:eastAsia="Times New Roman" w:hAnsi="Times New Roman" w:cs="Times New Roman"/>
                <w:sz w:val="18"/>
              </w:rPr>
              <w:t xml:space="preserve"> </w:t>
            </w:r>
            <w:r w:rsidR="00D67D5D">
              <w:rPr>
                <w:rFonts w:ascii="Times New Roman" w:eastAsia="Times New Roman" w:hAnsi="Times New Roman" w:cs="Times New Roman"/>
                <w:i/>
                <w:sz w:val="18"/>
              </w:rPr>
              <w:t>2010</w:t>
            </w:r>
            <w:r w:rsidR="00D67D5D">
              <w:rPr>
                <w:rFonts w:ascii="Times New Roman" w:eastAsia="Times New Roman" w:hAnsi="Times New Roman" w:cs="Times New Roman"/>
                <w:sz w:val="18"/>
              </w:rPr>
              <w:t xml:space="preserve"> </w:t>
            </w:r>
            <w:r w:rsidRPr="00217D48">
              <w:rPr>
                <w:rFonts w:ascii="Times New Roman" w:eastAsia="Times New Roman" w:hAnsi="Times New Roman" w:cs="Times New Roman"/>
                <w:sz w:val="18"/>
              </w:rPr>
              <w:t>(</w:t>
            </w:r>
            <w:r w:rsidR="00FF05F3">
              <w:rPr>
                <w:rFonts w:ascii="Times New Roman" w:eastAsia="Times New Roman" w:hAnsi="Times New Roman" w:cs="Times New Roman"/>
                <w:i/>
                <w:sz w:val="18"/>
              </w:rPr>
              <w:t>MOD12Q1 v051</w:t>
            </w:r>
            <w:r w:rsidRPr="00217D48">
              <w:rPr>
                <w:rFonts w:ascii="Times New Roman" w:eastAsia="Times New Roman" w:hAnsi="Times New Roman" w:cs="Times New Roman"/>
                <w:sz w:val="18"/>
              </w:rPr>
              <w:t>).</w:t>
            </w:r>
          </w:p>
        </w:tc>
        <w:tc>
          <w:tcPr>
            <w:tcW w:w="5812" w:type="dxa"/>
            <w:tcBorders>
              <w:top w:val="nil"/>
              <w:left w:val="nil"/>
              <w:bottom w:val="single" w:sz="4" w:space="0" w:color="auto"/>
              <w:right w:val="single" w:sz="4" w:space="0" w:color="auto"/>
            </w:tcBorders>
            <w:shd w:val="clear" w:color="auto" w:fill="D9D9D9" w:themeFill="background1" w:themeFillShade="D9"/>
            <w:vAlign w:val="center"/>
            <w:hideMark/>
          </w:tcPr>
          <w:p w:rsidR="001129AE" w:rsidRDefault="001129AE" w:rsidP="006D6504">
            <w:pPr>
              <w:pStyle w:val="ListParagraph"/>
              <w:numPr>
                <w:ilvl w:val="0"/>
                <w:numId w:val="8"/>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Results were substantially different among products.</w:t>
            </w:r>
          </w:p>
          <w:p w:rsidR="00EE0D33" w:rsidRDefault="007831AF" w:rsidP="006D6504">
            <w:pPr>
              <w:pStyle w:val="ListParagraph"/>
              <w:numPr>
                <w:ilvl w:val="0"/>
                <w:numId w:val="8"/>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FAO-</w:t>
            </w:r>
            <w:proofErr w:type="spellStart"/>
            <w:r>
              <w:rPr>
                <w:rFonts w:ascii="Times New Roman" w:eastAsia="Times New Roman" w:hAnsi="Times New Roman" w:cs="Times New Roman"/>
                <w:sz w:val="18"/>
              </w:rPr>
              <w:t>GLCshare</w:t>
            </w:r>
            <w:proofErr w:type="spellEnd"/>
            <w:r>
              <w:rPr>
                <w:rFonts w:ascii="Times New Roman" w:eastAsia="Times New Roman" w:hAnsi="Times New Roman" w:cs="Times New Roman"/>
                <w:sz w:val="18"/>
              </w:rPr>
              <w:t xml:space="preserve"> and GlobeL</w:t>
            </w:r>
            <w:r w:rsidR="00573F3D" w:rsidRPr="00EE0D33">
              <w:rPr>
                <w:rFonts w:ascii="Times New Roman" w:eastAsia="Times New Roman" w:hAnsi="Times New Roman" w:cs="Times New Roman"/>
                <w:sz w:val="18"/>
              </w:rPr>
              <w:t xml:space="preserve">and30 </w:t>
            </w:r>
            <w:r w:rsidR="003B0DCC">
              <w:rPr>
                <w:rFonts w:ascii="Times New Roman" w:eastAsia="Times New Roman" w:hAnsi="Times New Roman" w:cs="Times New Roman"/>
                <w:sz w:val="18"/>
              </w:rPr>
              <w:t>we</w:t>
            </w:r>
            <w:r>
              <w:rPr>
                <w:rFonts w:ascii="Times New Roman" w:eastAsia="Times New Roman" w:hAnsi="Times New Roman" w:cs="Times New Roman"/>
                <w:sz w:val="18"/>
              </w:rPr>
              <w:t>re the most suitable datasets</w:t>
            </w:r>
            <w:r w:rsidR="00573F3D" w:rsidRPr="00EE0D33">
              <w:rPr>
                <w:rFonts w:ascii="Times New Roman" w:eastAsia="Times New Roman" w:hAnsi="Times New Roman" w:cs="Times New Roman"/>
                <w:sz w:val="18"/>
              </w:rPr>
              <w:t xml:space="preserve"> to monitor cropland</w:t>
            </w:r>
            <w:r>
              <w:rPr>
                <w:rFonts w:ascii="Times New Roman" w:eastAsia="Times New Roman" w:hAnsi="Times New Roman" w:cs="Times New Roman"/>
                <w:sz w:val="18"/>
              </w:rPr>
              <w:t>s</w:t>
            </w:r>
            <w:r w:rsidR="00573F3D" w:rsidRPr="00EE0D33">
              <w:rPr>
                <w:rFonts w:ascii="Times New Roman" w:eastAsia="Times New Roman" w:hAnsi="Times New Roman" w:cs="Times New Roman"/>
                <w:sz w:val="18"/>
              </w:rPr>
              <w:t xml:space="preserve">, </w:t>
            </w:r>
          </w:p>
          <w:p w:rsidR="007831AF" w:rsidRDefault="00573F3D" w:rsidP="006D6504">
            <w:pPr>
              <w:pStyle w:val="ListParagraph"/>
              <w:numPr>
                <w:ilvl w:val="0"/>
                <w:numId w:val="8"/>
              </w:numPr>
              <w:spacing w:after="0" w:line="240" w:lineRule="auto"/>
              <w:jc w:val="both"/>
              <w:rPr>
                <w:rFonts w:ascii="Times New Roman" w:eastAsia="Times New Roman" w:hAnsi="Times New Roman" w:cs="Times New Roman"/>
                <w:sz w:val="18"/>
              </w:rPr>
            </w:pPr>
            <w:r w:rsidRPr="00EE0D33">
              <w:rPr>
                <w:rFonts w:ascii="Times New Roman" w:eastAsia="Times New Roman" w:hAnsi="Times New Roman" w:cs="Times New Roman"/>
                <w:sz w:val="18"/>
              </w:rPr>
              <w:t xml:space="preserve">LC-CCI2010 </w:t>
            </w:r>
            <w:r w:rsidR="003F4064">
              <w:rPr>
                <w:rFonts w:ascii="Times New Roman" w:eastAsia="Times New Roman" w:hAnsi="Times New Roman" w:cs="Times New Roman"/>
                <w:sz w:val="18"/>
              </w:rPr>
              <w:t>overestimated cropland areas</w:t>
            </w:r>
            <w:r w:rsidR="003B0DCC">
              <w:rPr>
                <w:rFonts w:ascii="Times New Roman" w:eastAsia="Times New Roman" w:hAnsi="Times New Roman" w:cs="Times New Roman"/>
                <w:sz w:val="18"/>
              </w:rPr>
              <w:t xml:space="preserve"> in Africa. </w:t>
            </w:r>
          </w:p>
          <w:p w:rsidR="00573F3D" w:rsidRPr="009149D9" w:rsidRDefault="00573F3D" w:rsidP="009149D9">
            <w:pPr>
              <w:pStyle w:val="ListParagraph"/>
              <w:numPr>
                <w:ilvl w:val="0"/>
                <w:numId w:val="8"/>
              </w:numPr>
              <w:spacing w:after="0" w:line="240" w:lineRule="auto"/>
              <w:jc w:val="both"/>
              <w:rPr>
                <w:rFonts w:ascii="Times New Roman" w:eastAsia="Times New Roman" w:hAnsi="Times New Roman" w:cs="Times New Roman"/>
                <w:sz w:val="18"/>
              </w:rPr>
            </w:pPr>
            <w:r w:rsidRPr="00EE0D33">
              <w:rPr>
                <w:rFonts w:ascii="Times New Roman" w:eastAsia="Times New Roman" w:hAnsi="Times New Roman" w:cs="Times New Roman"/>
                <w:sz w:val="18"/>
              </w:rPr>
              <w:t xml:space="preserve">GLC2000 </w:t>
            </w:r>
            <w:r w:rsidR="001129AE">
              <w:rPr>
                <w:rFonts w:ascii="Times New Roman" w:eastAsia="Times New Roman" w:hAnsi="Times New Roman" w:cs="Times New Roman"/>
                <w:sz w:val="18"/>
              </w:rPr>
              <w:t>reported low accuracy.</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{"citationItems":[{"id":"ITEM-1","itemData":{"DOI":"10.3390/rs9111118","ISBN":"3903327867","ISSN":"20724292","abstract":"Accurate and reliable information on the spatial distribution of major crops is needed for detecting possible production deficits with the aim of preventing food security crises and anticipating response planning. In this paper, we compared some of the most widely used global land cover datasets to examine their comparative advantages for cropland monitoring. Cropland class areas are compared for the following datasets: FAO-GLCshare (FAO Global Land Cover Network), Geowiki IIASA-Hybrid (Hybrid global land cover map from the International Institute of Applied System Analysis), GLC2000 (Global Land Cover 2000), GLCNMO2008 (Global Land Cover by National Mapping Organizations), GlobCover, Globeland30, LC-CCI (Land Cover Climate Change Initiative) 2010 and 2015, and MODISLC (MODIS Land Cover product). The methodology involves: (1) highlighting discrepancies in the extent and spatial distribution of cropland, (2) comparing the areas with FAO agricultural statistics at the country level, and (3) providing accuracy assessment through freely available reference datasets. Recommendations for crop monitoring at the country level are based on a priority ranking derived from the results obtained from analyses 2 and 3. Our results revealed that cropland information varies substantially among the analyzed land cover datasets. FAO-GLCshare and Globeland30 generally provided adequate results to monitor cropland areas, whereas LC-CCI2010 and GLC2000 are less unsuitable due to large overestimations in the former and out of date information and low accuracy in the latter. The recently launched LC-CCI datasets (i.e., LC-CCI2015) show a higher potential for cropland monitoring uses than the previous version (i.e., LC-CCI2010).","author":[{"dropping-particle":"","family":"Pérez-Hoyos","given":"Ana","non-dropping-particle":"","parse-names":false,"suffix":""},{"dropping-particle":"","family":"Rembold","given":"Felix","non-dropping-particle":"","parse-names":false,"suffix":""},{"dropping-particle":"","family":"Kerdiles","given":"Hervé","non-dropping-particle":"","parse-names":false,"suffix":""},{"dropping-particle":"","family":"Gallego","given":"Javier","non-dropping-particle":"","parse-names":false,"suffix":""}],"container-title":"Remote Sensing","id":"ITEM-1","issue":"11","issued":{"date-parts":[["2017"]]},"title":"Comparison of global land cover datasets for cropland monitoring","type":"article-journal","volume":"9"},"uris":["http://www.mendeley.com/documents/?uuid=1a33e4e5-ef31-45d6-a6bd-40cf50c821ed"]}],"mendeley":{"formattedCitation":"(Pérez-Hoyos, Rembold, Kerdiles, &amp; Gallego, 2017)","plainTextFormattedCitation":"(Pérez-Hoyos, Rembold, Kerdiles, &amp; Gallego, 2017)","previouslyFormattedCitation":"(Pérez-Hoyos, Rembold, Kerdiles, &amp; Gallego, 2017)"},"properties":{"noteIndex":0},"schema":"https://github.com/citation-style-language/schema/raw/master/csl-citation.json"}</w:instrText>
            </w:r>
            <w:r>
              <w:rPr>
                <w:rFonts w:ascii="Times New Roman" w:eastAsia="Times New Roman" w:hAnsi="Times New Roman" w:cs="Times New Roman"/>
                <w:sz w:val="18"/>
              </w:rPr>
              <w:fldChar w:fldCharType="separate"/>
            </w:r>
            <w:r w:rsidRPr="009F1139">
              <w:rPr>
                <w:rFonts w:ascii="Times New Roman" w:eastAsia="Times New Roman" w:hAnsi="Times New Roman" w:cs="Times New Roman"/>
                <w:noProof/>
                <w:sz w:val="18"/>
              </w:rPr>
              <w:t>Pérez-Hoyos, Rembold, Kerdiles, &amp; Gallego, (2017)</w:t>
            </w:r>
            <w:r>
              <w:rPr>
                <w:rFonts w:ascii="Times New Roman" w:eastAsia="Times New Roman" w:hAnsi="Times New Roman" w:cs="Times New Roman"/>
                <w:sz w:val="18"/>
              </w:rPr>
              <w:fldChar w:fldCharType="end"/>
            </w:r>
          </w:p>
        </w:tc>
      </w:tr>
      <w:tr w:rsidR="00573F3D" w:rsidRPr="00D53995" w:rsidTr="00A77585">
        <w:trPr>
          <w:cantSplit/>
          <w:trHeight w:val="1124"/>
        </w:trPr>
        <w:tc>
          <w:tcPr>
            <w:tcW w:w="1433" w:type="dxa"/>
            <w:vMerge/>
            <w:tcBorders>
              <w:top w:val="single" w:sz="4" w:space="0" w:color="auto"/>
              <w:left w:val="single" w:sz="4" w:space="0" w:color="auto"/>
              <w:bottom w:val="single" w:sz="4" w:space="0" w:color="auto"/>
            </w:tcBorders>
            <w:shd w:val="clear" w:color="auto" w:fill="D9D9D9" w:themeFill="background1" w:themeFillShade="D9"/>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p>
        </w:tc>
        <w:tc>
          <w:tcPr>
            <w:tcW w:w="4252" w:type="dxa"/>
            <w:tcBorders>
              <w:top w:val="nil"/>
              <w:left w:val="nil"/>
              <w:bottom w:val="single" w:sz="4" w:space="0" w:color="auto"/>
              <w:right w:val="single" w:sz="4" w:space="0" w:color="auto"/>
            </w:tcBorders>
            <w:shd w:val="clear" w:color="auto" w:fill="D9D9D9" w:themeFill="background1" w:themeFillShade="D9"/>
            <w:vAlign w:val="center"/>
            <w:hideMark/>
          </w:tcPr>
          <w:p w:rsidR="00573F3D" w:rsidRPr="00217D48" w:rsidRDefault="001129AE" w:rsidP="002E6FFF">
            <w:pPr>
              <w:spacing w:after="0" w:line="240" w:lineRule="auto"/>
              <w:jc w:val="both"/>
              <w:rPr>
                <w:rFonts w:ascii="Times New Roman" w:eastAsia="Times New Roman" w:hAnsi="Times New Roman" w:cs="Times New Roman"/>
                <w:sz w:val="18"/>
              </w:rPr>
            </w:pPr>
            <w:proofErr w:type="spellStart"/>
            <w:r w:rsidRPr="002E6FFF">
              <w:rPr>
                <w:rFonts w:ascii="Times New Roman" w:eastAsia="Times New Roman" w:hAnsi="Times New Roman" w:cs="Times New Roman"/>
                <w:b/>
                <w:sz w:val="18"/>
              </w:rPr>
              <w:t>Corine</w:t>
            </w:r>
            <w:proofErr w:type="spellEnd"/>
            <w:r w:rsidRPr="002E6FFF">
              <w:rPr>
                <w:rFonts w:ascii="Times New Roman" w:eastAsia="Times New Roman" w:hAnsi="Times New Roman" w:cs="Times New Roman"/>
                <w:b/>
                <w:sz w:val="18"/>
              </w:rPr>
              <w:t xml:space="preserve"> Land Cover (CLC)</w:t>
            </w:r>
            <w:r w:rsidR="00573F3D" w:rsidRPr="002E6FFF">
              <w:rPr>
                <w:rFonts w:ascii="Times New Roman" w:eastAsia="Times New Roman" w:hAnsi="Times New Roman" w:cs="Times New Roman"/>
                <w:b/>
                <w:sz w:val="18"/>
              </w:rPr>
              <w:t xml:space="preserve"> an</w:t>
            </w:r>
            <w:r w:rsidRPr="002E6FFF">
              <w:rPr>
                <w:rFonts w:ascii="Times New Roman" w:eastAsia="Times New Roman" w:hAnsi="Times New Roman" w:cs="Times New Roman"/>
                <w:b/>
                <w:sz w:val="18"/>
              </w:rPr>
              <w:t>d ESA CCI (LUCAS Land use datase</w:t>
            </w:r>
            <w:r w:rsidR="00573F3D" w:rsidRPr="002E6FFF">
              <w:rPr>
                <w:rFonts w:ascii="Times New Roman" w:eastAsia="Times New Roman" w:hAnsi="Times New Roman" w:cs="Times New Roman"/>
                <w:b/>
                <w:sz w:val="18"/>
              </w:rPr>
              <w:t>t as ground truth)</w:t>
            </w:r>
            <w:r w:rsidR="00573F3D" w:rsidRPr="00217D48">
              <w:rPr>
                <w:rFonts w:ascii="Times New Roman" w:eastAsia="Times New Roman" w:hAnsi="Times New Roman" w:cs="Times New Roman"/>
                <w:sz w:val="18"/>
              </w:rPr>
              <w:t xml:space="preserve"> implications for fire modelling</w:t>
            </w:r>
          </w:p>
        </w:tc>
        <w:tc>
          <w:tcPr>
            <w:tcW w:w="5812" w:type="dxa"/>
            <w:tcBorders>
              <w:top w:val="nil"/>
              <w:left w:val="nil"/>
              <w:bottom w:val="single" w:sz="4" w:space="0" w:color="auto"/>
              <w:right w:val="single" w:sz="4" w:space="0" w:color="auto"/>
            </w:tcBorders>
            <w:shd w:val="clear" w:color="auto" w:fill="D9D9D9" w:themeFill="background1" w:themeFillShade="D9"/>
            <w:vAlign w:val="center"/>
            <w:hideMark/>
          </w:tcPr>
          <w:p w:rsidR="00364E40" w:rsidRDefault="00573F3D" w:rsidP="002E6FFF">
            <w:pPr>
              <w:pStyle w:val="ListParagraph"/>
              <w:numPr>
                <w:ilvl w:val="0"/>
                <w:numId w:val="9"/>
              </w:numPr>
              <w:spacing w:after="0" w:line="240" w:lineRule="auto"/>
              <w:jc w:val="both"/>
              <w:rPr>
                <w:rFonts w:ascii="Times New Roman" w:eastAsia="Times New Roman" w:hAnsi="Times New Roman" w:cs="Times New Roman"/>
                <w:sz w:val="18"/>
              </w:rPr>
            </w:pPr>
            <w:r w:rsidRPr="001129AE">
              <w:rPr>
                <w:rFonts w:ascii="Times New Roman" w:eastAsia="Times New Roman" w:hAnsi="Times New Roman" w:cs="Times New Roman"/>
                <w:sz w:val="18"/>
              </w:rPr>
              <w:t xml:space="preserve">CCI-LC </w:t>
            </w:r>
            <w:r w:rsidR="003F4064">
              <w:rPr>
                <w:rFonts w:ascii="Times New Roman" w:eastAsia="Times New Roman" w:hAnsi="Times New Roman" w:cs="Times New Roman"/>
                <w:sz w:val="18"/>
              </w:rPr>
              <w:t>reached</w:t>
            </w:r>
            <w:r w:rsidR="001129AE">
              <w:rPr>
                <w:rFonts w:ascii="Times New Roman" w:eastAsia="Times New Roman" w:hAnsi="Times New Roman" w:cs="Times New Roman"/>
                <w:sz w:val="18"/>
              </w:rPr>
              <w:t xml:space="preserve"> a higher agreement with LUCAS </w:t>
            </w:r>
            <w:r w:rsidRPr="001129AE">
              <w:rPr>
                <w:rFonts w:ascii="Times New Roman" w:eastAsia="Times New Roman" w:hAnsi="Times New Roman" w:cs="Times New Roman"/>
                <w:sz w:val="18"/>
              </w:rPr>
              <w:t xml:space="preserve">than </w:t>
            </w:r>
            <w:r w:rsidR="00A17367">
              <w:rPr>
                <w:rFonts w:ascii="Times New Roman" w:eastAsia="Times New Roman" w:hAnsi="Times New Roman" w:cs="Times New Roman"/>
                <w:sz w:val="18"/>
              </w:rPr>
              <w:t xml:space="preserve">CLC: </w:t>
            </w:r>
            <w:r w:rsidR="001129AE">
              <w:rPr>
                <w:rFonts w:ascii="Times New Roman" w:eastAsia="Times New Roman" w:hAnsi="Times New Roman" w:cs="Times New Roman"/>
                <w:sz w:val="18"/>
              </w:rPr>
              <w:t xml:space="preserve">59% and </w:t>
            </w:r>
            <w:r w:rsidRPr="001129AE">
              <w:rPr>
                <w:rFonts w:ascii="Times New Roman" w:eastAsia="Times New Roman" w:hAnsi="Times New Roman" w:cs="Times New Roman"/>
                <w:sz w:val="18"/>
              </w:rPr>
              <w:t>56%</w:t>
            </w:r>
            <w:r w:rsidR="00A17367">
              <w:rPr>
                <w:rFonts w:ascii="Times New Roman" w:eastAsia="Times New Roman" w:hAnsi="Times New Roman" w:cs="Times New Roman"/>
                <w:sz w:val="18"/>
              </w:rPr>
              <w:t>,</w:t>
            </w:r>
            <w:r w:rsidR="001129AE">
              <w:rPr>
                <w:rFonts w:ascii="Times New Roman" w:eastAsia="Times New Roman" w:hAnsi="Times New Roman" w:cs="Times New Roman"/>
                <w:sz w:val="18"/>
              </w:rPr>
              <w:t xml:space="preserve"> respectively</w:t>
            </w:r>
            <w:r w:rsidRPr="001129AE">
              <w:rPr>
                <w:rFonts w:ascii="Times New Roman" w:eastAsia="Times New Roman" w:hAnsi="Times New Roman" w:cs="Times New Roman"/>
                <w:sz w:val="18"/>
              </w:rPr>
              <w:t>.</w:t>
            </w:r>
          </w:p>
          <w:p w:rsidR="002E6FFF" w:rsidRDefault="002E6FFF" w:rsidP="002E6FFF">
            <w:pPr>
              <w:pStyle w:val="ListParagraph"/>
              <w:numPr>
                <w:ilvl w:val="0"/>
                <w:numId w:val="9"/>
              </w:num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In terms of wildfire occurrence estimation:</w:t>
            </w:r>
          </w:p>
          <w:p w:rsidR="002E6FFF" w:rsidRDefault="002E6FFF" w:rsidP="002E6FFF">
            <w:pPr>
              <w:pStyle w:val="ListParagraph"/>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Both datasets performed similarly at European scale.</w:t>
            </w:r>
          </w:p>
          <w:p w:rsidR="00573F3D" w:rsidRPr="002E6FFF" w:rsidRDefault="002E6FFF" w:rsidP="002E6FFF">
            <w:pPr>
              <w:pStyle w:val="ListParagraph"/>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CLC provided better results at local scale.</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lang w:val="pt-BR"/>
              </w:rPr>
            </w:pPr>
            <w:r>
              <w:rPr>
                <w:rFonts w:ascii="Times New Roman" w:eastAsia="Times New Roman" w:hAnsi="Times New Roman" w:cs="Times New Roman"/>
                <w:sz w:val="18"/>
              </w:rPr>
              <w:fldChar w:fldCharType="begin" w:fldLock="1"/>
            </w:r>
            <w:r w:rsidRPr="00D53995">
              <w:rPr>
                <w:rFonts w:ascii="Times New Roman" w:eastAsia="Times New Roman" w:hAnsi="Times New Roman" w:cs="Times New Roman"/>
                <w:sz w:val="18"/>
                <w:lang w:val="pt-BR"/>
              </w:rPr>
              <w:instrText>ADDIN CSL_CITATION {"citationItems":[{"id":"ITEM-1","itemData":{"DOI":"10.1016/j.jag.2019.01.019","ISSN":"03032434","author":[{"dropping-particle":"","family":"Vilar","given":"L.","non-dropping-particle":"","parse-names":false,"suffix":""},{"dropping-particle":"","family":"Garrido","given":"J.","non-dropping-particle":"","parse-names":false,"suffix":""},{"dropping-particle":"","family":"Echavarría","given":"P.","non-dropping-particle":"","parse-names":false,"suffix":""},{"dropping-particle":"","family":"Martínez-Vega","given":"J.","non-dropping-particle":"","parse-names":false,"suffix":""},{"dropping-particle":"","family":"Martín","given":"M.P.","non-dropping-particle":"","parse-names":false,"suffix":""}],"container-title":"International Journal of Applied Earth Observation and Geoinformation","id":"ITEM-1","issue":"January","issued":{"date-parts":[["2019"]]},"page":"102-117","publisher":"Elsevier","title":"Comparative analysis of CORINE and climate change initiative land cover maps in Europe: Implications for wildfire occurrence estimation at regional and local scales","type":"article-journal</w:instrText>
            </w:r>
            <w:r>
              <w:rPr>
                <w:rFonts w:ascii="Times New Roman" w:eastAsia="Times New Roman" w:hAnsi="Times New Roman" w:cs="Times New Roman"/>
                <w:sz w:val="18"/>
                <w:lang w:val="pt-BR"/>
              </w:rPr>
              <w:instrText>","volume":"78"},"uris":["http://www.mendeley.com/documents/?uuid=1d8688dd-4eb3-4af1-8de7-3516728d2b2e"]}],"mendeley":{"formattedCitation":"(Vilar, Garrido, Echavarría, Martínez-Vega, &amp; Martín, 2019)","plainTextFormattedCitation":"(Vilar, Garrido, Echavarría, Martínez-Vega, &amp; Martín, 2019)","previouslyFormattedCitation":"(Vilar, Garrido, Echavarría, Martínez-Vega, &amp; Martín, 2019)"},"properties":{"noteIndex":0},"schema":"https://github.com/citation-style-language/schema/raw/master/csl-citation.json"}</w:instrText>
            </w:r>
            <w:r>
              <w:rPr>
                <w:rFonts w:ascii="Times New Roman" w:eastAsia="Times New Roman" w:hAnsi="Times New Roman" w:cs="Times New Roman"/>
                <w:sz w:val="18"/>
              </w:rPr>
              <w:fldChar w:fldCharType="separate"/>
            </w:r>
            <w:r w:rsidRPr="00866DD2">
              <w:rPr>
                <w:rFonts w:ascii="Times New Roman" w:eastAsia="Times New Roman" w:hAnsi="Times New Roman" w:cs="Times New Roman"/>
                <w:noProof/>
                <w:sz w:val="18"/>
                <w:lang w:val="pt-BR"/>
              </w:rPr>
              <w:t>Vilar, Garrido, Echavarría, Martínez-Vega, &amp; Martín, (2019)</w:t>
            </w:r>
            <w:r>
              <w:rPr>
                <w:rFonts w:ascii="Times New Roman" w:eastAsia="Times New Roman" w:hAnsi="Times New Roman" w:cs="Times New Roman"/>
                <w:sz w:val="18"/>
              </w:rPr>
              <w:fldChar w:fldCharType="end"/>
            </w:r>
          </w:p>
        </w:tc>
      </w:tr>
      <w:tr w:rsidR="00573F3D" w:rsidRPr="009F1139" w:rsidTr="00A77585">
        <w:trPr>
          <w:cantSplit/>
          <w:trHeight w:val="828"/>
        </w:trPr>
        <w:tc>
          <w:tcPr>
            <w:tcW w:w="1433" w:type="dxa"/>
            <w:vMerge w:val="restart"/>
            <w:tcBorders>
              <w:top w:val="single" w:sz="4" w:space="0" w:color="auto"/>
              <w:left w:val="single" w:sz="4" w:space="0" w:color="auto"/>
              <w:bottom w:val="single" w:sz="4" w:space="0" w:color="auto"/>
            </w:tcBorders>
            <w:shd w:val="clear" w:color="auto" w:fill="FFFFFF" w:themeFill="background1"/>
            <w:noWrap/>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r w:rsidRPr="00217D48">
              <w:rPr>
                <w:rFonts w:ascii="Times New Roman" w:eastAsia="Times New Roman" w:hAnsi="Times New Roman" w:cs="Times New Roman"/>
                <w:b/>
                <w:bCs/>
                <w:sz w:val="18"/>
              </w:rPr>
              <w:t>BA</w:t>
            </w:r>
          </w:p>
        </w:tc>
        <w:tc>
          <w:tcPr>
            <w:tcW w:w="4252" w:type="dxa"/>
            <w:tcBorders>
              <w:top w:val="single" w:sz="4" w:space="0" w:color="auto"/>
              <w:left w:val="nil"/>
              <w:bottom w:val="single" w:sz="4" w:space="0" w:color="auto"/>
              <w:right w:val="single" w:sz="4" w:space="0" w:color="auto"/>
            </w:tcBorders>
            <w:shd w:val="clear" w:color="auto" w:fill="FFFFFF" w:themeFill="background1"/>
            <w:noWrap/>
            <w:vAlign w:val="center"/>
          </w:tcPr>
          <w:p w:rsidR="00573F3D" w:rsidRPr="00217D48" w:rsidRDefault="00573F3D" w:rsidP="0087167C">
            <w:pPr>
              <w:spacing w:after="0" w:line="240" w:lineRule="auto"/>
              <w:jc w:val="both"/>
              <w:rPr>
                <w:rFonts w:ascii="Times New Roman" w:eastAsia="Times New Roman" w:hAnsi="Times New Roman" w:cs="Times New Roman"/>
                <w:sz w:val="18"/>
              </w:rPr>
            </w:pPr>
            <w:r w:rsidRPr="0047117E">
              <w:rPr>
                <w:rFonts w:ascii="Times New Roman" w:eastAsia="Times New Roman" w:hAnsi="Times New Roman" w:cs="Times New Roman"/>
                <w:i/>
                <w:sz w:val="18"/>
              </w:rPr>
              <w:t>FireCCI50</w:t>
            </w:r>
            <w:r w:rsidRPr="00217D48">
              <w:rPr>
                <w:rFonts w:ascii="Times New Roman" w:eastAsia="Times New Roman" w:hAnsi="Times New Roman" w:cs="Times New Roman"/>
                <w:sz w:val="18"/>
              </w:rPr>
              <w:t xml:space="preserve"> </w:t>
            </w:r>
            <w:r w:rsidR="0047117E">
              <w:rPr>
                <w:rFonts w:ascii="Times New Roman" w:eastAsia="Times New Roman" w:hAnsi="Times New Roman" w:cs="Times New Roman"/>
                <w:sz w:val="18"/>
              </w:rPr>
              <w:t xml:space="preserve">(MODIS) </w:t>
            </w:r>
            <w:r w:rsidRPr="00217D48">
              <w:rPr>
                <w:rFonts w:ascii="Times New Roman" w:eastAsia="Times New Roman" w:hAnsi="Times New Roman" w:cs="Times New Roman"/>
                <w:sz w:val="18"/>
              </w:rPr>
              <w:t xml:space="preserve">and </w:t>
            </w:r>
            <w:r w:rsidRPr="0047117E">
              <w:rPr>
                <w:rFonts w:ascii="Times New Roman" w:eastAsia="Times New Roman" w:hAnsi="Times New Roman" w:cs="Times New Roman"/>
                <w:b/>
                <w:sz w:val="18"/>
              </w:rPr>
              <w:t>FireCCI41</w:t>
            </w:r>
            <w:r w:rsidR="0047117E" w:rsidRPr="0047117E">
              <w:rPr>
                <w:rFonts w:ascii="Times New Roman" w:eastAsia="Times New Roman" w:hAnsi="Times New Roman" w:cs="Times New Roman"/>
                <w:b/>
                <w:sz w:val="18"/>
              </w:rPr>
              <w:t xml:space="preserve"> (MERIS)</w:t>
            </w:r>
            <w:r w:rsidRPr="0047117E">
              <w:rPr>
                <w:rFonts w:ascii="Times New Roman" w:eastAsia="Times New Roman" w:hAnsi="Times New Roman" w:cs="Times New Roman"/>
                <w:b/>
                <w:sz w:val="18"/>
              </w:rPr>
              <w:t>,</w:t>
            </w:r>
            <w:r w:rsidRPr="00217D48">
              <w:rPr>
                <w:rFonts w:ascii="Times New Roman" w:eastAsia="Times New Roman" w:hAnsi="Times New Roman" w:cs="Times New Roman"/>
                <w:sz w:val="18"/>
              </w:rPr>
              <w:t xml:space="preserve"> </w:t>
            </w:r>
            <w:r w:rsidRPr="003B7A61">
              <w:rPr>
                <w:rFonts w:ascii="Times New Roman" w:eastAsia="Times New Roman" w:hAnsi="Times New Roman" w:cs="Times New Roman"/>
                <w:i/>
                <w:sz w:val="18"/>
              </w:rPr>
              <w:t>GFED4</w:t>
            </w:r>
            <w:r w:rsidRPr="00217D48">
              <w:rPr>
                <w:rFonts w:ascii="Times New Roman" w:eastAsia="Times New Roman" w:hAnsi="Times New Roman" w:cs="Times New Roman"/>
                <w:sz w:val="18"/>
              </w:rPr>
              <w:t xml:space="preserve"> and </w:t>
            </w:r>
            <w:r w:rsidRPr="0047117E">
              <w:rPr>
                <w:rFonts w:ascii="Times New Roman" w:eastAsia="Times New Roman" w:hAnsi="Times New Roman" w:cs="Times New Roman"/>
                <w:i/>
                <w:sz w:val="18"/>
              </w:rPr>
              <w:t>MCD64A1</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3B7A61" w:rsidRDefault="003B7A61" w:rsidP="003B7A61">
            <w:pPr>
              <w:pStyle w:val="ListParagraph"/>
              <w:numPr>
                <w:ilvl w:val="0"/>
                <w:numId w:val="12"/>
              </w:num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T</w:t>
            </w:r>
            <w:r w:rsidRPr="0047117E">
              <w:rPr>
                <w:rFonts w:ascii="Times New Roman" w:eastAsia="Times New Roman" w:hAnsi="Times New Roman" w:cs="Times New Roman"/>
                <w:sz w:val="18"/>
              </w:rPr>
              <w:t xml:space="preserve">emporal and spatial trends </w:t>
            </w:r>
            <w:r w:rsidR="007E0431">
              <w:rPr>
                <w:rFonts w:ascii="Times New Roman" w:eastAsia="Times New Roman" w:hAnsi="Times New Roman" w:cs="Times New Roman"/>
                <w:sz w:val="18"/>
              </w:rPr>
              <w:t>we</w:t>
            </w:r>
            <w:r>
              <w:rPr>
                <w:rFonts w:ascii="Times New Roman" w:eastAsia="Times New Roman" w:hAnsi="Times New Roman" w:cs="Times New Roman"/>
                <w:sz w:val="18"/>
              </w:rPr>
              <w:t xml:space="preserve">re consistent among compared products. </w:t>
            </w:r>
          </w:p>
          <w:p w:rsidR="00573F3D" w:rsidRPr="0047117E" w:rsidRDefault="003B7A61" w:rsidP="003B7A61">
            <w:pPr>
              <w:pStyle w:val="ListParagraph"/>
              <w:numPr>
                <w:ilvl w:val="0"/>
                <w:numId w:val="12"/>
              </w:num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FireCCI50 detect</w:t>
            </w:r>
            <w:r w:rsidR="007E0431">
              <w:rPr>
                <w:rFonts w:ascii="Times New Roman" w:eastAsia="Times New Roman" w:hAnsi="Times New Roman" w:cs="Times New Roman"/>
                <w:sz w:val="18"/>
              </w:rPr>
              <w:t>ed</w:t>
            </w:r>
            <w:r>
              <w:rPr>
                <w:rFonts w:ascii="Times New Roman" w:eastAsia="Times New Roman" w:hAnsi="Times New Roman" w:cs="Times New Roman"/>
                <w:sz w:val="18"/>
              </w:rPr>
              <w:t xml:space="preserve"> small</w:t>
            </w:r>
            <w:r w:rsidR="00573F3D" w:rsidRPr="0047117E">
              <w:rPr>
                <w:rFonts w:ascii="Times New Roman" w:eastAsia="Times New Roman" w:hAnsi="Times New Roman" w:cs="Times New Roman"/>
                <w:sz w:val="18"/>
              </w:rPr>
              <w:t xml:space="preserve"> fire patches </w:t>
            </w:r>
            <w:r>
              <w:rPr>
                <w:rFonts w:ascii="Times New Roman" w:eastAsia="Times New Roman" w:hAnsi="Times New Roman" w:cs="Times New Roman"/>
                <w:sz w:val="18"/>
              </w:rPr>
              <w:t>better than previous</w:t>
            </w:r>
            <w:r w:rsidR="00573F3D" w:rsidRPr="0047117E">
              <w:rPr>
                <w:rFonts w:ascii="Times New Roman" w:eastAsia="Times New Roman" w:hAnsi="Times New Roman" w:cs="Times New Roman"/>
                <w:sz w:val="18"/>
              </w:rPr>
              <w:t xml:space="preserve"> </w:t>
            </w:r>
            <w:r>
              <w:rPr>
                <w:rFonts w:ascii="Times New Roman" w:eastAsia="Times New Roman" w:hAnsi="Times New Roman" w:cs="Times New Roman"/>
                <w:sz w:val="18"/>
              </w:rPr>
              <w:t>versions.</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{"citationItems":[{"id":"ITEM-1","itemData":{"DOI":"10.1111/geb.12440","ISBN":"0029761905","ISSN":"14668238","abstract":"Aim This paper presents a new global burned area (BA) product developed within the framework of the European Space Agency's Climate Change Initiative (CCI) programme, along with a first assessment of its potentials for atmospheric and carbon cycle modelling. Innovation Methods are presented for generating a new global BA product, along with a comparison with existing BA products, in terms of BA extension, fire size and shapes and emissions derived from biomass burnings. Main conclusions Three years of the global BA product were produced, accounting for a total BA of between 360 and 380 Mha year−1. General omission and commission errors for BA were 0.76 and 0.64, but they decreased to 0.51 and 0.52, respectively, for sites with more than 10% BA. Intercomparison with other existing BA datasets found similar spatial and temporal trends, mainly with the BA included in the Global Fire Emissions Database (GFED4), although regional differences were found (particularly in the 2006 fires of eastern Europe). The simulated carbon emissions from biomass burning averaged 2.1 Pg C year−1.","author":[{"dropping-particle":"","family":"Chuvieco","given":"Emilio","non-dropping-particle":"","parse-names":false,"suffix":""},{"dropping-particle":"","family":"Yue","given":"Chao","non-dropping-particle":"","parse-names":false,"suffix":""},{"dropping-particle":"","family":"Heil","given":"Angelika","non-dropping-particle":"","parse-names":false,"suffix":""},{"dropping-particle":"","family":"Mouillot","given":"Florent","non-dropping-particle":"","parse-names":false,"suffix":""},{"dropping-particle":"","family":"Alonso-Canas","given":"Itziar","non-dropping-particle":"","parse-names":false,"suffix":""},{"dropping-particle":"","family":"Padilla","given":"Marc","non-dropping-particle":"","parse-names":false,"suffix":""},{"dropping-particle":"","family":"Pereira","given":"Jose Miguel","non-dropping-particle":"","parse-names":false,"suffix":""},{"dropping-particle":"","family":"Oom","given":"Duarte","non-dropping-particle":"","parse-names":false,"suffix":""},{"dropping-particle":"","family":"Tansey","given":"Kevin","non-dropping-particle":"","parse-names":false,"suffix":""}],"container-title":"Global Ecology and Biogeography","id":"ITEM-1","issue":"5","issued":{"date-parts":[["2016"]]},"page":"619-629","title":"A new global burned area product for climate assessment of fire impacts","type":"article-journal","volume":"25"},"uris":["http://www.mendeley.com/documents/?uuid=d923e1fd-0d00-4eb5-aa9d-6c1973fb59c3"]}],"mendeley":{"formattedCitation":"(Chuvieco et al., 2016)","plainTextFormattedCitation":"(Chuvieco et al., 2016)","previouslyFormattedCitation":"(Chuvieco et al., 2016)"},"properties":{"noteIndex":0},"schema":"https://github.com/citation-style-language/schema/raw/master/csl-citation.json"}</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Chuvieco et al.</w:t>
            </w:r>
            <w:r w:rsidRPr="00866DD2">
              <w:rPr>
                <w:rFonts w:ascii="Times New Roman" w:eastAsia="Times New Roman" w:hAnsi="Times New Roman" w:cs="Times New Roman"/>
                <w:noProof/>
                <w:sz w:val="18"/>
              </w:rPr>
              <w:t xml:space="preserve"> </w:t>
            </w:r>
            <w:r w:rsidRPr="009F1139">
              <w:rPr>
                <w:rFonts w:ascii="Times New Roman" w:eastAsia="Times New Roman" w:hAnsi="Times New Roman" w:cs="Times New Roman"/>
                <w:noProof/>
                <w:sz w:val="18"/>
              </w:rPr>
              <w:t>(</w:t>
            </w:r>
            <w:r w:rsidRPr="00866DD2">
              <w:rPr>
                <w:rFonts w:ascii="Times New Roman" w:eastAsia="Times New Roman" w:hAnsi="Times New Roman" w:cs="Times New Roman"/>
                <w:noProof/>
                <w:sz w:val="18"/>
              </w:rPr>
              <w:t>2016)</w:t>
            </w:r>
            <w:r>
              <w:rPr>
                <w:rFonts w:ascii="Times New Roman" w:eastAsia="Times New Roman" w:hAnsi="Times New Roman" w:cs="Times New Roman"/>
                <w:sz w:val="18"/>
              </w:rPr>
              <w:fldChar w:fldCharType="end"/>
            </w:r>
          </w:p>
        </w:tc>
      </w:tr>
      <w:tr w:rsidR="00573F3D" w:rsidRPr="009F1139" w:rsidTr="00A77585">
        <w:trPr>
          <w:cantSplit/>
          <w:trHeight w:val="1020"/>
        </w:trPr>
        <w:tc>
          <w:tcPr>
            <w:tcW w:w="1433" w:type="dxa"/>
            <w:vMerge/>
            <w:tcBorders>
              <w:top w:val="single" w:sz="4" w:space="0" w:color="auto"/>
              <w:left w:val="single" w:sz="4" w:space="0" w:color="auto"/>
              <w:bottom w:val="single" w:sz="4" w:space="0" w:color="auto"/>
            </w:tcBorders>
            <w:shd w:val="clear" w:color="auto" w:fill="FFFFFF" w:themeFill="background1"/>
            <w:vAlign w:val="center"/>
            <w:hideMark/>
          </w:tcPr>
          <w:p w:rsidR="00573F3D" w:rsidRPr="00217D48" w:rsidRDefault="00573F3D" w:rsidP="00B664F3">
            <w:pPr>
              <w:spacing w:after="0" w:line="240" w:lineRule="auto"/>
              <w:jc w:val="center"/>
              <w:rPr>
                <w:rFonts w:ascii="Times New Roman" w:eastAsia="Times New Roman" w:hAnsi="Times New Roman" w:cs="Times New Roman"/>
                <w:b/>
                <w:bCs/>
                <w:sz w:val="18"/>
              </w:rPr>
            </w:pP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hideMark/>
          </w:tcPr>
          <w:p w:rsidR="00573F3D" w:rsidRPr="00217D48" w:rsidRDefault="00573F3D" w:rsidP="0087167C">
            <w:pPr>
              <w:spacing w:after="0" w:line="240" w:lineRule="auto"/>
              <w:jc w:val="both"/>
              <w:rPr>
                <w:rFonts w:ascii="Times New Roman" w:eastAsia="Times New Roman" w:hAnsi="Times New Roman" w:cs="Times New Roman"/>
                <w:sz w:val="18"/>
              </w:rPr>
            </w:pPr>
            <w:r w:rsidRPr="00217D48">
              <w:rPr>
                <w:rFonts w:ascii="Times New Roman" w:eastAsia="Times New Roman" w:hAnsi="Times New Roman" w:cs="Times New Roman"/>
                <w:b/>
                <w:bCs/>
                <w:sz w:val="18"/>
                <w:u w:val="single"/>
              </w:rPr>
              <w:t>Hybrid product using MERIS and MODIS product (ESA FIRE_CCI project)</w:t>
            </w:r>
            <w:r w:rsidRPr="00217D48">
              <w:rPr>
                <w:rFonts w:ascii="Times New Roman" w:eastAsia="Times New Roman" w:hAnsi="Times New Roman" w:cs="Times New Roman"/>
                <w:b/>
                <w:bCs/>
                <w:sz w:val="18"/>
              </w:rPr>
              <w:t xml:space="preserve"> </w:t>
            </w:r>
            <w:r w:rsidRPr="00217D48">
              <w:rPr>
                <w:rFonts w:ascii="Times New Roman" w:eastAsia="Times New Roman" w:hAnsi="Times New Roman" w:cs="Times New Roman"/>
                <w:sz w:val="18"/>
              </w:rPr>
              <w:t xml:space="preserve">compared with existing </w:t>
            </w:r>
            <w:r w:rsidR="00E20D82">
              <w:rPr>
                <w:rFonts w:ascii="Times New Roman" w:eastAsia="Times New Roman" w:hAnsi="Times New Roman" w:cs="Times New Roman"/>
                <w:bCs/>
                <w:i/>
                <w:sz w:val="18"/>
              </w:rPr>
              <w:t>MODIS Burned Area (BA)</w:t>
            </w:r>
            <w:r w:rsidRPr="00217D48">
              <w:rPr>
                <w:rFonts w:ascii="Times New Roman" w:eastAsia="Times New Roman" w:hAnsi="Times New Roman" w:cs="Times New Roman"/>
                <w:bCs/>
                <w:i/>
                <w:sz w:val="18"/>
              </w:rPr>
              <w:t xml:space="preserve"> products</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hideMark/>
          </w:tcPr>
          <w:p w:rsidR="00F7402A" w:rsidRDefault="00F7402A" w:rsidP="00F7402A">
            <w:pPr>
              <w:pStyle w:val="ListParagraph"/>
              <w:numPr>
                <w:ilvl w:val="0"/>
                <w:numId w:val="13"/>
              </w:num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MERIS BA accuracy </w:t>
            </w:r>
            <w:r w:rsidR="00E20D82">
              <w:rPr>
                <w:rFonts w:ascii="Times New Roman" w:eastAsia="Times New Roman" w:hAnsi="Times New Roman" w:cs="Times New Roman"/>
                <w:sz w:val="18"/>
              </w:rPr>
              <w:t>wa</w:t>
            </w:r>
            <w:r>
              <w:rPr>
                <w:rFonts w:ascii="Times New Roman" w:eastAsia="Times New Roman" w:hAnsi="Times New Roman" w:cs="Times New Roman"/>
                <w:sz w:val="18"/>
              </w:rPr>
              <w:t xml:space="preserve">s in line with </w:t>
            </w:r>
            <w:r w:rsidRPr="00F7402A">
              <w:rPr>
                <w:rFonts w:ascii="Times New Roman" w:eastAsia="Times New Roman" w:hAnsi="Times New Roman" w:cs="Times New Roman"/>
                <w:sz w:val="18"/>
              </w:rPr>
              <w:t>MODIS BA products</w:t>
            </w:r>
            <w:r w:rsidR="00E20D82">
              <w:rPr>
                <w:rFonts w:ascii="Times New Roman" w:eastAsia="Times New Roman" w:hAnsi="Times New Roman" w:cs="Times New Roman"/>
                <w:sz w:val="18"/>
              </w:rPr>
              <w:t xml:space="preserve"> (MCD45 and MCD64) (overall accuracy higher than 0.99)</w:t>
            </w:r>
            <w:r>
              <w:rPr>
                <w:rFonts w:ascii="Times New Roman" w:eastAsia="Times New Roman" w:hAnsi="Times New Roman" w:cs="Times New Roman"/>
                <w:sz w:val="18"/>
              </w:rPr>
              <w:t>.</w:t>
            </w:r>
          </w:p>
          <w:p w:rsidR="00F7402A" w:rsidRDefault="00E20D82" w:rsidP="00F7402A">
            <w:pPr>
              <w:pStyle w:val="ListParagraph"/>
              <w:numPr>
                <w:ilvl w:val="0"/>
                <w:numId w:val="13"/>
              </w:num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MERIS, GEFD v4 and MCD45 achieved high agreement </w:t>
            </w:r>
            <w:r w:rsidRPr="00217D48">
              <w:rPr>
                <w:rFonts w:ascii="Times New Roman" w:eastAsia="Times New Roman" w:hAnsi="Times New Roman" w:cs="Times New Roman"/>
                <w:sz w:val="18"/>
              </w:rPr>
              <w:t>(r</w:t>
            </w:r>
            <w:r w:rsidRPr="00E20D82">
              <w:rPr>
                <w:rFonts w:ascii="Times New Roman" w:eastAsia="Times New Roman" w:hAnsi="Times New Roman" w:cs="Times New Roman"/>
                <w:sz w:val="18"/>
                <w:vertAlign w:val="superscript"/>
              </w:rPr>
              <w:t>2</w:t>
            </w:r>
            <w:r w:rsidRPr="00217D48">
              <w:rPr>
                <w:rFonts w:ascii="Times New Roman" w:eastAsia="Times New Roman" w:hAnsi="Times New Roman" w:cs="Times New Roman"/>
                <w:sz w:val="18"/>
              </w:rPr>
              <w:t xml:space="preserve"> &gt; 0.99)</w:t>
            </w:r>
            <w:r w:rsidR="00F7402A">
              <w:rPr>
                <w:rFonts w:ascii="Times New Roman" w:eastAsia="Times New Roman" w:hAnsi="Times New Roman" w:cs="Times New Roman"/>
                <w:sz w:val="18"/>
              </w:rPr>
              <w:t>.</w:t>
            </w:r>
          </w:p>
          <w:p w:rsidR="00573F3D" w:rsidRPr="00782D7D" w:rsidRDefault="007E0431" w:rsidP="00A17367">
            <w:pPr>
              <w:pStyle w:val="ListParagraph"/>
              <w:numPr>
                <w:ilvl w:val="0"/>
                <w:numId w:val="13"/>
              </w:num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Seasonal trends </w:t>
            </w:r>
            <w:r w:rsidR="00A17367">
              <w:rPr>
                <w:rFonts w:ascii="Times New Roman" w:eastAsia="Times New Roman" w:hAnsi="Times New Roman" w:cs="Times New Roman"/>
                <w:sz w:val="18"/>
              </w:rPr>
              <w:t xml:space="preserve">between BA MERIS and existing products </w:t>
            </w:r>
            <w:r>
              <w:rPr>
                <w:rFonts w:ascii="Times New Roman" w:eastAsia="Times New Roman" w:hAnsi="Times New Roman" w:cs="Times New Roman"/>
                <w:sz w:val="18"/>
              </w:rPr>
              <w:t>we</w:t>
            </w:r>
            <w:r w:rsidR="00E20D82">
              <w:rPr>
                <w:rFonts w:ascii="Times New Roman" w:eastAsia="Times New Roman" w:hAnsi="Times New Roman" w:cs="Times New Roman"/>
                <w:sz w:val="18"/>
              </w:rPr>
              <w:t xml:space="preserve">re similar (e.g. </w:t>
            </w:r>
            <w:r w:rsidR="00782D7D">
              <w:rPr>
                <w:rFonts w:ascii="Times New Roman" w:eastAsia="Times New Roman" w:hAnsi="Times New Roman" w:cs="Times New Roman"/>
                <w:sz w:val="18"/>
              </w:rPr>
              <w:t>magnitude through temporal series</w:t>
            </w:r>
            <w:r w:rsidR="00E20D82">
              <w:rPr>
                <w:rFonts w:ascii="Times New Roman" w:eastAsia="Times New Roman" w:hAnsi="Times New Roman" w:cs="Times New Roman"/>
                <w:sz w:val="18"/>
              </w:rPr>
              <w:t>)</w:t>
            </w:r>
            <w:r w:rsidR="00782D7D">
              <w:rPr>
                <w:rFonts w:ascii="Times New Roman" w:eastAsia="Times New Roman" w:hAnsi="Times New Roman" w:cs="Times New Roman"/>
                <w:sz w:val="18"/>
              </w:rPr>
              <w:t>.</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73F3D" w:rsidRPr="00217D48" w:rsidRDefault="00573F3D" w:rsidP="00B664F3">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fldChar w:fldCharType="begin" w:fldLock="1"/>
            </w:r>
            <w:r>
              <w:rPr>
                <w:rFonts w:ascii="Times New Roman" w:eastAsia="Times New Roman" w:hAnsi="Times New Roman" w:cs="Times New Roman"/>
                <w:sz w:val="18"/>
              </w:rPr>
              <w:instrText>ADDIN CSL_CITATION {"citationItems":[{"id":"ITEM-1","itemData":{"DOI":"10.1016/j.rse.2015.03.011","ISBN":"0034-4257","ISSN":"00344257","abstract":"We present the development of a global burned area (BA) algorithm based on MERIS imagery along with the assessment of the global BA results for three years (2006-2008). This work was developed within the Fire Disturbance project under the European Space Agency Climate Change Initiative programme, which aimed to generate long-term BA information for climate models. Our algorithm combined temporal series of MERIS reflectances with thermal information from MODIS HS (hotspot) product. The algorithm included two-steps. Firstly, cumulative distribution functions were computed to discriminate the most clearly burned pixels using regionally-oriented near infrared reflectance thresholds. Secondly, a contextual criterion improved the spatial detection of the burned patches from the seed pixels. BA estimates for the three target years range from 3.6 to 3.8million km2. Results were validated from a statistically designed sample of fire perimeters generated from Landsat multi-temporal imagery. Intercomparison with existing BA products was also carried out. Results from global validation datasets provided an average overall accuracy higher than 0.95. The accuracy of the BA category was lower than the accuracy of the unburned one. Within the former, average omission and commission errors were lower for areas where the proportion of burned area was higher (for pixel-based error matrices, commission error (CE) was 0.52 and omission error (OE) was 0.51), than for those areas with very low BA proportion (CE=0.60 and OE=0.74). In terms of total BA estimation, errors were generally well balanced, with a tendency towards underestimation (34%). Relevant impact of temporal reporting accuracy was found for these validation datasets. Intercomparison with other existing BA datasets pointed out similar spatial and temporal trends, with high correlation with GFED v4 BA estimations for the three years (r2&gt;0.974).","author":[{"dropping-particle":"","family":"Alonso-Canas","given":"Itziar","non-dropping-particle":"","parse-names":false,"suffix":""},{"dropping-particle":"","family":"Chuvieco","given":"Emilio","non-dropping-particle":"","parse-names":false,"suffix":""}],"container-title":"Remote Sensing of Environment","id":"ITEM-1","issued":{"date-parts":[["2015"]]},"page":"140-152","publisher":"Elsevier Inc.","title":"Global burned area mapping from ENVISAT-MERIS and MODIS active fire data","type":"article-journal","volume":"163"},"uris":["http://www.mendeley.com/documents/?uuid=9ad28b85-bad1-471d-b313-34fe3bddee70"]}],"mendeley":{"formattedCitation":"(Alonso-Canas &amp; Chuvieco, 2015)","plainTextFormattedCitation":"(Alonso-Canas &amp; Chuvieco, 2015)","previouslyFormattedCitation":"(Alonso-Canas &amp; Chuvieco, 2015)"},"properties":{"noteIndex":0},"schema":"https://github.com/citation-style-language/schema/raw/master/csl-citation.json"}</w:instrText>
            </w:r>
            <w:r>
              <w:rPr>
                <w:rFonts w:ascii="Times New Roman" w:eastAsia="Times New Roman" w:hAnsi="Times New Roman" w:cs="Times New Roman"/>
                <w:sz w:val="18"/>
              </w:rPr>
              <w:fldChar w:fldCharType="separate"/>
            </w:r>
            <w:r w:rsidRPr="00866DD2">
              <w:rPr>
                <w:rFonts w:ascii="Times New Roman" w:eastAsia="Times New Roman" w:hAnsi="Times New Roman" w:cs="Times New Roman"/>
                <w:noProof/>
                <w:sz w:val="18"/>
              </w:rPr>
              <w:t xml:space="preserve">Alonso-Canas &amp; Chuvieco, </w:t>
            </w:r>
            <w:r w:rsidRPr="009F1139">
              <w:rPr>
                <w:rFonts w:ascii="Times New Roman" w:eastAsia="Times New Roman" w:hAnsi="Times New Roman" w:cs="Times New Roman"/>
                <w:noProof/>
                <w:sz w:val="18"/>
              </w:rPr>
              <w:t>(</w:t>
            </w:r>
            <w:r w:rsidRPr="00866DD2">
              <w:rPr>
                <w:rFonts w:ascii="Times New Roman" w:eastAsia="Times New Roman" w:hAnsi="Times New Roman" w:cs="Times New Roman"/>
                <w:noProof/>
                <w:sz w:val="18"/>
              </w:rPr>
              <w:t>2015)</w:t>
            </w:r>
            <w:r>
              <w:rPr>
                <w:rFonts w:ascii="Times New Roman" w:eastAsia="Times New Roman" w:hAnsi="Times New Roman" w:cs="Times New Roman"/>
                <w:sz w:val="18"/>
              </w:rPr>
              <w:fldChar w:fldCharType="end"/>
            </w:r>
          </w:p>
        </w:tc>
      </w:tr>
    </w:tbl>
    <w:p w:rsidR="00217D48" w:rsidRPr="00D53995" w:rsidRDefault="00217D48">
      <w:pPr>
        <w:rPr>
          <w:rFonts w:ascii="Times New Roman" w:hAnsi="Times New Roman" w:cs="Times New Roman"/>
        </w:rPr>
      </w:pPr>
    </w:p>
    <w:p w:rsidR="001637FC" w:rsidRPr="00D53995" w:rsidRDefault="001637FC">
      <w:pPr>
        <w:rPr>
          <w:rFonts w:ascii="Times New Roman" w:hAnsi="Times New Roman" w:cs="Times New Roman"/>
        </w:rPr>
      </w:pPr>
    </w:p>
    <w:p w:rsidR="00217D48" w:rsidRPr="00D53995" w:rsidRDefault="009F1139">
      <w:pPr>
        <w:rPr>
          <w:rFonts w:ascii="Times New Roman" w:hAnsi="Times New Roman" w:cs="Times New Roman"/>
        </w:rPr>
      </w:pPr>
      <w:r w:rsidRPr="00D53995">
        <w:rPr>
          <w:rFonts w:ascii="Times New Roman" w:hAnsi="Times New Roman" w:cs="Times New Roman"/>
        </w:rPr>
        <w:lastRenderedPageBreak/>
        <w:t>References</w:t>
      </w:r>
    </w:p>
    <w:p w:rsidR="00866DD2" w:rsidRPr="00866DD2" w:rsidRDefault="009F1139" w:rsidP="00866DD2">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lang w:val="pt-BR"/>
        </w:rPr>
        <w:fldChar w:fldCharType="begin" w:fldLock="1"/>
      </w:r>
      <w:r w:rsidRPr="00D53995">
        <w:rPr>
          <w:rFonts w:ascii="Times New Roman" w:hAnsi="Times New Roman" w:cs="Times New Roman"/>
        </w:rPr>
        <w:instrText xml:space="preserve">ADDIN Mendeley Bibliography CSL_BIBLIOGRAPHY </w:instrText>
      </w:r>
      <w:r>
        <w:rPr>
          <w:rFonts w:ascii="Times New Roman" w:hAnsi="Times New Roman" w:cs="Times New Roman"/>
          <w:lang w:val="pt-BR"/>
        </w:rPr>
        <w:fldChar w:fldCharType="separate"/>
      </w:r>
      <w:r w:rsidR="00866DD2" w:rsidRPr="007710C0">
        <w:rPr>
          <w:rFonts w:ascii="Times New Roman" w:hAnsi="Times New Roman" w:cs="Times New Roman"/>
          <w:noProof/>
          <w:szCs w:val="24"/>
          <w:lang w:val="es-ES"/>
        </w:rPr>
        <w:t xml:space="preserve">Alonso-Canas, I., &amp; Chuvieco, E. (2015). </w:t>
      </w:r>
      <w:r w:rsidR="00866DD2" w:rsidRPr="00866DD2">
        <w:rPr>
          <w:rFonts w:ascii="Times New Roman" w:hAnsi="Times New Roman" w:cs="Times New Roman"/>
          <w:noProof/>
          <w:szCs w:val="24"/>
        </w:rPr>
        <w:t xml:space="preserve">Global burned area mapping from ENVISAT-MERIS and MODIS active fire data. </w:t>
      </w:r>
      <w:r w:rsidR="00866DD2" w:rsidRPr="00866DD2">
        <w:rPr>
          <w:rFonts w:ascii="Times New Roman" w:hAnsi="Times New Roman" w:cs="Times New Roman"/>
          <w:i/>
          <w:iCs/>
          <w:noProof/>
          <w:szCs w:val="24"/>
        </w:rPr>
        <w:t>Remote Sensing of Environment</w:t>
      </w:r>
      <w:r w:rsidR="00866DD2" w:rsidRPr="00866DD2">
        <w:rPr>
          <w:rFonts w:ascii="Times New Roman" w:hAnsi="Times New Roman" w:cs="Times New Roman"/>
          <w:noProof/>
          <w:szCs w:val="24"/>
        </w:rPr>
        <w:t xml:space="preserve">, </w:t>
      </w:r>
      <w:r w:rsidR="00866DD2" w:rsidRPr="00866DD2">
        <w:rPr>
          <w:rFonts w:ascii="Times New Roman" w:hAnsi="Times New Roman" w:cs="Times New Roman"/>
          <w:i/>
          <w:iCs/>
          <w:noProof/>
          <w:szCs w:val="24"/>
        </w:rPr>
        <w:t>163</w:t>
      </w:r>
      <w:r w:rsidR="00866DD2" w:rsidRPr="00866DD2">
        <w:rPr>
          <w:rFonts w:ascii="Times New Roman" w:hAnsi="Times New Roman" w:cs="Times New Roman"/>
          <w:noProof/>
          <w:szCs w:val="24"/>
        </w:rPr>
        <w:t>, 140–152. https://doi.org/10.1016/j.rse.2015.03.011</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Camacho, F., Cernicharo, J., Lacaze, R., Baret, F., &amp; Weiss, M. (2013). GEOV1: LAI, FAPAR essential climate variables and FCOVER global time series capitalizing over existing products. Part 2: Validation and intercomparison with reference products.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137</w:t>
      </w:r>
      <w:r w:rsidRPr="00866DD2">
        <w:rPr>
          <w:rFonts w:ascii="Times New Roman" w:hAnsi="Times New Roman" w:cs="Times New Roman"/>
          <w:noProof/>
          <w:szCs w:val="24"/>
        </w:rPr>
        <w:t>, 310–329. https://doi.org/10.1016/j.rse.2013.02.030</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7710C0">
        <w:rPr>
          <w:rFonts w:ascii="Times New Roman" w:hAnsi="Times New Roman" w:cs="Times New Roman"/>
          <w:noProof/>
          <w:szCs w:val="24"/>
          <w:lang w:val="es-ES"/>
        </w:rPr>
        <w:t xml:space="preserve">Chuvieco, E., Yue, C., Heil, A., Mouillot, F., Alonso-Canas, I., Padilla, M., … </w:t>
      </w:r>
      <w:r w:rsidRPr="00866DD2">
        <w:rPr>
          <w:rFonts w:ascii="Times New Roman" w:hAnsi="Times New Roman" w:cs="Times New Roman"/>
          <w:noProof/>
          <w:szCs w:val="24"/>
        </w:rPr>
        <w:t xml:space="preserve">Tansey, K. (2016). A new global burned area product for climate assessment of fire impacts. </w:t>
      </w:r>
      <w:r w:rsidRPr="00866DD2">
        <w:rPr>
          <w:rFonts w:ascii="Times New Roman" w:hAnsi="Times New Roman" w:cs="Times New Roman"/>
          <w:i/>
          <w:iCs/>
          <w:noProof/>
          <w:szCs w:val="24"/>
        </w:rPr>
        <w:t>Global Ecology and Biogeography</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25</w:t>
      </w:r>
      <w:r w:rsidRPr="00866DD2">
        <w:rPr>
          <w:rFonts w:ascii="Times New Roman" w:hAnsi="Times New Roman" w:cs="Times New Roman"/>
          <w:noProof/>
          <w:szCs w:val="24"/>
        </w:rPr>
        <w:t>(5), 619–629. https://doi.org/10.1111/geb.12440</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Claverie, M., Vermote, E. F., Weiss, M., Baret, F., Hagolle, O., &amp; Demarez, V. (2013). Validation of coarse spatial resolution LAI and FAPAR time series over cropland in southwest France.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139</w:t>
      </w:r>
      <w:r w:rsidRPr="00866DD2">
        <w:rPr>
          <w:rFonts w:ascii="Times New Roman" w:hAnsi="Times New Roman" w:cs="Times New Roman"/>
          <w:noProof/>
          <w:szCs w:val="24"/>
        </w:rPr>
        <w:t>, 216–230. https://doi.org/10.1016/j.rse.2013.07.027</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Fensholt, R., &amp; Proud, S. R. (2012). Evaluation of Earth Observation based global long term vegetation trends - Comparing GIMMS and MODIS global NDVI time series.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119</w:t>
      </w:r>
      <w:r w:rsidRPr="00866DD2">
        <w:rPr>
          <w:rFonts w:ascii="Times New Roman" w:hAnsi="Times New Roman" w:cs="Times New Roman"/>
          <w:noProof/>
          <w:szCs w:val="24"/>
        </w:rPr>
        <w:t>, 131–147. https://doi.org/10.1016/j.rse.2011.12.015</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Garrigues, S., Lacaze, R., Baret, F., Morisette, J. T., Weiss, M., Nickeson, J. E., … Yang, W. (2008). Validation and intercomparison of global Leaf Area Index products derived from remote sensing data. </w:t>
      </w:r>
      <w:r w:rsidRPr="00866DD2">
        <w:rPr>
          <w:rFonts w:ascii="Times New Roman" w:hAnsi="Times New Roman" w:cs="Times New Roman"/>
          <w:i/>
          <w:iCs/>
          <w:noProof/>
          <w:szCs w:val="24"/>
        </w:rPr>
        <w:t>Journal of Geophysical Research: Biogeosciences</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113</w:t>
      </w:r>
      <w:r w:rsidRPr="00866DD2">
        <w:rPr>
          <w:rFonts w:ascii="Times New Roman" w:hAnsi="Times New Roman" w:cs="Times New Roman"/>
          <w:noProof/>
          <w:szCs w:val="24"/>
        </w:rPr>
        <w:t>(2). https://doi.org/10.1029/2007JG000635</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McCallum, I., Wagner, W., Schmullius, C., Shvidenko, A., Obersteiner, M., Fritz, S., &amp; Nilsson, S. (2010). Comparison of four global FAPAR datasets over Northern Eurasia for the year 2000.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114</w:t>
      </w:r>
      <w:r w:rsidRPr="00866DD2">
        <w:rPr>
          <w:rFonts w:ascii="Times New Roman" w:hAnsi="Times New Roman" w:cs="Times New Roman"/>
          <w:noProof/>
          <w:szCs w:val="24"/>
        </w:rPr>
        <w:t>(5), 941–949. https://doi.org/10.1016/j.rse.2009.12.009</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Mu, X., Huang, S., Ren, H., Yan, G., Song, W., &amp; Ruan, G. (2015). Validating GEOV1 fractional vegetation cover derived from coarse-resolution remote sensing images over croplands. </w:t>
      </w:r>
      <w:r w:rsidRPr="00866DD2">
        <w:rPr>
          <w:rFonts w:ascii="Times New Roman" w:hAnsi="Times New Roman" w:cs="Times New Roman"/>
          <w:i/>
          <w:iCs/>
          <w:noProof/>
          <w:szCs w:val="24"/>
        </w:rPr>
        <w:t>IEEE Journal of Selected Topics in Applied Earth Observations and Remote Sensing</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8</w:t>
      </w:r>
      <w:r w:rsidRPr="00866DD2">
        <w:rPr>
          <w:rFonts w:ascii="Times New Roman" w:hAnsi="Times New Roman" w:cs="Times New Roman"/>
          <w:noProof/>
          <w:szCs w:val="24"/>
        </w:rPr>
        <w:t>(2), 439–446. https://doi.org/10.1109/JSTARS.2014.2342257</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Niclòs, R., Valiente, J. A., Barberà, M. J., &amp; Coll, C. (2015). An autonomous system to take angular thermal-infrared measurements for validating satellite products. </w:t>
      </w:r>
      <w:r w:rsidRPr="00866DD2">
        <w:rPr>
          <w:rFonts w:ascii="Times New Roman" w:hAnsi="Times New Roman" w:cs="Times New Roman"/>
          <w:i/>
          <w:iCs/>
          <w:noProof/>
          <w:szCs w:val="24"/>
        </w:rPr>
        <w:t>Remote Sensing</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7</w:t>
      </w:r>
      <w:r w:rsidRPr="00866DD2">
        <w:rPr>
          <w:rFonts w:ascii="Times New Roman" w:hAnsi="Times New Roman" w:cs="Times New Roman"/>
          <w:noProof/>
          <w:szCs w:val="24"/>
        </w:rPr>
        <w:t>(11), 15269–15294. https://doi.org/10.3390/rs71115269</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Pérez-Hoyos, A., Rembold, F., Kerdiles, H., &amp; Gallego, J. (2017). Comparison of global land cover datasets for cropland monitoring. </w:t>
      </w:r>
      <w:r w:rsidRPr="00866DD2">
        <w:rPr>
          <w:rFonts w:ascii="Times New Roman" w:hAnsi="Times New Roman" w:cs="Times New Roman"/>
          <w:i/>
          <w:iCs/>
          <w:noProof/>
          <w:szCs w:val="24"/>
        </w:rPr>
        <w:t>Remote Sensing</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9</w:t>
      </w:r>
      <w:r w:rsidRPr="00866DD2">
        <w:rPr>
          <w:rFonts w:ascii="Times New Roman" w:hAnsi="Times New Roman" w:cs="Times New Roman"/>
          <w:noProof/>
          <w:szCs w:val="24"/>
        </w:rPr>
        <w:t>(11). https://doi.org/10.3390/rs9111118</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866DD2">
        <w:rPr>
          <w:rFonts w:ascii="Times New Roman" w:hAnsi="Times New Roman" w:cs="Times New Roman"/>
          <w:noProof/>
          <w:szCs w:val="24"/>
        </w:rPr>
        <w:t xml:space="preserve">Pickett-Heaps, C. A., Canadell, J. G., Briggs, P. R., Gobron, N., Haverd, V., Paget, M. J., … Raupach, M. R. (2014). Evaluation of six satellite-derived Fraction of Absorbed Photosynthetic Active Radiation (FAPAR) products across the Australian continent.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140</w:t>
      </w:r>
      <w:r w:rsidRPr="00866DD2">
        <w:rPr>
          <w:rFonts w:ascii="Times New Roman" w:hAnsi="Times New Roman" w:cs="Times New Roman"/>
          <w:noProof/>
          <w:szCs w:val="24"/>
        </w:rPr>
        <w:t>, 241–256. https://doi.org/10.1016/j.rse.2013.08.037</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rPr>
      </w:pPr>
      <w:r w:rsidRPr="00D53995">
        <w:rPr>
          <w:rFonts w:ascii="Times New Roman" w:hAnsi="Times New Roman" w:cs="Times New Roman"/>
          <w:noProof/>
          <w:szCs w:val="24"/>
          <w:lang w:val="pt-BR"/>
        </w:rPr>
        <w:lastRenderedPageBreak/>
        <w:t xml:space="preserve">Roujean, J. L., Leon-Tavares, J., Smets, B., Claes, P., Camacho De Coca, F., &amp; Sanchez-Zapero, J. (2018). </w:t>
      </w:r>
      <w:r w:rsidRPr="00866DD2">
        <w:rPr>
          <w:rFonts w:ascii="Times New Roman" w:hAnsi="Times New Roman" w:cs="Times New Roman"/>
          <w:noProof/>
          <w:szCs w:val="24"/>
        </w:rPr>
        <w:t xml:space="preserve">Surface albedo and toc-r 300 m products from PROBA-V instrument in the framework of Copernicus Global Land Service. </w:t>
      </w:r>
      <w:r w:rsidRPr="00866DD2">
        <w:rPr>
          <w:rFonts w:ascii="Times New Roman" w:hAnsi="Times New Roman" w:cs="Times New Roman"/>
          <w:i/>
          <w:iCs/>
          <w:noProof/>
          <w:szCs w:val="24"/>
        </w:rPr>
        <w:t>Remote Sensing of Environment</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215</w:t>
      </w:r>
      <w:r w:rsidRPr="00866DD2">
        <w:rPr>
          <w:rFonts w:ascii="Times New Roman" w:hAnsi="Times New Roman" w:cs="Times New Roman"/>
          <w:noProof/>
          <w:szCs w:val="24"/>
        </w:rPr>
        <w:t>(May), 57–73. https://doi.org/10.1016/j.rse.2018.05.015</w:t>
      </w:r>
    </w:p>
    <w:p w:rsidR="00866DD2" w:rsidRPr="007710C0" w:rsidRDefault="00866DD2" w:rsidP="00866DD2">
      <w:pPr>
        <w:widowControl w:val="0"/>
        <w:autoSpaceDE w:val="0"/>
        <w:autoSpaceDN w:val="0"/>
        <w:adjustRightInd w:val="0"/>
        <w:spacing w:line="240" w:lineRule="auto"/>
        <w:ind w:left="480" w:hanging="480"/>
        <w:rPr>
          <w:rFonts w:ascii="Times New Roman" w:hAnsi="Times New Roman" w:cs="Times New Roman"/>
          <w:noProof/>
          <w:szCs w:val="24"/>
          <w:lang w:val="es-ES"/>
        </w:rPr>
      </w:pPr>
      <w:r w:rsidRPr="007710C0">
        <w:rPr>
          <w:rFonts w:ascii="Times New Roman" w:hAnsi="Times New Roman" w:cs="Times New Roman"/>
          <w:noProof/>
          <w:szCs w:val="24"/>
          <w:lang w:val="es-ES"/>
        </w:rPr>
        <w:t xml:space="preserve">Samasse, K., Hanan, N., Tappan, G., Diallo, </w:t>
      </w:r>
      <w:r w:rsidR="00D53995">
        <w:rPr>
          <w:rFonts w:ascii="Times New Roman" w:hAnsi="Times New Roman" w:cs="Times New Roman"/>
          <w:noProof/>
          <w:szCs w:val="24"/>
          <w:lang w:val="es-ES"/>
        </w:rPr>
        <w:t>Y., Samasse, K., Hanan, N. P.,</w:t>
      </w:r>
      <w:r w:rsidRPr="007710C0">
        <w:rPr>
          <w:rFonts w:ascii="Times New Roman" w:hAnsi="Times New Roman" w:cs="Times New Roman"/>
          <w:noProof/>
          <w:szCs w:val="24"/>
          <w:lang w:val="es-ES"/>
        </w:rPr>
        <w:t xml:space="preserve"> Diallo, Y. (2018). </w:t>
      </w:r>
      <w:r w:rsidRPr="00866DD2">
        <w:rPr>
          <w:rFonts w:ascii="Times New Roman" w:hAnsi="Times New Roman" w:cs="Times New Roman"/>
          <w:noProof/>
          <w:szCs w:val="24"/>
        </w:rPr>
        <w:t xml:space="preserve">Assessing Cropland Area in West Africa for Agricultural Yield Analysis. </w:t>
      </w:r>
      <w:r w:rsidRPr="007710C0">
        <w:rPr>
          <w:rFonts w:ascii="Times New Roman" w:hAnsi="Times New Roman" w:cs="Times New Roman"/>
          <w:i/>
          <w:iCs/>
          <w:noProof/>
          <w:szCs w:val="24"/>
          <w:lang w:val="es-ES"/>
        </w:rPr>
        <w:t>Remote Sensing</w:t>
      </w:r>
      <w:r w:rsidRPr="007710C0">
        <w:rPr>
          <w:rFonts w:ascii="Times New Roman" w:hAnsi="Times New Roman" w:cs="Times New Roman"/>
          <w:noProof/>
          <w:szCs w:val="24"/>
          <w:lang w:val="es-ES"/>
        </w:rPr>
        <w:t xml:space="preserve">, </w:t>
      </w:r>
      <w:r w:rsidRPr="007710C0">
        <w:rPr>
          <w:rFonts w:ascii="Times New Roman" w:hAnsi="Times New Roman" w:cs="Times New Roman"/>
          <w:i/>
          <w:iCs/>
          <w:noProof/>
          <w:szCs w:val="24"/>
          <w:lang w:val="es-ES"/>
        </w:rPr>
        <w:t>10</w:t>
      </w:r>
      <w:r w:rsidRPr="007710C0">
        <w:rPr>
          <w:rFonts w:ascii="Times New Roman" w:hAnsi="Times New Roman" w:cs="Times New Roman"/>
          <w:noProof/>
          <w:szCs w:val="24"/>
          <w:lang w:val="es-ES"/>
        </w:rPr>
        <w:t>(11), 1785. https://doi.org/10.3390/rs10111785</w:t>
      </w:r>
    </w:p>
    <w:p w:rsidR="00866DD2" w:rsidRPr="00866DD2" w:rsidRDefault="00866DD2" w:rsidP="00866DD2">
      <w:pPr>
        <w:widowControl w:val="0"/>
        <w:autoSpaceDE w:val="0"/>
        <w:autoSpaceDN w:val="0"/>
        <w:adjustRightInd w:val="0"/>
        <w:spacing w:line="240" w:lineRule="auto"/>
        <w:ind w:left="480" w:hanging="480"/>
        <w:rPr>
          <w:rFonts w:ascii="Times New Roman" w:hAnsi="Times New Roman" w:cs="Times New Roman"/>
          <w:noProof/>
        </w:rPr>
      </w:pPr>
      <w:r w:rsidRPr="007710C0">
        <w:rPr>
          <w:rFonts w:ascii="Times New Roman" w:hAnsi="Times New Roman" w:cs="Times New Roman"/>
          <w:noProof/>
          <w:szCs w:val="24"/>
          <w:lang w:val="es-ES"/>
        </w:rPr>
        <w:t xml:space="preserve">Vilar, L., Garrido, J., Echavarría, P., Martínez-Vega, J., &amp; Martín, M. P. (2019). </w:t>
      </w:r>
      <w:r w:rsidRPr="00866DD2">
        <w:rPr>
          <w:rFonts w:ascii="Times New Roman" w:hAnsi="Times New Roman" w:cs="Times New Roman"/>
          <w:noProof/>
          <w:szCs w:val="24"/>
        </w:rPr>
        <w:t xml:space="preserve">Comparative analysis of CORINE and climate change initiative land cover maps in Europe: Implications for wildfire occurrence estimation at regional and local scales. </w:t>
      </w:r>
      <w:r w:rsidRPr="00866DD2">
        <w:rPr>
          <w:rFonts w:ascii="Times New Roman" w:hAnsi="Times New Roman" w:cs="Times New Roman"/>
          <w:i/>
          <w:iCs/>
          <w:noProof/>
          <w:szCs w:val="24"/>
        </w:rPr>
        <w:t>International Journal of Applied Earth Observation and Geoinformation</w:t>
      </w:r>
      <w:r w:rsidRPr="00866DD2">
        <w:rPr>
          <w:rFonts w:ascii="Times New Roman" w:hAnsi="Times New Roman" w:cs="Times New Roman"/>
          <w:noProof/>
          <w:szCs w:val="24"/>
        </w:rPr>
        <w:t xml:space="preserve">, </w:t>
      </w:r>
      <w:r w:rsidRPr="00866DD2">
        <w:rPr>
          <w:rFonts w:ascii="Times New Roman" w:hAnsi="Times New Roman" w:cs="Times New Roman"/>
          <w:i/>
          <w:iCs/>
          <w:noProof/>
          <w:szCs w:val="24"/>
        </w:rPr>
        <w:t>78</w:t>
      </w:r>
      <w:r w:rsidRPr="00866DD2">
        <w:rPr>
          <w:rFonts w:ascii="Times New Roman" w:hAnsi="Times New Roman" w:cs="Times New Roman"/>
          <w:noProof/>
          <w:szCs w:val="24"/>
        </w:rPr>
        <w:t>(January), 102–117. https://doi.org/10.1016/j.jag.2019.01.019</w:t>
      </w:r>
    </w:p>
    <w:p w:rsidR="009F1139" w:rsidRPr="009F1139" w:rsidRDefault="009F1139" w:rsidP="00866DD2">
      <w:pPr>
        <w:widowControl w:val="0"/>
        <w:autoSpaceDE w:val="0"/>
        <w:autoSpaceDN w:val="0"/>
        <w:adjustRightInd w:val="0"/>
        <w:spacing w:line="240" w:lineRule="auto"/>
        <w:ind w:left="480" w:hanging="480"/>
        <w:rPr>
          <w:rFonts w:ascii="Times New Roman" w:hAnsi="Times New Roman" w:cs="Times New Roman"/>
          <w:lang w:val="pt-BR"/>
        </w:rPr>
      </w:pPr>
      <w:r>
        <w:rPr>
          <w:rFonts w:ascii="Times New Roman" w:hAnsi="Times New Roman" w:cs="Times New Roman"/>
          <w:lang w:val="pt-BR"/>
        </w:rPr>
        <w:fldChar w:fldCharType="end"/>
      </w:r>
    </w:p>
    <w:sectPr w:rsidR="009F1139" w:rsidRPr="009F1139" w:rsidSect="00217D4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796"/>
    <w:multiLevelType w:val="hybridMultilevel"/>
    <w:tmpl w:val="65D4E838"/>
    <w:lvl w:ilvl="0" w:tplc="C4AA5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A52E05"/>
    <w:multiLevelType w:val="hybridMultilevel"/>
    <w:tmpl w:val="671E77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60E98"/>
    <w:multiLevelType w:val="hybridMultilevel"/>
    <w:tmpl w:val="290612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A06FA"/>
    <w:multiLevelType w:val="hybridMultilevel"/>
    <w:tmpl w:val="9D4CF82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37354"/>
    <w:multiLevelType w:val="hybridMultilevel"/>
    <w:tmpl w:val="551EC1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32468"/>
    <w:multiLevelType w:val="hybridMultilevel"/>
    <w:tmpl w:val="B948856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DF0822"/>
    <w:multiLevelType w:val="hybridMultilevel"/>
    <w:tmpl w:val="574EB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B3251"/>
    <w:multiLevelType w:val="hybridMultilevel"/>
    <w:tmpl w:val="1AAC81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73938"/>
    <w:multiLevelType w:val="hybridMultilevel"/>
    <w:tmpl w:val="C24680E4"/>
    <w:lvl w:ilvl="0" w:tplc="04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9">
    <w:nsid w:val="612756F2"/>
    <w:multiLevelType w:val="hybridMultilevel"/>
    <w:tmpl w:val="3D44C622"/>
    <w:lvl w:ilvl="0" w:tplc="C7768B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F2E00"/>
    <w:multiLevelType w:val="hybridMultilevel"/>
    <w:tmpl w:val="C9C4F3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231FE"/>
    <w:multiLevelType w:val="hybridMultilevel"/>
    <w:tmpl w:val="22043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0A301B"/>
    <w:multiLevelType w:val="hybridMultilevel"/>
    <w:tmpl w:val="6E4276A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2D71E5"/>
    <w:multiLevelType w:val="hybridMultilevel"/>
    <w:tmpl w:val="4EF22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73909"/>
    <w:multiLevelType w:val="hybridMultilevel"/>
    <w:tmpl w:val="8DCE98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60B9A"/>
    <w:multiLevelType w:val="hybridMultilevel"/>
    <w:tmpl w:val="0AA260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4"/>
  </w:num>
  <w:num w:numId="5">
    <w:abstractNumId w:val="5"/>
  </w:num>
  <w:num w:numId="6">
    <w:abstractNumId w:val="13"/>
  </w:num>
  <w:num w:numId="7">
    <w:abstractNumId w:val="15"/>
  </w:num>
  <w:num w:numId="8">
    <w:abstractNumId w:val="2"/>
  </w:num>
  <w:num w:numId="9">
    <w:abstractNumId w:val="1"/>
  </w:num>
  <w:num w:numId="10">
    <w:abstractNumId w:val="0"/>
  </w:num>
  <w:num w:numId="11">
    <w:abstractNumId w:val="3"/>
  </w:num>
  <w:num w:numId="12">
    <w:abstractNumId w:val="10"/>
  </w:num>
  <w:num w:numId="13">
    <w:abstractNumId w:val="7"/>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48"/>
    <w:rsid w:val="001129AE"/>
    <w:rsid w:val="001637FC"/>
    <w:rsid w:val="00217D48"/>
    <w:rsid w:val="00221E85"/>
    <w:rsid w:val="00264568"/>
    <w:rsid w:val="002E6FFF"/>
    <w:rsid w:val="00344CFE"/>
    <w:rsid w:val="00345B3D"/>
    <w:rsid w:val="00364E40"/>
    <w:rsid w:val="0037749B"/>
    <w:rsid w:val="0039656A"/>
    <w:rsid w:val="003B0DCC"/>
    <w:rsid w:val="003B7A61"/>
    <w:rsid w:val="003C2893"/>
    <w:rsid w:val="003D00C9"/>
    <w:rsid w:val="003F4064"/>
    <w:rsid w:val="0047117E"/>
    <w:rsid w:val="004A087E"/>
    <w:rsid w:val="004C23C3"/>
    <w:rsid w:val="00573F3D"/>
    <w:rsid w:val="00601E9B"/>
    <w:rsid w:val="00632D0C"/>
    <w:rsid w:val="00684278"/>
    <w:rsid w:val="00695125"/>
    <w:rsid w:val="006C1E1F"/>
    <w:rsid w:val="006D6504"/>
    <w:rsid w:val="00760C72"/>
    <w:rsid w:val="007710C0"/>
    <w:rsid w:val="00782D7D"/>
    <w:rsid w:val="007831AF"/>
    <w:rsid w:val="007E0431"/>
    <w:rsid w:val="00866DD2"/>
    <w:rsid w:val="0087167C"/>
    <w:rsid w:val="00882A8D"/>
    <w:rsid w:val="009149D9"/>
    <w:rsid w:val="00953606"/>
    <w:rsid w:val="009924B0"/>
    <w:rsid w:val="009E4523"/>
    <w:rsid w:val="009F1139"/>
    <w:rsid w:val="00A17367"/>
    <w:rsid w:val="00A77585"/>
    <w:rsid w:val="00AE6730"/>
    <w:rsid w:val="00B127A0"/>
    <w:rsid w:val="00B664F3"/>
    <w:rsid w:val="00B80866"/>
    <w:rsid w:val="00C07203"/>
    <w:rsid w:val="00C40D9D"/>
    <w:rsid w:val="00C52331"/>
    <w:rsid w:val="00C61912"/>
    <w:rsid w:val="00CC00EF"/>
    <w:rsid w:val="00D3508C"/>
    <w:rsid w:val="00D53995"/>
    <w:rsid w:val="00D667DB"/>
    <w:rsid w:val="00D67D5D"/>
    <w:rsid w:val="00E20D82"/>
    <w:rsid w:val="00E622B4"/>
    <w:rsid w:val="00E822FA"/>
    <w:rsid w:val="00EA123B"/>
    <w:rsid w:val="00EE0D33"/>
    <w:rsid w:val="00F10F84"/>
    <w:rsid w:val="00F7402A"/>
    <w:rsid w:val="00F93F1D"/>
    <w:rsid w:val="00FA042C"/>
    <w:rsid w:val="00FF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39"/>
    <w:rPr>
      <w:rFonts w:ascii="Tahoma" w:hAnsi="Tahoma" w:cs="Tahoma"/>
      <w:sz w:val="16"/>
      <w:szCs w:val="16"/>
    </w:rPr>
  </w:style>
  <w:style w:type="paragraph" w:styleId="ListParagraph">
    <w:name w:val="List Paragraph"/>
    <w:basedOn w:val="Normal"/>
    <w:uiPriority w:val="34"/>
    <w:qFormat/>
    <w:rsid w:val="007710C0"/>
    <w:pPr>
      <w:ind w:left="720"/>
      <w:contextualSpacing/>
    </w:pPr>
  </w:style>
  <w:style w:type="character" w:styleId="CommentReference">
    <w:name w:val="annotation reference"/>
    <w:basedOn w:val="DefaultParagraphFont"/>
    <w:uiPriority w:val="99"/>
    <w:semiHidden/>
    <w:unhideWhenUsed/>
    <w:rsid w:val="00953606"/>
    <w:rPr>
      <w:sz w:val="16"/>
      <w:szCs w:val="16"/>
    </w:rPr>
  </w:style>
  <w:style w:type="paragraph" w:styleId="CommentText">
    <w:name w:val="annotation text"/>
    <w:basedOn w:val="Normal"/>
    <w:link w:val="CommentTextChar"/>
    <w:uiPriority w:val="99"/>
    <w:semiHidden/>
    <w:unhideWhenUsed/>
    <w:rsid w:val="00953606"/>
    <w:pPr>
      <w:spacing w:line="240" w:lineRule="auto"/>
    </w:pPr>
    <w:rPr>
      <w:sz w:val="20"/>
      <w:szCs w:val="20"/>
    </w:rPr>
  </w:style>
  <w:style w:type="character" w:customStyle="1" w:styleId="CommentTextChar">
    <w:name w:val="Comment Text Char"/>
    <w:basedOn w:val="DefaultParagraphFont"/>
    <w:link w:val="CommentText"/>
    <w:uiPriority w:val="99"/>
    <w:semiHidden/>
    <w:rsid w:val="00953606"/>
    <w:rPr>
      <w:sz w:val="20"/>
      <w:szCs w:val="20"/>
    </w:rPr>
  </w:style>
  <w:style w:type="paragraph" w:styleId="CommentSubject">
    <w:name w:val="annotation subject"/>
    <w:basedOn w:val="CommentText"/>
    <w:next w:val="CommentText"/>
    <w:link w:val="CommentSubjectChar"/>
    <w:uiPriority w:val="99"/>
    <w:semiHidden/>
    <w:unhideWhenUsed/>
    <w:rsid w:val="00953606"/>
    <w:rPr>
      <w:b/>
      <w:bCs/>
    </w:rPr>
  </w:style>
  <w:style w:type="character" w:customStyle="1" w:styleId="CommentSubjectChar">
    <w:name w:val="Comment Subject Char"/>
    <w:basedOn w:val="CommentTextChar"/>
    <w:link w:val="CommentSubject"/>
    <w:uiPriority w:val="99"/>
    <w:semiHidden/>
    <w:rsid w:val="00953606"/>
    <w:rPr>
      <w:b/>
      <w:bCs/>
      <w:sz w:val="20"/>
      <w:szCs w:val="20"/>
    </w:rPr>
  </w:style>
  <w:style w:type="character" w:styleId="Hyperlink">
    <w:name w:val="Hyperlink"/>
    <w:basedOn w:val="DefaultParagraphFont"/>
    <w:uiPriority w:val="99"/>
    <w:unhideWhenUsed/>
    <w:rsid w:val="00953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39"/>
    <w:rPr>
      <w:rFonts w:ascii="Tahoma" w:hAnsi="Tahoma" w:cs="Tahoma"/>
      <w:sz w:val="16"/>
      <w:szCs w:val="16"/>
    </w:rPr>
  </w:style>
  <w:style w:type="paragraph" w:styleId="ListParagraph">
    <w:name w:val="List Paragraph"/>
    <w:basedOn w:val="Normal"/>
    <w:uiPriority w:val="34"/>
    <w:qFormat/>
    <w:rsid w:val="007710C0"/>
    <w:pPr>
      <w:ind w:left="720"/>
      <w:contextualSpacing/>
    </w:pPr>
  </w:style>
  <w:style w:type="character" w:styleId="CommentReference">
    <w:name w:val="annotation reference"/>
    <w:basedOn w:val="DefaultParagraphFont"/>
    <w:uiPriority w:val="99"/>
    <w:semiHidden/>
    <w:unhideWhenUsed/>
    <w:rsid w:val="00953606"/>
    <w:rPr>
      <w:sz w:val="16"/>
      <w:szCs w:val="16"/>
    </w:rPr>
  </w:style>
  <w:style w:type="paragraph" w:styleId="CommentText">
    <w:name w:val="annotation text"/>
    <w:basedOn w:val="Normal"/>
    <w:link w:val="CommentTextChar"/>
    <w:uiPriority w:val="99"/>
    <w:semiHidden/>
    <w:unhideWhenUsed/>
    <w:rsid w:val="00953606"/>
    <w:pPr>
      <w:spacing w:line="240" w:lineRule="auto"/>
    </w:pPr>
    <w:rPr>
      <w:sz w:val="20"/>
      <w:szCs w:val="20"/>
    </w:rPr>
  </w:style>
  <w:style w:type="character" w:customStyle="1" w:styleId="CommentTextChar">
    <w:name w:val="Comment Text Char"/>
    <w:basedOn w:val="DefaultParagraphFont"/>
    <w:link w:val="CommentText"/>
    <w:uiPriority w:val="99"/>
    <w:semiHidden/>
    <w:rsid w:val="00953606"/>
    <w:rPr>
      <w:sz w:val="20"/>
      <w:szCs w:val="20"/>
    </w:rPr>
  </w:style>
  <w:style w:type="paragraph" w:styleId="CommentSubject">
    <w:name w:val="annotation subject"/>
    <w:basedOn w:val="CommentText"/>
    <w:next w:val="CommentText"/>
    <w:link w:val="CommentSubjectChar"/>
    <w:uiPriority w:val="99"/>
    <w:semiHidden/>
    <w:unhideWhenUsed/>
    <w:rsid w:val="00953606"/>
    <w:rPr>
      <w:b/>
      <w:bCs/>
    </w:rPr>
  </w:style>
  <w:style w:type="character" w:customStyle="1" w:styleId="CommentSubjectChar">
    <w:name w:val="Comment Subject Char"/>
    <w:basedOn w:val="CommentTextChar"/>
    <w:link w:val="CommentSubject"/>
    <w:uiPriority w:val="99"/>
    <w:semiHidden/>
    <w:rsid w:val="00953606"/>
    <w:rPr>
      <w:b/>
      <w:bCs/>
      <w:sz w:val="20"/>
      <w:szCs w:val="20"/>
    </w:rPr>
  </w:style>
  <w:style w:type="character" w:styleId="Hyperlink">
    <w:name w:val="Hyperlink"/>
    <w:basedOn w:val="DefaultParagraphFont"/>
    <w:uiPriority w:val="99"/>
    <w:unhideWhenUsed/>
    <w:rsid w:val="00953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29685">
      <w:bodyDiv w:val="1"/>
      <w:marLeft w:val="0"/>
      <w:marRight w:val="0"/>
      <w:marTop w:val="0"/>
      <w:marBottom w:val="0"/>
      <w:divBdr>
        <w:top w:val="none" w:sz="0" w:space="0" w:color="auto"/>
        <w:left w:val="none" w:sz="0" w:space="0" w:color="auto"/>
        <w:bottom w:val="none" w:sz="0" w:space="0" w:color="auto"/>
        <w:right w:val="none" w:sz="0" w:space="0" w:color="auto"/>
      </w:divBdr>
    </w:div>
    <w:div w:id="1200239297">
      <w:bodyDiv w:val="1"/>
      <w:marLeft w:val="0"/>
      <w:marRight w:val="0"/>
      <w:marTop w:val="0"/>
      <w:marBottom w:val="0"/>
      <w:divBdr>
        <w:top w:val="none" w:sz="0" w:space="0" w:color="auto"/>
        <w:left w:val="none" w:sz="0" w:space="0" w:color="auto"/>
        <w:bottom w:val="none" w:sz="0" w:space="0" w:color="auto"/>
        <w:right w:val="none" w:sz="0" w:space="0" w:color="auto"/>
      </w:divBdr>
    </w:div>
    <w:div w:id="18415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FBC4-1629-478B-91D4-AA231C3D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8096</Words>
  <Characters>46149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Dantas de Paula</dc:creator>
  <cp:lastModifiedBy>Mateus Dantas de Paula</cp:lastModifiedBy>
  <cp:revision>2</cp:revision>
  <dcterms:created xsi:type="dcterms:W3CDTF">2019-03-21T08:32:00Z</dcterms:created>
  <dcterms:modified xsi:type="dcterms:W3CDTF">2019-03-21T08:32:00Z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58080214-57a8-30ce-80a1-41ef7e648d9a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