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65" w:rsidRPr="00087769" w:rsidRDefault="00780E65" w:rsidP="00780E65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Legends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Supplementary Figures</w:t>
      </w:r>
    </w:p>
    <w:p w:rsidR="00780E65" w:rsidRPr="00087769" w:rsidRDefault="00780E65" w:rsidP="00780E65">
      <w:pPr>
        <w:spacing w:afterLines="120" w:after="288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 xml:space="preserve">Figure S1. SDS-PAGE analysis of purified, recombinant MERS-CoV S antigens.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SDS-PAGE analysis of purified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MERS-CoV S antigens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(2 </w:t>
      </w:r>
      <w:r w:rsidRPr="00087769">
        <w:rPr>
          <w:rFonts w:ascii="Arial" w:hAnsi="Arial" w:cs="Arial"/>
          <w:sz w:val="24"/>
          <w:szCs w:val="24"/>
          <w:lang w:val="en-US"/>
        </w:rPr>
        <w:t>μg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each) </w:t>
      </w:r>
      <w:r>
        <w:rPr>
          <w:rFonts w:ascii="Arial" w:hAnsi="Arial" w:cs="Arial"/>
          <w:sz w:val="24"/>
          <w:szCs w:val="24"/>
          <w:lang w:val="en-US"/>
        </w:rPr>
        <w:t>used for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immunization of H2L2 transgenic mice </w:t>
      </w:r>
      <w:r w:rsidRPr="00087769">
        <w:rPr>
          <w:rFonts w:ascii="Arial" w:hAnsi="Arial" w:cs="Arial"/>
          <w:b/>
          <w:sz w:val="24"/>
          <w:szCs w:val="24"/>
          <w:lang w:val="en-US"/>
        </w:rPr>
        <w:t xml:space="preserve">(A)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or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for ELISA-based screening of antibodies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(B)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780E65" w:rsidRPr="00087769" w:rsidRDefault="00780E65" w:rsidP="00780E65">
      <w:pPr>
        <w:spacing w:afterLines="120" w:after="288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87769">
        <w:rPr>
          <w:rFonts w:ascii="Arial" w:hAnsi="Arial" w:cs="Arial"/>
          <w:b/>
          <w:sz w:val="24"/>
          <w:szCs w:val="24"/>
          <w:lang w:val="en-US"/>
        </w:rPr>
        <w:t xml:space="preserve">Figure S2.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Characterization of anti-MERS-S H2L2 antibodies. (A)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Characterization of anti-MERS-S1 H2L2 antibodies from antibody-containing hybridoma supernatants. First, antibody-containing hybridoma supernatants (selected based on an initial MERS-S1 ELISA screen) were screened for ELISA-reactivity to S1 or individual domains of S1 (S1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A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, S1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B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or S1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CD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) (upper four panels). Second, virus neutralization by S1-reactive hybridoma supernatants was analysed using the luciferase-encoding MERS-S pseudotyped VSV particles (bottom panel).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(B)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Binding competition of anti-MERS-S neutralizing H2L2 mAbs using bio-layer interferometry. Immobilized MERS-S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ecto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antigen was saturated in binding with a given anti-MERS-S H2L2 mAb (step 1) and then exposed to binding by a second H2L2 mAb (step 2). Additional binding of the second antibody indicates the presence of an unoccupied epitope, whereas lack of binding indicates epitope blocking by the first antibody. As a control, the first mAb was also included in the second step to check for self-competition.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(C)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Neutralizing activity of purified H2L2 antibodies was assessed using MERS-S pseudotyped VSV and half-maximal inhibitory concentrations (IC</w:t>
      </w:r>
      <w:r w:rsidRPr="0008776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50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; μg/ml) are shown. H2L2 antibodies were purified from hybridoma supernatants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with</w:t>
      </w:r>
      <w:r w:rsidRPr="003B25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neutralizing activity that were reactive to MERS-S1</w:t>
      </w:r>
      <w:r w:rsidRPr="003B25D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B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. In addition, H2L2 antibodies were purified from hybridoma supernatants showing MERS-S2 </w:t>
      </w:r>
      <w:r>
        <w:rPr>
          <w:rFonts w:ascii="Arial" w:eastAsia="Times New Roman" w:hAnsi="Arial" w:cs="Arial"/>
          <w:sz w:val="24"/>
          <w:szCs w:val="24"/>
          <w:lang w:val="en-US"/>
        </w:rPr>
        <w:t>and MERS-S1</w:t>
      </w:r>
      <w:r w:rsidRPr="003B25DC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domain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reactivity. Selection of lead mAbs was based on their </w:t>
      </w:r>
      <w:r>
        <w:rPr>
          <w:rFonts w:ascii="Arial" w:eastAsia="Times New Roman" w:hAnsi="Arial" w:cs="Arial"/>
          <w:sz w:val="24"/>
          <w:szCs w:val="24"/>
          <w:lang w:val="en-US"/>
        </w:rPr>
        <w:t>potency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to neutralize MERS-CoV relative to other mAbs within an epitope group (epitope groups are marked by shaded blocks), and on their unique VH and VL region sequences. </w:t>
      </w:r>
      <w:r w:rsidRPr="00087769">
        <w:rPr>
          <w:rFonts w:ascii="Arial" w:hAnsi="Arial" w:cs="Arial"/>
          <w:sz w:val="24"/>
          <w:szCs w:val="24"/>
          <w:lang w:val="en-US" w:eastAsia="zh-CN"/>
        </w:rPr>
        <w:t>E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ight monoclonal antibodies (shown by red arrows) with epitopes distributed throughout different domains of the MERS-CoV spike protein were selected as lead antibodies for further detailed biophysical and functional characterization.  </w:t>
      </w:r>
    </w:p>
    <w:p w:rsidR="00780E65" w:rsidRPr="00087769" w:rsidRDefault="00780E65" w:rsidP="00780E65">
      <w:pPr>
        <w:spacing w:afterLines="120" w:after="288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87769">
        <w:rPr>
          <w:rFonts w:ascii="Arial" w:hAnsi="Arial" w:cs="Arial"/>
          <w:b/>
          <w:sz w:val="24"/>
          <w:szCs w:val="24"/>
          <w:lang w:val="en-US"/>
        </w:rPr>
        <w:t xml:space="preserve">Figure S3. 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 xml:space="preserve">SDS-PAGE analysis of purified monoclonal antibodies.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Two microgram of the eight lead anti-MERS-S mAbs, an anti-MERS control antibody and an isotype control antibody were analysed by SDS-PAGE. All antibodies have the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lastRenderedPageBreak/>
        <w:t>human IgG1 isotype background, were expressed in human HEK-293T c</w:t>
      </w:r>
      <w:r>
        <w:rPr>
          <w:rFonts w:ascii="Arial" w:eastAsia="Times New Roman" w:hAnsi="Arial" w:cs="Arial"/>
          <w:sz w:val="24"/>
          <w:szCs w:val="24"/>
          <w:lang w:val="en-US"/>
        </w:rPr>
        <w:t>ells and purified using Protein-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A affinity purification. </w:t>
      </w:r>
    </w:p>
    <w:p w:rsidR="00780E65" w:rsidRPr="00087769" w:rsidRDefault="00780E65" w:rsidP="00780E65">
      <w:pPr>
        <w:spacing w:afterLines="120" w:after="288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 xml:space="preserve">Figure S4. </w:t>
      </w:r>
      <w:r w:rsidRPr="00087769">
        <w:rPr>
          <w:rFonts w:ascii="Arial" w:hAnsi="Arial" w:cs="Arial"/>
          <w:b/>
          <w:sz w:val="24"/>
          <w:szCs w:val="24"/>
          <w:lang w:val="en-US"/>
        </w:rPr>
        <w:t>MERS-S-specific mAbs bind MERS-S</w:t>
      </w:r>
      <w:r w:rsidRPr="00087769">
        <w:rPr>
          <w:rFonts w:ascii="Arial" w:hAnsi="Arial" w:cs="Arial"/>
          <w:b/>
          <w:sz w:val="24"/>
          <w:szCs w:val="24"/>
          <w:vertAlign w:val="superscript"/>
          <w:lang w:val="en-US"/>
        </w:rPr>
        <w:t>ecto</w:t>
      </w:r>
      <w:r w:rsidRPr="00087769">
        <w:rPr>
          <w:rFonts w:ascii="Arial" w:hAnsi="Arial" w:cs="Arial"/>
          <w:b/>
          <w:sz w:val="24"/>
          <w:szCs w:val="24"/>
          <w:lang w:val="en-US"/>
        </w:rPr>
        <w:t xml:space="preserve"> with high affinity.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The binding kinetics and affinity of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anti-</w:t>
      </w:r>
      <w:r w:rsidRPr="00087769">
        <w:rPr>
          <w:rFonts w:ascii="Arial" w:hAnsi="Arial" w:cs="Arial"/>
          <w:sz w:val="24"/>
          <w:szCs w:val="24"/>
          <w:lang w:val="en-US"/>
        </w:rPr>
        <w:t>MERS-S mAbs and DPP4 receptor to recombinant soluble MERS-S</w:t>
      </w:r>
      <w:r w:rsidRPr="00087769">
        <w:rPr>
          <w:rFonts w:ascii="Arial" w:hAnsi="Arial" w:cs="Arial"/>
          <w:sz w:val="24"/>
          <w:szCs w:val="24"/>
          <w:vertAlign w:val="superscript"/>
          <w:lang w:val="en-US"/>
        </w:rPr>
        <w:t>ecto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was measured by </w:t>
      </w:r>
      <w:r>
        <w:rPr>
          <w:rFonts w:ascii="Arial" w:hAnsi="Arial" w:cs="Arial"/>
          <w:sz w:val="24"/>
          <w:szCs w:val="24"/>
          <w:lang w:val="en-US"/>
        </w:rPr>
        <w:t>Bio-layer interferometry</w:t>
      </w:r>
      <w:r w:rsidRPr="00087769">
        <w:rPr>
          <w:rFonts w:ascii="Arial" w:hAnsi="Arial" w:cs="Arial"/>
          <w:sz w:val="24"/>
          <w:szCs w:val="24"/>
          <w:lang w:val="en-US"/>
        </w:rPr>
        <w:t>. Antibodies and receptor were immobilized on the sensor surface, followed by injection of the MERS-S</w:t>
      </w:r>
      <w:r w:rsidRPr="00087769">
        <w:rPr>
          <w:rFonts w:ascii="Arial" w:hAnsi="Arial" w:cs="Arial"/>
          <w:sz w:val="24"/>
          <w:szCs w:val="24"/>
          <w:vertAlign w:val="superscript"/>
          <w:lang w:val="en-US"/>
        </w:rPr>
        <w:t>ecto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at 200, 67, 22 and 7.4 nM concentrations (represented by the blue, red, green purple lines, respectively). The kinetics constants were calculated using 1:1 Langmuir binding model on Fortebio Data Analysis 7.0 software.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The binding rate constant 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 xml:space="preserve">on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(M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−1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sec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−1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), the dissociation constant 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off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(sec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−1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) and the equilibrium dissociation constant 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D</w:t>
      </w:r>
      <w:r w:rsidRPr="0008776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 xml:space="preserve">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(M; 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D</w:t>
      </w:r>
      <w:r w:rsidRPr="0008776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 xml:space="preserve"> 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= 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off</w:t>
      </w:r>
      <w:r w:rsidRPr="00087769">
        <w:rPr>
          <w:rFonts w:ascii="Arial" w:eastAsia="Times New Roman" w:hAnsi="Arial" w:cs="Arial"/>
          <w:i/>
          <w:sz w:val="24"/>
          <w:szCs w:val="24"/>
          <w:lang w:val="en-US"/>
        </w:rPr>
        <w:t>/k</w:t>
      </w:r>
      <w:r w:rsidRPr="00087769">
        <w:rPr>
          <w:rFonts w:ascii="Arial" w:eastAsia="Times New Roman" w:hAnsi="Arial" w:cs="Arial"/>
          <w:i/>
          <w:sz w:val="24"/>
          <w:szCs w:val="24"/>
          <w:vertAlign w:val="subscript"/>
          <w:lang w:val="en-US"/>
        </w:rPr>
        <w:t>on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) are shown below the sensograms.</w:t>
      </w:r>
    </w:p>
    <w:p w:rsidR="00780E65" w:rsidRDefault="00780E65" w:rsidP="00780E65">
      <w:pPr>
        <w:spacing w:afterLines="120" w:after="288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Figure 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7769">
        <w:rPr>
          <w:rFonts w:ascii="Arial" w:hAnsi="Arial" w:cs="Arial"/>
          <w:b/>
          <w:sz w:val="24"/>
          <w:szCs w:val="24"/>
          <w:lang w:val="en-US"/>
        </w:rPr>
        <w:t>Binding of anti-MERS-S mAbs to cells expressing MERS-CoV spike protein</w:t>
      </w:r>
      <w:r w:rsidRPr="001F719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detected by flow cytometry</w:t>
      </w:r>
      <w:r w:rsidRPr="00087769">
        <w:rPr>
          <w:rFonts w:ascii="Arial" w:hAnsi="Arial" w:cs="Arial"/>
          <w:b/>
          <w:sz w:val="24"/>
          <w:szCs w:val="24"/>
          <w:lang w:val="en-US"/>
        </w:rPr>
        <w:t>.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Overlay histograms showing the binding of anti-MERS-S mAbs to MERS-CoV S expressing Huh-7 cells by flow cytometric analysis. </w:t>
      </w:r>
      <w:r w:rsidRPr="00087769">
        <w:rPr>
          <w:rFonts w:ascii="Arial" w:hAnsi="Arial" w:cs="Arial"/>
          <w:sz w:val="24"/>
          <w:szCs w:val="24"/>
          <w:lang w:val="en-US"/>
        </w:rPr>
        <w:t>Huh-7 cells were seeded with density of 2.5×10</w:t>
      </w:r>
      <w:r w:rsidRPr="00087769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cells per ml in a T75 flask. After reaching 70~80% confluency, cells were transfected with expression plasmid encoding full length MERS-S - C-terminally fused to the green fluorescence protein (GFP) - using jetPRIME® (Polyplus transfection). The furin recognition site in the MERS-S was mutated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(R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751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S) </w:t>
      </w:r>
      <w:r w:rsidRPr="00087769">
        <w:rPr>
          <w:rFonts w:ascii="Arial" w:hAnsi="Arial" w:cs="Arial"/>
          <w:sz w:val="24"/>
          <w:szCs w:val="24"/>
          <w:lang w:val="en-US"/>
        </w:rPr>
        <w:t>to inhibit the cleavage of protein. Two days post transfection, cells were dissociated by cell dissociation solution (Sigma-aldrich, Merc</w:t>
      </w:r>
      <w:r>
        <w:rPr>
          <w:rFonts w:ascii="Arial" w:hAnsi="Arial" w:cs="Arial"/>
          <w:sz w:val="24"/>
          <w:szCs w:val="24"/>
          <w:lang w:val="en-US"/>
        </w:rPr>
        <w:t xml:space="preserve">k KGaA; cat.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no. C5914). Single cell suspensions in FACS buffer were centrifuged at 400×g for 10 min. Cells were then fixed by incubation with 4% paraformaldehyde in PBS for 15 min at room temperature. After centrifugation at 600×g for 10 min, paraformaldehyde was removed. Follwed by a washing step in Phosphate Saline Buffer (PBS), cells were blocked using 10% Normal Goat Serum (Gibco, Thermo Fisher Scientific, the Netherlands) diluted in PBS for 45 min at room temperature. Surface staining of MERS-S was performed by incubation of cells with anti MERS-CoV mAbs at concentration of 5 µg/ml for 1 h at room temperature, followed by incubation with Alexa Fluor </w:t>
      </w:r>
      <w:r w:rsidRPr="00087769">
        <w:rPr>
          <w:rFonts w:ascii="Arial" w:hAnsi="Arial" w:cs="Arial"/>
          <w:sz w:val="24"/>
          <w:szCs w:val="24"/>
          <w:lang w:val="en-US" w:eastAsia="zh-CN"/>
        </w:rPr>
        <w:t>649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conjugated goat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anti-</w:t>
      </w:r>
      <w:r w:rsidRPr="00087769">
        <w:rPr>
          <w:rFonts w:ascii="Arial" w:hAnsi="Arial" w:cs="Arial"/>
          <w:sz w:val="24"/>
          <w:szCs w:val="24"/>
          <w:lang w:val="en-US"/>
        </w:rPr>
        <w:t>human IgG antibodie</w:t>
      </w:r>
      <w:r w:rsidRPr="00087769">
        <w:rPr>
          <w:rFonts w:ascii="Arial" w:hAnsi="Arial" w:cs="Arial"/>
          <w:sz w:val="24"/>
          <w:szCs w:val="24"/>
          <w:lang w:val="en-US" w:eastAsia="zh-CN"/>
        </w:rPr>
        <w:t>s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(Invitrogen, Thermo Fisher Scientific) for 45 min at room temperature. Cells were subjected to flow cytometric analysis with a FACS-Calibur </w:t>
      </w:r>
      <w:r>
        <w:rPr>
          <w:rFonts w:ascii="Arial" w:hAnsi="Arial" w:cs="Arial"/>
          <w:sz w:val="24"/>
          <w:szCs w:val="24"/>
          <w:lang w:val="en-US"/>
        </w:rPr>
        <w:t>flow cytometer (BD Biosciences)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gated for GFP expression. The results were analysed by FlowJo (version 10), and mean fluorescence intensities </w:t>
      </w:r>
      <w:r>
        <w:rPr>
          <w:rFonts w:ascii="Arial" w:hAnsi="Arial" w:cs="Arial"/>
          <w:sz w:val="24"/>
          <w:szCs w:val="24"/>
          <w:lang w:val="en-US"/>
        </w:rPr>
        <w:t xml:space="preserve">(MFIs)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were calculated. </w:t>
      </w:r>
    </w:p>
    <w:p w:rsidR="005A3E1A" w:rsidRPr="00780E65" w:rsidRDefault="00780E65" w:rsidP="00780E65">
      <w:pPr>
        <w:spacing w:afterLines="120" w:after="288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Figure S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6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>. Binding of anti-MERS-S mAbs to cell surface expressed MERS-CoV spike protein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detected by immunofluorescence microscopy</w:t>
      </w:r>
      <w:r w:rsidRPr="00087769">
        <w:rPr>
          <w:rFonts w:ascii="Arial" w:eastAsia="Times New Roman" w:hAnsi="Arial" w:cs="Arial"/>
          <w:b/>
          <w:sz w:val="24"/>
          <w:szCs w:val="24"/>
          <w:lang w:val="en-US"/>
        </w:rPr>
        <w:t xml:space="preserve">. </w:t>
      </w:r>
      <w:r w:rsidRPr="00087769">
        <w:rPr>
          <w:rFonts w:ascii="Arial" w:hAnsi="Arial" w:cs="Arial"/>
          <w:sz w:val="24"/>
          <w:szCs w:val="24"/>
          <w:lang w:val="en-US"/>
        </w:rPr>
        <w:t>Huh-7 cells were seeded with density of 10</w:t>
      </w:r>
      <w:r w:rsidRPr="00087769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 cells per ml. After reaching 70~80% confluency, cells were transfected with expression plasmid encoding full length MERS-S - C-terminally fused to the green fluorescence protein (GFP) - using jetPRIME® (Polyplus transfection, New York, USA). The furin recognition site in the MERS-S was mutated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(R</w:t>
      </w:r>
      <w:r w:rsidRPr="00087769">
        <w:rPr>
          <w:rFonts w:ascii="Arial" w:eastAsia="Times New Roman" w:hAnsi="Arial" w:cs="Arial"/>
          <w:sz w:val="24"/>
          <w:szCs w:val="24"/>
          <w:vertAlign w:val="superscript"/>
          <w:lang w:val="en-US"/>
        </w:rPr>
        <w:t>751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S) 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to inhibit the cleavage of protein. Two days post transfection, cells were fixed by incubation with 4% paraformaldehyde in PBS for 20 min at room temperature. After extensive washing in PBS containing 0.05% Tween-20, cells were blocked using 10% Fetal Calf Serum (Bodinco B.V) diluted in PBS with 0.05% Tween-20 for 20 min at room temperature. MERS-S cell surface staining was performed by incubation of MERS-S transfected cells with anti-MERS-S mAbs at concentration of 1.25 µg/ml for 1 h at room temperature, followed by incubation with AlexaFluor 568 conjugated goat anti-human IgG (H+L) secondary antibody (Invitrogen, Thermo Fisher Scientific, the Netherlands) for 1 h at room temperature. Isotype control was included to check for background signal. Antibody binding to cells was detected by fluorescence microscopy using Alexa Fluor 568 conjugated goat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>anti-</w:t>
      </w:r>
      <w:r w:rsidRPr="00087769">
        <w:rPr>
          <w:rFonts w:ascii="Arial" w:hAnsi="Arial" w:cs="Arial"/>
          <w:sz w:val="24"/>
          <w:szCs w:val="24"/>
          <w:lang w:val="en-US"/>
        </w:rPr>
        <w:t>human IgG antibodies (red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 channel</w:t>
      </w:r>
      <w:r w:rsidRPr="00087769">
        <w:rPr>
          <w:rFonts w:ascii="Arial" w:hAnsi="Arial" w:cs="Arial"/>
          <w:sz w:val="24"/>
          <w:szCs w:val="24"/>
          <w:lang w:val="en-US"/>
        </w:rPr>
        <w:t xml:space="preserve">). MERS-S-GFP transfected cells were detected by GFP fluorescence </w:t>
      </w:r>
      <w:r w:rsidRPr="00087769">
        <w:rPr>
          <w:rFonts w:ascii="Arial" w:eastAsia="Times New Roman" w:hAnsi="Arial" w:cs="Arial"/>
          <w:sz w:val="24"/>
          <w:szCs w:val="24"/>
          <w:lang w:val="en-US"/>
        </w:rPr>
        <w:t xml:space="preserve">(green channel). </w:t>
      </w:r>
      <w:r w:rsidRPr="00087769">
        <w:rPr>
          <w:rFonts w:ascii="Arial" w:hAnsi="Arial" w:cs="Arial"/>
          <w:sz w:val="24"/>
          <w:szCs w:val="24"/>
          <w:lang w:val="en-US"/>
        </w:rPr>
        <w:t>Staining of nuclei was performed using 4,6-diamidino-2-phenylindole (DAPI)</w:t>
      </w:r>
      <w:r>
        <w:rPr>
          <w:rFonts w:ascii="Arial" w:hAnsi="Arial" w:cs="Arial"/>
          <w:sz w:val="24"/>
          <w:szCs w:val="24"/>
          <w:lang w:val="en-US"/>
        </w:rPr>
        <w:t xml:space="preserve"> (blue channel)</w:t>
      </w:r>
      <w:r w:rsidRPr="00087769">
        <w:rPr>
          <w:rFonts w:ascii="Arial" w:hAnsi="Arial" w:cs="Arial"/>
          <w:sz w:val="24"/>
          <w:szCs w:val="24"/>
          <w:lang w:val="en-US"/>
        </w:rPr>
        <w:t>. Fluorescence images were recorded using EVOS FL fluorescence microscope (Thermo Fisher Scientific). Panels on the right represent overlay profiles of the red, green and blue channels.</w:t>
      </w:r>
      <w:bookmarkStart w:id="0" w:name="_GoBack"/>
      <w:bookmarkEnd w:id="0"/>
    </w:p>
    <w:sectPr w:rsidR="005A3E1A" w:rsidRPr="00780E65" w:rsidSect="004A0220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93" w:rsidRDefault="00780E65" w:rsidP="009C2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76393" w:rsidRDefault="00780E65" w:rsidP="004A022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93" w:rsidRDefault="00780E65" w:rsidP="009C2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76393" w:rsidRDefault="00780E65" w:rsidP="004A0220">
    <w:pPr>
      <w:pStyle w:val="Voetteks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65"/>
    <w:rsid w:val="005A3E1A"/>
    <w:rsid w:val="00780E65"/>
    <w:rsid w:val="00A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EC1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0E65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E1FA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1FA2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78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0E65"/>
    <w:rPr>
      <w:rFonts w:eastAsiaTheme="minorHAnsi"/>
      <w:sz w:val="22"/>
      <w:szCs w:val="22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780E65"/>
  </w:style>
  <w:style w:type="character" w:styleId="Regelnummer">
    <w:name w:val="line number"/>
    <w:basedOn w:val="Standaardalinea-lettertype"/>
    <w:uiPriority w:val="99"/>
    <w:semiHidden/>
    <w:unhideWhenUsed/>
    <w:rsid w:val="00780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0E65"/>
    <w:pPr>
      <w:spacing w:after="200" w:line="276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E1FA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GB"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E1FA2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Normaal"/>
    <w:link w:val="VoettekstTeken"/>
    <w:uiPriority w:val="99"/>
    <w:unhideWhenUsed/>
    <w:rsid w:val="0078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780E65"/>
    <w:rPr>
      <w:rFonts w:eastAsiaTheme="minorHAnsi"/>
      <w:sz w:val="22"/>
      <w:szCs w:val="22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780E65"/>
  </w:style>
  <w:style w:type="character" w:styleId="Regelnummer">
    <w:name w:val="line number"/>
    <w:basedOn w:val="Standaardalinea-lettertype"/>
    <w:uiPriority w:val="99"/>
    <w:semiHidden/>
    <w:unhideWhenUsed/>
    <w:rsid w:val="0078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5675</Characters>
  <Application>Microsoft Macintosh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Jan Bosch</dc:creator>
  <cp:keywords/>
  <dc:description/>
  <cp:lastModifiedBy>Berend Jan Bosch</cp:lastModifiedBy>
  <cp:revision>1</cp:revision>
  <dcterms:created xsi:type="dcterms:W3CDTF">2019-03-12T15:40:00Z</dcterms:created>
  <dcterms:modified xsi:type="dcterms:W3CDTF">2019-03-12T15:41:00Z</dcterms:modified>
</cp:coreProperties>
</file>