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E3CEA" w14:textId="77777777" w:rsidR="00781667" w:rsidRDefault="00781667" w:rsidP="00510BB4">
      <w:pPr>
        <w:pStyle w:val="NoSpacing"/>
        <w:spacing w:line="48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Supporting information with:</w:t>
      </w:r>
    </w:p>
    <w:p w14:paraId="702C6B1E" w14:textId="3387D999" w:rsidR="00510BB4" w:rsidRDefault="004F2B07" w:rsidP="00510BB4">
      <w:pPr>
        <w:spacing w:after="0" w:line="480" w:lineRule="auto"/>
        <w:jc w:val="center"/>
        <w:rPr>
          <w:lang w:val="en-GB"/>
        </w:rPr>
      </w:pPr>
      <w:r w:rsidRPr="000F1B17">
        <w:rPr>
          <w:b/>
          <w:sz w:val="28"/>
          <w:szCs w:val="28"/>
          <w:lang w:val="en-GB"/>
        </w:rPr>
        <w:t>A functional trait approach to identifying life history patterns in stochastic environments</w:t>
      </w:r>
    </w:p>
    <w:p w14:paraId="6C768594" w14:textId="77777777" w:rsidR="00510BB4" w:rsidRPr="001936FD" w:rsidRDefault="00510BB4" w:rsidP="00510BB4">
      <w:pPr>
        <w:spacing w:after="0" w:line="480" w:lineRule="auto"/>
        <w:jc w:val="center"/>
        <w:rPr>
          <w:vertAlign w:val="superscript"/>
          <w:lang w:val="en-GB"/>
        </w:rPr>
      </w:pPr>
      <w:r w:rsidRPr="001936FD">
        <w:rPr>
          <w:lang w:val="en-GB"/>
        </w:rPr>
        <w:t>Isabel M. Smallegange</w:t>
      </w:r>
      <w:r w:rsidRPr="001936FD">
        <w:rPr>
          <w:vertAlign w:val="superscript"/>
          <w:lang w:val="en-GB"/>
        </w:rPr>
        <w:t>1,*</w:t>
      </w:r>
      <w:r w:rsidRPr="001936FD">
        <w:rPr>
          <w:lang w:val="en-GB"/>
        </w:rPr>
        <w:t xml:space="preserve"> and Matty P. Berg</w:t>
      </w:r>
      <w:r w:rsidRPr="001936FD">
        <w:rPr>
          <w:vertAlign w:val="superscript"/>
          <w:lang w:val="en-GB"/>
        </w:rPr>
        <w:t>2,3</w:t>
      </w:r>
    </w:p>
    <w:p w14:paraId="19EF8065" w14:textId="77777777" w:rsidR="00510BB4" w:rsidRPr="001936FD" w:rsidRDefault="00510BB4" w:rsidP="00510BB4">
      <w:pPr>
        <w:spacing w:after="0" w:line="480" w:lineRule="auto"/>
        <w:jc w:val="center"/>
        <w:rPr>
          <w:lang w:val="en-GB"/>
        </w:rPr>
      </w:pPr>
    </w:p>
    <w:p w14:paraId="141D5F50" w14:textId="77777777" w:rsidR="00510BB4" w:rsidRPr="001936FD" w:rsidRDefault="00510BB4" w:rsidP="00510BB4">
      <w:pPr>
        <w:spacing w:after="0" w:line="480" w:lineRule="auto"/>
        <w:rPr>
          <w:lang w:val="en-GB"/>
        </w:rPr>
      </w:pPr>
      <w:r w:rsidRPr="001936FD">
        <w:rPr>
          <w:vertAlign w:val="superscript"/>
          <w:lang w:val="en-GB"/>
        </w:rPr>
        <w:t xml:space="preserve">1 </w:t>
      </w:r>
      <w:r w:rsidRPr="001936FD">
        <w:rPr>
          <w:lang w:val="en-GB"/>
        </w:rPr>
        <w:t>Institute for Biodiversity and Ecosystem Dynamics (IBED), University of Amsterdam, P.O. Box 94240, 1090 GE Amsterdam, The Netherlands</w:t>
      </w:r>
    </w:p>
    <w:p w14:paraId="45DE3184" w14:textId="77777777" w:rsidR="00510BB4" w:rsidRPr="001936FD" w:rsidRDefault="00510BB4" w:rsidP="00510BB4">
      <w:pPr>
        <w:tabs>
          <w:tab w:val="left" w:pos="425"/>
        </w:tabs>
        <w:spacing w:after="0" w:line="480" w:lineRule="auto"/>
        <w:rPr>
          <w:lang w:val="en-GB"/>
        </w:rPr>
      </w:pPr>
      <w:r w:rsidRPr="001936FD">
        <w:rPr>
          <w:vertAlign w:val="superscript"/>
          <w:lang w:val="en-GB"/>
        </w:rPr>
        <w:t xml:space="preserve">* </w:t>
      </w:r>
      <w:r w:rsidRPr="001936FD">
        <w:rPr>
          <w:b/>
          <w:lang w:val="en-GB"/>
        </w:rPr>
        <w:t>Corresponding author</w:t>
      </w:r>
      <w:r w:rsidRPr="001936FD">
        <w:rPr>
          <w:lang w:val="en-GB"/>
        </w:rPr>
        <w:t xml:space="preserve">: </w:t>
      </w:r>
      <w:r w:rsidRPr="001936FD">
        <w:rPr>
          <w:lang w:val="en-GB"/>
        </w:rPr>
        <w:tab/>
        <w:t>i.smallegange@uva.nl</w:t>
      </w:r>
    </w:p>
    <w:p w14:paraId="41E0BB2D" w14:textId="77777777" w:rsidR="00510BB4" w:rsidRPr="001936FD" w:rsidRDefault="00510BB4" w:rsidP="00510BB4">
      <w:pPr>
        <w:spacing w:after="0" w:line="480" w:lineRule="auto"/>
        <w:rPr>
          <w:vertAlign w:val="superscript"/>
          <w:lang w:val="en-GB"/>
        </w:rPr>
      </w:pPr>
    </w:p>
    <w:p w14:paraId="74A85C8C" w14:textId="77777777" w:rsidR="00AF6F3C" w:rsidRPr="001936FD" w:rsidRDefault="00AF6F3C" w:rsidP="00AF6F3C">
      <w:pPr>
        <w:spacing w:after="0" w:line="480" w:lineRule="auto"/>
        <w:rPr>
          <w:lang w:val="en-GB"/>
        </w:rPr>
      </w:pPr>
      <w:r w:rsidRPr="001936FD">
        <w:rPr>
          <w:vertAlign w:val="superscript"/>
          <w:lang w:val="en-GB"/>
        </w:rPr>
        <w:t>2</w:t>
      </w:r>
      <w:r w:rsidRPr="001936FD">
        <w:rPr>
          <w:lang w:val="en-GB"/>
        </w:rPr>
        <w:t xml:space="preserve"> Department of Ecological Science, Section of Animal Ecology, </w:t>
      </w:r>
      <w:proofErr w:type="spellStart"/>
      <w:r w:rsidRPr="001936FD">
        <w:rPr>
          <w:lang w:val="en-GB"/>
        </w:rPr>
        <w:t>Vrije</w:t>
      </w:r>
      <w:proofErr w:type="spellEnd"/>
      <w:r w:rsidRPr="001936FD">
        <w:rPr>
          <w:lang w:val="en-GB"/>
        </w:rPr>
        <w:t xml:space="preserve"> </w:t>
      </w:r>
      <w:proofErr w:type="spellStart"/>
      <w:r w:rsidRPr="001936FD">
        <w:rPr>
          <w:lang w:val="en-GB"/>
        </w:rPr>
        <w:t>Universiteit</w:t>
      </w:r>
      <w:proofErr w:type="spellEnd"/>
      <w:r w:rsidRPr="001936FD">
        <w:rPr>
          <w:lang w:val="en-GB"/>
        </w:rPr>
        <w:t xml:space="preserve">, Amsterdam, De </w:t>
      </w:r>
      <w:proofErr w:type="spellStart"/>
      <w:r w:rsidRPr="001936FD">
        <w:rPr>
          <w:lang w:val="en-GB"/>
        </w:rPr>
        <w:t>Boelelaan</w:t>
      </w:r>
      <w:proofErr w:type="spellEnd"/>
      <w:r w:rsidRPr="001936FD">
        <w:rPr>
          <w:lang w:val="en-GB"/>
        </w:rPr>
        <w:t xml:space="preserve"> 1085, 1081 HV Amsterdam, The Netherlands</w:t>
      </w:r>
    </w:p>
    <w:p w14:paraId="657997D2" w14:textId="2C17F24A" w:rsidR="00510BB4" w:rsidRPr="001936FD" w:rsidRDefault="00AF6F3C" w:rsidP="00510BB4">
      <w:pPr>
        <w:spacing w:after="0" w:line="480" w:lineRule="auto"/>
        <w:rPr>
          <w:lang w:val="en-GB"/>
        </w:rPr>
      </w:pPr>
      <w:r w:rsidRPr="001936FD">
        <w:rPr>
          <w:vertAlign w:val="superscript"/>
          <w:lang w:val="en-GB"/>
        </w:rPr>
        <w:t>3</w:t>
      </w:r>
      <w:r w:rsidRPr="001936FD">
        <w:rPr>
          <w:lang w:val="en-GB"/>
        </w:rPr>
        <w:t xml:space="preserve"> </w:t>
      </w:r>
      <w:r w:rsidR="00510BB4" w:rsidRPr="001936FD">
        <w:rPr>
          <w:lang w:val="en-GB"/>
        </w:rPr>
        <w:t xml:space="preserve">Groningen Institute for Evolutionary Life Sciences, Community and Conservation Ecology Group, </w:t>
      </w:r>
      <w:proofErr w:type="spellStart"/>
      <w:r w:rsidR="00510BB4" w:rsidRPr="001936FD">
        <w:rPr>
          <w:lang w:val="en-GB"/>
        </w:rPr>
        <w:t>Rijksuniversiteit</w:t>
      </w:r>
      <w:proofErr w:type="spellEnd"/>
      <w:r w:rsidR="00510BB4" w:rsidRPr="001936FD">
        <w:rPr>
          <w:lang w:val="en-GB"/>
        </w:rPr>
        <w:t xml:space="preserve"> Groningen, </w:t>
      </w:r>
      <w:proofErr w:type="spellStart"/>
      <w:r w:rsidR="00510BB4" w:rsidRPr="001936FD">
        <w:rPr>
          <w:lang w:val="en-GB"/>
        </w:rPr>
        <w:t>Nijenborgh</w:t>
      </w:r>
      <w:proofErr w:type="spellEnd"/>
      <w:r w:rsidR="00510BB4" w:rsidRPr="001936FD">
        <w:rPr>
          <w:lang w:val="en-GB"/>
        </w:rPr>
        <w:t xml:space="preserve"> 7, 9747 AG Groningen, The Netherlands; </w:t>
      </w:r>
    </w:p>
    <w:p w14:paraId="314FF12B" w14:textId="2408787C" w:rsidR="00510BB4" w:rsidRDefault="00510BB4" w:rsidP="00424323">
      <w:pPr>
        <w:spacing w:after="0" w:line="480" w:lineRule="auto"/>
        <w:rPr>
          <w:rFonts w:cstheme="minorHAnsi"/>
          <w:i/>
          <w:sz w:val="26"/>
          <w:szCs w:val="26"/>
          <w:lang w:val="en-GB"/>
        </w:rPr>
      </w:pPr>
      <w:r w:rsidRPr="001936FD">
        <w:rPr>
          <w:b/>
          <w:lang w:val="en-GB"/>
        </w:rPr>
        <w:t>Email</w:t>
      </w:r>
      <w:r w:rsidRPr="001936FD">
        <w:rPr>
          <w:lang w:val="en-GB"/>
        </w:rPr>
        <w:t xml:space="preserve">: </w:t>
      </w:r>
      <w:r w:rsidRPr="001936FD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1936FD">
        <w:rPr>
          <w:lang w:val="en-GB"/>
        </w:rPr>
        <w:t>m.p.berg@vu.nl</w:t>
      </w:r>
      <w:r>
        <w:rPr>
          <w:rFonts w:cstheme="minorHAnsi"/>
          <w:i/>
          <w:sz w:val="26"/>
          <w:szCs w:val="26"/>
          <w:lang w:val="en-GB"/>
        </w:rPr>
        <w:br w:type="page"/>
      </w:r>
    </w:p>
    <w:p w14:paraId="35238635" w14:textId="09EB9C37" w:rsidR="003C70A9" w:rsidRPr="00781667" w:rsidRDefault="00FC356A" w:rsidP="005F4B07">
      <w:pPr>
        <w:pStyle w:val="NoSpacing"/>
        <w:spacing w:after="120" w:line="480" w:lineRule="auto"/>
        <w:rPr>
          <w:rFonts w:cstheme="minorHAnsi"/>
          <w:i/>
          <w:sz w:val="28"/>
          <w:szCs w:val="28"/>
          <w:lang w:val="en-GB"/>
        </w:rPr>
      </w:pPr>
      <w:r w:rsidRPr="00781667">
        <w:rPr>
          <w:rFonts w:cstheme="minorHAnsi"/>
          <w:b/>
          <w:sz w:val="28"/>
          <w:szCs w:val="28"/>
          <w:lang w:val="en-GB"/>
        </w:rPr>
        <w:lastRenderedPageBreak/>
        <w:t>Model performance</w:t>
      </w:r>
      <w:r w:rsidR="009048D2" w:rsidRPr="00781667">
        <w:rPr>
          <w:rFonts w:cstheme="minorHAnsi"/>
          <w:b/>
          <w:sz w:val="28"/>
          <w:szCs w:val="28"/>
          <w:lang w:val="en-GB"/>
        </w:rPr>
        <w:t xml:space="preserve"> test for </w:t>
      </w:r>
      <w:r w:rsidR="009048D2" w:rsidRPr="00781667">
        <w:rPr>
          <w:rFonts w:cstheme="minorHAnsi"/>
          <w:b/>
          <w:i/>
          <w:sz w:val="28"/>
          <w:szCs w:val="28"/>
          <w:lang w:val="en-GB"/>
        </w:rPr>
        <w:t xml:space="preserve">O. </w:t>
      </w:r>
      <w:proofErr w:type="spellStart"/>
      <w:r w:rsidR="009048D2" w:rsidRPr="00781667">
        <w:rPr>
          <w:rFonts w:cstheme="minorHAnsi"/>
          <w:b/>
          <w:i/>
          <w:sz w:val="28"/>
          <w:szCs w:val="28"/>
          <w:lang w:val="en-GB"/>
        </w:rPr>
        <w:t>gammarellus</w:t>
      </w:r>
      <w:proofErr w:type="spellEnd"/>
    </w:p>
    <w:p w14:paraId="2A6E2CC3" w14:textId="5FB80B28" w:rsidR="00781667" w:rsidRDefault="00781667" w:rsidP="004B0CB2">
      <w:pPr>
        <w:spacing w:after="0" w:line="480" w:lineRule="auto"/>
        <w:rPr>
          <w:rFonts w:cstheme="minorHAnsi"/>
          <w:lang w:val="en-GB"/>
        </w:rPr>
      </w:pPr>
      <w:r w:rsidRPr="00781667">
        <w:rPr>
          <w:rFonts w:cstheme="minorHAnsi"/>
          <w:b/>
          <w:lang w:val="en-GB"/>
        </w:rPr>
        <w:t>Methods</w:t>
      </w:r>
    </w:p>
    <w:p w14:paraId="2EE07D37" w14:textId="2AC7ECE2" w:rsidR="00396FF3" w:rsidRPr="00443C16" w:rsidRDefault="003A2A0E" w:rsidP="004B0CB2">
      <w:pPr>
        <w:spacing w:after="0" w:line="48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We assessed </w:t>
      </w:r>
      <w:r w:rsidR="00FC356A" w:rsidRPr="00D44AC0">
        <w:rPr>
          <w:rFonts w:cstheme="minorHAnsi"/>
          <w:lang w:val="en-GB"/>
        </w:rPr>
        <w:t xml:space="preserve">the performance of our model </w:t>
      </w:r>
      <w:r>
        <w:rPr>
          <w:rFonts w:cstheme="minorHAnsi"/>
          <w:lang w:val="en-GB"/>
        </w:rPr>
        <w:t xml:space="preserve">by visually examining </w:t>
      </w:r>
      <w:r w:rsidR="00FC356A" w:rsidRPr="00D44AC0">
        <w:rPr>
          <w:rFonts w:cstheme="minorHAnsi"/>
          <w:lang w:val="en-GB"/>
        </w:rPr>
        <w:t>to what</w:t>
      </w:r>
      <w:r w:rsidR="00294F61">
        <w:rPr>
          <w:rFonts w:cstheme="minorHAnsi"/>
          <w:lang w:val="en-GB"/>
        </w:rPr>
        <w:t xml:space="preserve"> </w:t>
      </w:r>
      <w:r w:rsidR="00AF6F3C">
        <w:rPr>
          <w:rFonts w:cstheme="minorHAnsi"/>
          <w:lang w:val="en-GB"/>
        </w:rPr>
        <w:t xml:space="preserve">extend </w:t>
      </w:r>
      <w:r w:rsidR="00294F61">
        <w:rPr>
          <w:rFonts w:cstheme="minorHAnsi"/>
          <w:lang w:val="en-GB"/>
        </w:rPr>
        <w:t>the</w:t>
      </w:r>
      <w:r w:rsidR="00FC356A" w:rsidRPr="00D44AC0">
        <w:rPr>
          <w:rFonts w:cstheme="minorHAnsi"/>
          <w:lang w:val="en-GB"/>
        </w:rPr>
        <w:t xml:space="preserve"> DEB-IPM is able to reproduce key characteristics of </w:t>
      </w:r>
      <w:r w:rsidR="00AE6FC3" w:rsidRPr="00D44AC0">
        <w:rPr>
          <w:rFonts w:cstheme="minorHAnsi"/>
          <w:i/>
          <w:lang w:val="en-GB"/>
        </w:rPr>
        <w:t xml:space="preserve">O. </w:t>
      </w:r>
      <w:proofErr w:type="spellStart"/>
      <w:r w:rsidR="00AE6FC3" w:rsidRPr="00D44AC0">
        <w:rPr>
          <w:rFonts w:cstheme="minorHAnsi"/>
          <w:i/>
          <w:lang w:val="en-GB"/>
        </w:rPr>
        <w:t>gammarellus</w:t>
      </w:r>
      <w:proofErr w:type="spellEnd"/>
      <w:r w:rsidR="00FC356A" w:rsidRPr="00D44AC0">
        <w:rPr>
          <w:rFonts w:cstheme="minorHAnsi"/>
          <w:lang w:val="en-GB"/>
        </w:rPr>
        <w:t xml:space="preserve"> populations</w:t>
      </w:r>
      <w:r w:rsidR="00AF6F3C">
        <w:rPr>
          <w:rFonts w:cstheme="minorHAnsi"/>
          <w:lang w:val="en-GB"/>
        </w:rPr>
        <w:t xml:space="preserve"> observed in the field</w:t>
      </w:r>
      <w:r w:rsidR="00FC356A" w:rsidRPr="00D44AC0">
        <w:rPr>
          <w:rFonts w:cstheme="minorHAnsi"/>
          <w:lang w:val="en-GB"/>
        </w:rPr>
        <w:t xml:space="preserve">. </w:t>
      </w:r>
      <w:r w:rsidR="00294F61">
        <w:rPr>
          <w:rFonts w:cstheme="minorHAnsi"/>
          <w:lang w:val="en-GB"/>
        </w:rPr>
        <w:t>To this end, w</w:t>
      </w:r>
      <w:r w:rsidR="002D686F" w:rsidRPr="00D44AC0">
        <w:rPr>
          <w:rFonts w:cstheme="minorHAnsi"/>
          <w:lang w:val="en-GB"/>
        </w:rPr>
        <w:t>e</w:t>
      </w:r>
      <w:r w:rsidR="00294F61">
        <w:rPr>
          <w:rFonts w:cstheme="minorHAnsi"/>
          <w:lang w:val="en-GB"/>
        </w:rPr>
        <w:t xml:space="preserve"> </w:t>
      </w:r>
      <w:r w:rsidR="002D686F" w:rsidRPr="00D44AC0">
        <w:rPr>
          <w:rFonts w:cstheme="minorHAnsi"/>
          <w:lang w:val="en-GB"/>
        </w:rPr>
        <w:t xml:space="preserve">used </w:t>
      </w:r>
      <w:proofErr w:type="spellStart"/>
      <w:r w:rsidR="002E316F">
        <w:rPr>
          <w:rFonts w:cstheme="minorHAnsi"/>
          <w:lang w:val="en-GB"/>
        </w:rPr>
        <w:t>e</w:t>
      </w:r>
      <w:r w:rsidR="002D686F" w:rsidRPr="00D44AC0">
        <w:rPr>
          <w:rFonts w:cstheme="minorHAnsi"/>
          <w:lang w:val="en-GB"/>
        </w:rPr>
        <w:t>qn</w:t>
      </w:r>
      <w:proofErr w:type="spellEnd"/>
      <w:r w:rsidR="002D686F" w:rsidRPr="00D44AC0">
        <w:rPr>
          <w:rFonts w:cstheme="minorHAnsi"/>
          <w:lang w:val="en-GB"/>
        </w:rPr>
        <w:t xml:space="preserve"> 1 to </w:t>
      </w:r>
      <w:r w:rsidR="00D973BF" w:rsidRPr="00D44AC0">
        <w:rPr>
          <w:rFonts w:cstheme="minorHAnsi"/>
          <w:lang w:val="en-GB"/>
        </w:rPr>
        <w:t>calculate</w:t>
      </w:r>
      <w:r w:rsidR="002D686F" w:rsidRPr="00D44AC0">
        <w:rPr>
          <w:rFonts w:cstheme="minorHAnsi"/>
          <w:lang w:val="en-GB"/>
        </w:rPr>
        <w:t xml:space="preserve"> </w:t>
      </w:r>
      <w:r w:rsidR="00294F61">
        <w:rPr>
          <w:rFonts w:cstheme="minorHAnsi"/>
          <w:lang w:val="en-GB"/>
        </w:rPr>
        <w:t xml:space="preserve">the </w:t>
      </w:r>
      <w:r w:rsidR="002D686F" w:rsidRPr="00D44AC0">
        <w:rPr>
          <w:rFonts w:cstheme="minorHAnsi"/>
          <w:lang w:val="en-GB"/>
        </w:rPr>
        <w:t>population growth rate (</w:t>
      </w:r>
      <w:r w:rsidR="002D686F" w:rsidRPr="002209D8">
        <w:rPr>
          <w:rFonts w:ascii="Symbol" w:hAnsi="Symbol" w:cstheme="minorHAnsi"/>
          <w:lang w:val="en-GB"/>
        </w:rPr>
        <w:t></w:t>
      </w:r>
      <w:r w:rsidR="002D686F" w:rsidRPr="00D44AC0">
        <w:rPr>
          <w:rFonts w:cstheme="minorHAnsi"/>
          <w:lang w:val="en-GB"/>
        </w:rPr>
        <w:t>), lifetime reproductive success (</w:t>
      </w:r>
      <w:r w:rsidR="002D686F" w:rsidRPr="00D44AC0">
        <w:rPr>
          <w:rFonts w:cstheme="minorHAnsi"/>
          <w:i/>
          <w:lang w:val="en-GB"/>
        </w:rPr>
        <w:t>R</w:t>
      </w:r>
      <w:r w:rsidR="002D686F" w:rsidRPr="00D44AC0">
        <w:rPr>
          <w:rFonts w:cstheme="minorHAnsi"/>
          <w:vertAlign w:val="subscript"/>
          <w:lang w:val="en-GB"/>
        </w:rPr>
        <w:t>0</w:t>
      </w:r>
      <w:r w:rsidR="00D973BF" w:rsidRPr="00D44AC0">
        <w:rPr>
          <w:rFonts w:cstheme="minorHAnsi"/>
          <w:lang w:val="en-GB"/>
        </w:rPr>
        <w:t xml:space="preserve">), </w:t>
      </w:r>
      <w:r w:rsidR="002D686F" w:rsidRPr="00D44AC0">
        <w:rPr>
          <w:rFonts w:cstheme="minorHAnsi"/>
          <w:lang w:val="en-GB"/>
        </w:rPr>
        <w:t>generation time (</w:t>
      </w:r>
      <w:r w:rsidR="002D686F" w:rsidRPr="00D44AC0">
        <w:rPr>
          <w:rFonts w:cstheme="minorHAnsi"/>
          <w:i/>
          <w:lang w:val="en-GB"/>
        </w:rPr>
        <w:t>T</w:t>
      </w:r>
      <w:r w:rsidR="002D686F" w:rsidRPr="00D44AC0">
        <w:rPr>
          <w:rFonts w:cstheme="minorHAnsi"/>
          <w:lang w:val="en-GB"/>
        </w:rPr>
        <w:t>)</w:t>
      </w:r>
      <w:r w:rsidR="00D973BF" w:rsidRPr="00D44AC0">
        <w:rPr>
          <w:rFonts w:cstheme="minorHAnsi"/>
          <w:lang w:val="en-GB"/>
        </w:rPr>
        <w:t>,</w:t>
      </w:r>
      <w:r w:rsidR="00F132F8" w:rsidRPr="00D44AC0">
        <w:rPr>
          <w:rFonts w:cstheme="minorHAnsi"/>
          <w:lang w:val="en-GB"/>
        </w:rPr>
        <w:t xml:space="preserve"> cohort generation time (</w:t>
      </w:r>
      <w:r w:rsidR="00F132F8" w:rsidRPr="00D44AC0">
        <w:rPr>
          <w:rFonts w:cstheme="minorHAnsi"/>
          <w:i/>
          <w:lang w:val="en-GB"/>
        </w:rPr>
        <w:t>T</w:t>
      </w:r>
      <w:r w:rsidR="00F132F8" w:rsidRPr="00D44AC0">
        <w:rPr>
          <w:rFonts w:cstheme="minorHAnsi"/>
          <w:i/>
          <w:vertAlign w:val="subscript"/>
          <w:lang w:val="en-GB"/>
        </w:rPr>
        <w:t>c</w:t>
      </w:r>
      <w:r w:rsidR="00F132F8" w:rsidRPr="00D44AC0">
        <w:rPr>
          <w:rFonts w:cstheme="minorHAnsi"/>
          <w:lang w:val="en-GB"/>
        </w:rPr>
        <w:t xml:space="preserve">), </w:t>
      </w:r>
      <w:r w:rsidR="00F81BC4" w:rsidRPr="00D44AC0">
        <w:rPr>
          <w:rFonts w:cstheme="minorHAnsi"/>
          <w:lang w:val="en-GB"/>
        </w:rPr>
        <w:t xml:space="preserve">and </w:t>
      </w:r>
      <w:r w:rsidR="00D973BF" w:rsidRPr="00D44AC0">
        <w:rPr>
          <w:rFonts w:cstheme="minorHAnsi"/>
          <w:lang w:val="en-GB"/>
        </w:rPr>
        <w:t>mean body size</w:t>
      </w:r>
      <w:r w:rsidR="00D958D1" w:rsidRPr="00D44AC0">
        <w:rPr>
          <w:rFonts w:cstheme="minorHAnsi"/>
          <w:lang w:val="en-GB"/>
        </w:rPr>
        <w:t xml:space="preserve"> </w:t>
      </w:r>
      <w:r w:rsidR="008E63FB" w:rsidRPr="00D44AC0">
        <w:rPr>
          <w:rFonts w:cstheme="minorHAnsi"/>
          <w:lang w:val="en-GB"/>
        </w:rPr>
        <w:t>of juveniles and adults</w:t>
      </w:r>
      <w:r w:rsidR="004A380E" w:rsidRPr="00D44AC0">
        <w:rPr>
          <w:rFonts w:cstheme="minorHAnsi"/>
          <w:lang w:val="en-GB"/>
        </w:rPr>
        <w:t xml:space="preserve"> </w:t>
      </w:r>
      <w:r w:rsidR="00D973BF" w:rsidRPr="00D44AC0">
        <w:rPr>
          <w:rFonts w:cstheme="minorHAnsi"/>
          <w:lang w:val="en-GB"/>
        </w:rPr>
        <w:t xml:space="preserve">across a range of </w:t>
      </w:r>
      <w:r w:rsidR="00C0526F" w:rsidRPr="00D44AC0">
        <w:rPr>
          <w:rFonts w:cstheme="minorHAnsi"/>
          <w:lang w:val="en-GB"/>
        </w:rPr>
        <w:t>constant values of expected feeding level:</w:t>
      </w:r>
      <w:r w:rsidR="00A81382" w:rsidRPr="00D44AC0">
        <w:rPr>
          <w:rFonts w:cstheme="minorHAnsi"/>
          <w:lang w:val="en-GB"/>
        </w:rPr>
        <w:t xml:space="preserve"> 0.</w:t>
      </w:r>
      <w:r w:rsidR="003146BC">
        <w:rPr>
          <w:rFonts w:cstheme="minorHAnsi"/>
          <w:lang w:val="en-GB"/>
        </w:rPr>
        <w:t>4</w:t>
      </w:r>
      <w:r w:rsidR="00916AD2" w:rsidRPr="00D44AC0">
        <w:rPr>
          <w:rFonts w:cstheme="minorHAnsi"/>
          <w:lang w:val="en-GB"/>
        </w:rPr>
        <w:t xml:space="preserve"> </w:t>
      </w:r>
      <w:r w:rsidR="00916AD2" w:rsidRPr="00D44AC0">
        <w:rPr>
          <w:rFonts w:cstheme="minorHAnsi"/>
          <w:lang w:val="en-GB"/>
        </w:rPr>
        <w:sym w:font="Symbol" w:char="F0A3"/>
      </w:r>
      <w:r w:rsidR="00916AD2" w:rsidRPr="00D44AC0">
        <w:rPr>
          <w:rFonts w:cstheme="minorHAnsi"/>
          <w:lang w:val="en-GB"/>
        </w:rPr>
        <w:t xml:space="preserve"> </w:t>
      </w:r>
      <w:r w:rsidR="00916AD2" w:rsidRPr="00D44AC0">
        <w:rPr>
          <w:rFonts w:cstheme="minorHAnsi"/>
          <w:i/>
          <w:lang w:val="en-GB"/>
        </w:rPr>
        <w:t>E</w:t>
      </w:r>
      <w:r w:rsidR="00916AD2" w:rsidRPr="00D44AC0">
        <w:rPr>
          <w:rFonts w:cstheme="minorHAnsi"/>
          <w:lang w:val="en-GB"/>
        </w:rPr>
        <w:t>(</w:t>
      </w:r>
      <w:r w:rsidR="00916AD2" w:rsidRPr="00D44AC0">
        <w:rPr>
          <w:rFonts w:cstheme="minorHAnsi"/>
          <w:i/>
          <w:lang w:val="en-GB"/>
        </w:rPr>
        <w:t>Y</w:t>
      </w:r>
      <w:r w:rsidR="00916AD2" w:rsidRPr="00D44AC0">
        <w:rPr>
          <w:rFonts w:cstheme="minorHAnsi"/>
          <w:lang w:val="en-GB"/>
        </w:rPr>
        <w:t xml:space="preserve">) </w:t>
      </w:r>
      <w:r w:rsidR="00916AD2" w:rsidRPr="00D44AC0">
        <w:rPr>
          <w:rFonts w:cstheme="minorHAnsi"/>
          <w:lang w:val="en-GB"/>
        </w:rPr>
        <w:sym w:font="Symbol" w:char="F0A3"/>
      </w:r>
      <w:r w:rsidR="00916AD2" w:rsidRPr="00D44AC0">
        <w:rPr>
          <w:rFonts w:cstheme="minorHAnsi"/>
          <w:lang w:val="en-GB"/>
        </w:rPr>
        <w:t xml:space="preserve"> 1</w:t>
      </w:r>
      <w:r w:rsidR="0032429E" w:rsidRPr="00D44AC0">
        <w:rPr>
          <w:rFonts w:cstheme="minorHAnsi"/>
          <w:lang w:val="en-GB"/>
        </w:rPr>
        <w:t xml:space="preserve"> (</w:t>
      </w:r>
      <w:r w:rsidR="0062194E" w:rsidRPr="00D44AC0">
        <w:rPr>
          <w:rFonts w:cstheme="minorHAnsi"/>
          <w:lang w:val="en-GB"/>
        </w:rPr>
        <w:t xml:space="preserve">in </w:t>
      </w:r>
      <w:r w:rsidR="0032429E" w:rsidRPr="00D44AC0">
        <w:rPr>
          <w:rFonts w:cstheme="minorHAnsi"/>
          <w:lang w:val="en-GB"/>
        </w:rPr>
        <w:t>increments of 0.</w:t>
      </w:r>
      <w:r w:rsidR="00577389" w:rsidRPr="00D44AC0">
        <w:rPr>
          <w:rFonts w:cstheme="minorHAnsi"/>
          <w:lang w:val="en-GB"/>
        </w:rPr>
        <w:t>0</w:t>
      </w:r>
      <w:r w:rsidR="0032429E" w:rsidRPr="00D44AC0">
        <w:rPr>
          <w:rFonts w:cstheme="minorHAnsi"/>
          <w:lang w:val="en-GB"/>
        </w:rPr>
        <w:t>1)</w:t>
      </w:r>
      <w:r w:rsidR="002D686F" w:rsidRPr="00D44AC0">
        <w:rPr>
          <w:rFonts w:cstheme="minorHAnsi"/>
          <w:lang w:val="en-GB"/>
        </w:rPr>
        <w:t xml:space="preserve">. </w:t>
      </w:r>
      <w:r w:rsidR="00294F61">
        <w:rPr>
          <w:rFonts w:cstheme="minorHAnsi"/>
          <w:lang w:val="en-GB"/>
        </w:rPr>
        <w:t>F</w:t>
      </w:r>
      <w:r w:rsidR="0032429E" w:rsidRPr="00D44AC0">
        <w:rPr>
          <w:rFonts w:cstheme="minorHAnsi"/>
          <w:lang w:val="en-GB"/>
        </w:rPr>
        <w:t>or each constant feeding level,</w:t>
      </w:r>
      <w:r w:rsidR="002D686F" w:rsidRPr="00D44AC0">
        <w:rPr>
          <w:rFonts w:cstheme="minorHAnsi"/>
          <w:lang w:val="en-GB"/>
        </w:rPr>
        <w:t xml:space="preserve"> we discretised the </w:t>
      </w:r>
      <w:r w:rsidR="00A605B7" w:rsidRPr="00D44AC0">
        <w:rPr>
          <w:rFonts w:cstheme="minorHAnsi"/>
          <w:lang w:val="en-GB"/>
        </w:rPr>
        <w:t>DEB-</w:t>
      </w:r>
      <w:r w:rsidR="002D686F" w:rsidRPr="00D44AC0">
        <w:rPr>
          <w:rFonts w:cstheme="minorHAnsi"/>
          <w:lang w:val="en-GB"/>
        </w:rPr>
        <w:t>IPM (</w:t>
      </w:r>
      <w:proofErr w:type="spellStart"/>
      <w:r w:rsidR="002D686F" w:rsidRPr="00D44AC0">
        <w:rPr>
          <w:rFonts w:cstheme="minorHAnsi"/>
          <w:lang w:val="en-GB"/>
        </w:rPr>
        <w:t>Eqn</w:t>
      </w:r>
      <w:proofErr w:type="spellEnd"/>
      <w:r w:rsidR="002D686F" w:rsidRPr="00D44AC0">
        <w:rPr>
          <w:rFonts w:cstheme="minorHAnsi"/>
          <w:lang w:val="en-GB"/>
        </w:rPr>
        <w:t xml:space="preserve"> 1) and divided the length domain Ω into 200 very small-width discrete bins, defined as ‘mesh points’ (a higher number of bins did not produce different results). The result is a matrix that maps a vector of 200 size classes from time </w:t>
      </w:r>
      <w:r w:rsidR="002D686F" w:rsidRPr="00D44AC0">
        <w:rPr>
          <w:rFonts w:cstheme="minorHAnsi"/>
          <w:i/>
          <w:lang w:val="en-GB"/>
        </w:rPr>
        <w:t>t</w:t>
      </w:r>
      <w:r w:rsidR="002D686F" w:rsidRPr="00D44AC0">
        <w:rPr>
          <w:rFonts w:cstheme="minorHAnsi"/>
          <w:lang w:val="en-GB"/>
        </w:rPr>
        <w:t xml:space="preserve"> to </w:t>
      </w:r>
      <w:r w:rsidR="002D686F" w:rsidRPr="00D44AC0">
        <w:rPr>
          <w:rFonts w:cstheme="minorHAnsi"/>
          <w:i/>
          <w:lang w:val="en-GB"/>
        </w:rPr>
        <w:t xml:space="preserve">t </w:t>
      </w:r>
      <w:r w:rsidR="002D686F" w:rsidRPr="00D44AC0">
        <w:rPr>
          <w:rFonts w:cstheme="minorHAnsi"/>
          <w:lang w:val="en-GB"/>
        </w:rPr>
        <w:t xml:space="preserve">+ 1. The dominant eigenvalue of this matrix equals λ. </w:t>
      </w:r>
      <w:r w:rsidR="002D686F" w:rsidRPr="00D44AC0">
        <w:rPr>
          <w:rFonts w:cstheme="minorHAnsi"/>
          <w:i/>
          <w:lang w:val="en-GB"/>
        </w:rPr>
        <w:t>R</w:t>
      </w:r>
      <w:r w:rsidR="002D686F" w:rsidRPr="00D44AC0">
        <w:rPr>
          <w:rFonts w:cstheme="minorHAnsi"/>
          <w:vertAlign w:val="subscript"/>
          <w:lang w:val="en-GB"/>
        </w:rPr>
        <w:t>0</w:t>
      </w:r>
      <w:r w:rsidR="002D686F" w:rsidRPr="00D44AC0">
        <w:rPr>
          <w:rFonts w:cstheme="minorHAnsi"/>
          <w:lang w:val="en-GB"/>
        </w:rPr>
        <w:t xml:space="preserve"> was </w:t>
      </w:r>
      <w:r w:rsidR="0032429E" w:rsidRPr="00D44AC0">
        <w:rPr>
          <w:rFonts w:cstheme="minorHAnsi"/>
          <w:lang w:val="en-GB"/>
        </w:rPr>
        <w:t xml:space="preserve">then </w:t>
      </w:r>
      <w:r w:rsidR="002D686F" w:rsidRPr="00D44AC0">
        <w:rPr>
          <w:rFonts w:cstheme="minorHAnsi"/>
          <w:lang w:val="en-GB"/>
        </w:rPr>
        <w:t xml:space="preserve">calculated as the dominant eigenvalue of the matrix </w:t>
      </w:r>
      <m:oMath>
        <m:r>
          <m:rPr>
            <m:sty m:val="b"/>
          </m:rPr>
          <w:rPr>
            <w:rFonts w:ascii="Cambria Math" w:hAnsi="Cambria Math" w:cstheme="minorHAnsi"/>
            <w:lang w:val="en-GB"/>
          </w:rPr>
          <m:t>F</m:t>
        </m:r>
        <m:r>
          <w:rPr>
            <w:rFonts w:ascii="Cambria Math" w:hAnsi="Cambria Math" w:cstheme="minorHAnsi"/>
            <w:lang w:val="en-GB"/>
          </w:rPr>
          <m:t>=</m:t>
        </m:r>
        <m:r>
          <m:rPr>
            <m:sty m:val="b"/>
          </m:rPr>
          <w:rPr>
            <w:rFonts w:ascii="Cambria Math" w:hAnsi="Cambria Math" w:cstheme="minorHAnsi"/>
            <w:lang w:val="en-GB"/>
          </w:rPr>
          <m:t>V</m:t>
        </m:r>
        <m:r>
          <w:rPr>
            <w:rFonts w:ascii="Cambria Math" w:hAnsi="Cambria Math" w:cstheme="minorHAnsi"/>
            <w:lang w:val="en-GB"/>
          </w:rPr>
          <m:t>(</m:t>
        </m:r>
        <m:r>
          <m:rPr>
            <m:sty m:val="b"/>
          </m:rPr>
          <w:rPr>
            <w:rFonts w:ascii="Cambria Math" w:hAnsi="Cambria Math" w:cstheme="minorHAnsi"/>
            <w:lang w:val="en-GB"/>
          </w:rPr>
          <m:t>I</m:t>
        </m:r>
        <m:r>
          <w:rPr>
            <w:rFonts w:ascii="Cambria Math" w:hAnsi="Cambria Math" w:cstheme="minorHAnsi"/>
            <w:lang w:val="en-GB"/>
          </w:rPr>
          <m:t>-</m:t>
        </m:r>
        <m:r>
          <m:rPr>
            <m:sty m:val="b"/>
          </m:rPr>
          <w:rPr>
            <w:rFonts w:ascii="Cambria Math" w:hAnsi="Cambria Math" w:cstheme="minorHAnsi"/>
            <w:lang w:val="en-GB"/>
          </w:rPr>
          <m:t>G∙S</m:t>
        </m:r>
        <m:sSup>
          <m:sSupPr>
            <m:ctrlPr>
              <w:rPr>
                <w:rFonts w:ascii="Cambria Math" w:hAnsi="Cambria Math" w:cstheme="minorHAnsi"/>
                <w:i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)</m:t>
            </m:r>
          </m:e>
          <m:sup>
            <m:r>
              <w:rPr>
                <w:rFonts w:ascii="Cambria Math" w:hAnsi="Cambria Math" w:cstheme="minorHAnsi"/>
                <w:lang w:val="en-GB"/>
              </w:rPr>
              <m:t>-1</m:t>
            </m:r>
          </m:sup>
        </m:sSup>
      </m:oMath>
      <w:r w:rsidR="002D686F" w:rsidRPr="00D44AC0">
        <w:rPr>
          <w:rFonts w:cstheme="minorHAnsi"/>
          <w:lang w:val="en-GB"/>
        </w:rPr>
        <w:t xml:space="preserve">, where </w:t>
      </w:r>
      <w:r w:rsidR="002D686F" w:rsidRPr="00D44AC0">
        <w:rPr>
          <w:rFonts w:cstheme="minorHAnsi"/>
          <w:b/>
          <w:lang w:val="en-GB"/>
        </w:rPr>
        <w:t>I</w:t>
      </w:r>
      <w:r w:rsidR="002D686F" w:rsidRPr="00D44AC0">
        <w:rPr>
          <w:rFonts w:cstheme="minorHAnsi"/>
          <w:lang w:val="en-GB"/>
        </w:rPr>
        <w:t xml:space="preserve"> is the identity matrix and </w:t>
      </w:r>
      <w:r w:rsidR="002D686F" w:rsidRPr="00D44AC0">
        <w:rPr>
          <w:rFonts w:cstheme="minorHAnsi"/>
          <w:b/>
          <w:lang w:val="en-GB"/>
        </w:rPr>
        <w:t>V</w:t>
      </w:r>
      <w:r w:rsidR="002D686F" w:rsidRPr="00D44AC0">
        <w:rPr>
          <w:rFonts w:cstheme="minorHAnsi"/>
          <w:lang w:val="en-GB"/>
        </w:rPr>
        <w:t xml:space="preserve"> = </w:t>
      </w:r>
      <w:r w:rsidR="002D686F" w:rsidRPr="00D44AC0">
        <w:rPr>
          <w:rFonts w:cstheme="minorHAnsi"/>
          <w:b/>
          <w:lang w:val="en-GB"/>
        </w:rPr>
        <w:t>DR</w:t>
      </w:r>
      <w:r w:rsidR="002D686F" w:rsidRPr="00D44AC0">
        <w:rPr>
          <w:rFonts w:cstheme="minorHAnsi"/>
          <w:lang w:val="en-GB"/>
        </w:rPr>
        <w:t xml:space="preserve">, where </w:t>
      </w:r>
      <w:r w:rsidR="002D686F" w:rsidRPr="00D44AC0">
        <w:rPr>
          <w:rFonts w:cstheme="minorHAnsi"/>
          <w:b/>
          <w:lang w:val="en-GB"/>
        </w:rPr>
        <w:t>D</w:t>
      </w:r>
      <w:r w:rsidR="002D686F" w:rsidRPr="00D44AC0">
        <w:rPr>
          <w:rFonts w:cstheme="minorHAnsi"/>
          <w:lang w:val="en-GB"/>
        </w:rPr>
        <w:t xml:space="preserve"> is a matrix that approximates the parent-offspring association kernel and </w:t>
      </w:r>
      <w:r w:rsidR="002D686F" w:rsidRPr="00D44AC0">
        <w:rPr>
          <w:rFonts w:cstheme="minorHAnsi"/>
          <w:b/>
          <w:lang w:val="en-GB"/>
        </w:rPr>
        <w:t>R</w:t>
      </w:r>
      <w:r w:rsidR="002D686F" w:rsidRPr="00D44AC0">
        <w:rPr>
          <w:rFonts w:cstheme="minorHAnsi"/>
          <w:lang w:val="en-GB"/>
        </w:rPr>
        <w:t xml:space="preserve"> is a matrix that approximates the reproduction kernel (Caswell 2001). </w:t>
      </w:r>
      <w:r w:rsidR="002D686F" w:rsidRPr="00D44AC0">
        <w:rPr>
          <w:rFonts w:cstheme="minorHAnsi"/>
          <w:b/>
          <w:lang w:val="en-GB"/>
        </w:rPr>
        <w:t>G</w:t>
      </w:r>
      <w:r w:rsidR="002D686F" w:rsidRPr="00D44AC0">
        <w:rPr>
          <w:rFonts w:cstheme="minorHAnsi"/>
          <w:lang w:val="en-GB"/>
        </w:rPr>
        <w:t xml:space="preserve"> and </w:t>
      </w:r>
      <w:r w:rsidR="002D686F" w:rsidRPr="00D44AC0">
        <w:rPr>
          <w:rFonts w:cstheme="minorHAnsi"/>
          <w:b/>
          <w:lang w:val="en-GB"/>
        </w:rPr>
        <w:t>S</w:t>
      </w:r>
      <w:r w:rsidR="002D686F" w:rsidRPr="00D44AC0">
        <w:rPr>
          <w:rFonts w:cstheme="minorHAnsi"/>
          <w:lang w:val="en-GB"/>
        </w:rPr>
        <w:t xml:space="preserve"> are</w:t>
      </w:r>
      <w:r w:rsidR="0032429E" w:rsidRPr="00D44AC0">
        <w:rPr>
          <w:rFonts w:cstheme="minorHAnsi"/>
          <w:lang w:val="en-GB"/>
        </w:rPr>
        <w:t>, respectively,</w:t>
      </w:r>
      <w:r w:rsidR="002D686F" w:rsidRPr="00D44AC0">
        <w:rPr>
          <w:rFonts w:cstheme="minorHAnsi"/>
          <w:lang w:val="en-GB"/>
        </w:rPr>
        <w:t xml:space="preserve"> the matrix that approximates the growth function and the</w:t>
      </w:r>
      <w:r w:rsidR="002D686F" w:rsidRPr="00D44AC0">
        <w:rPr>
          <w:rFonts w:cstheme="minorHAnsi"/>
          <w:b/>
          <w:lang w:val="en-GB"/>
        </w:rPr>
        <w:t xml:space="preserve"> </w:t>
      </w:r>
      <w:r w:rsidR="002D686F" w:rsidRPr="00D44AC0">
        <w:rPr>
          <w:rFonts w:cstheme="minorHAnsi"/>
          <w:lang w:val="en-GB"/>
        </w:rPr>
        <w:t>survival function. Generation time</w:t>
      </w:r>
      <w:r w:rsidR="00916AD2" w:rsidRPr="00D44AC0">
        <w:rPr>
          <w:rFonts w:cstheme="minorHAnsi"/>
          <w:lang w:val="en-GB"/>
        </w:rPr>
        <w:t xml:space="preserve"> </w:t>
      </w:r>
      <w:r w:rsidR="00916AD2" w:rsidRPr="00D44AC0">
        <w:rPr>
          <w:rFonts w:cstheme="minorHAnsi"/>
          <w:i/>
          <w:lang w:val="en-GB"/>
        </w:rPr>
        <w:t>T</w:t>
      </w:r>
      <w:r w:rsidR="00916AD2" w:rsidRPr="00D44AC0">
        <w:rPr>
          <w:rFonts w:cstheme="minorHAnsi"/>
          <w:lang w:val="en-GB"/>
        </w:rPr>
        <w:t xml:space="preserve"> </w:t>
      </w:r>
      <w:r w:rsidR="002D686F" w:rsidRPr="00D44AC0">
        <w:rPr>
          <w:rFonts w:cstheme="minorHAnsi"/>
          <w:lang w:val="en-GB"/>
        </w:rPr>
        <w:t xml:space="preserve">was approximated as </w:t>
      </w:r>
      <w:r w:rsidR="002D686F" w:rsidRPr="00D44AC0">
        <w:rPr>
          <w:rFonts w:cstheme="minorHAnsi"/>
          <w:i/>
          <w:lang w:val="en-GB"/>
        </w:rPr>
        <w:t>T</w:t>
      </w:r>
      <w:r w:rsidR="002D686F" w:rsidRPr="00D44AC0">
        <w:rPr>
          <w:rFonts w:cstheme="minorHAnsi"/>
          <w:lang w:val="en-GB"/>
        </w:rPr>
        <w:t xml:space="preserve"> = log(</w:t>
      </w:r>
      <w:r w:rsidR="002D686F" w:rsidRPr="00D44AC0">
        <w:rPr>
          <w:rFonts w:cstheme="minorHAnsi"/>
          <w:i/>
          <w:lang w:val="en-GB"/>
        </w:rPr>
        <w:t>R</w:t>
      </w:r>
      <w:r w:rsidR="002D686F" w:rsidRPr="00D44AC0">
        <w:rPr>
          <w:rFonts w:cstheme="minorHAnsi"/>
          <w:vertAlign w:val="subscript"/>
          <w:lang w:val="en-GB"/>
        </w:rPr>
        <w:t>0</w:t>
      </w:r>
      <w:r w:rsidR="002D686F" w:rsidRPr="00D44AC0">
        <w:rPr>
          <w:rFonts w:cstheme="minorHAnsi"/>
          <w:lang w:val="en-GB"/>
        </w:rPr>
        <w:t>)/log(</w:t>
      </w:r>
      <w:r w:rsidR="002D686F" w:rsidRPr="00D44AC0">
        <w:rPr>
          <w:rFonts w:cstheme="minorHAnsi"/>
          <w:i/>
          <w:lang w:val="en-GB"/>
        </w:rPr>
        <w:t>λ</w:t>
      </w:r>
      <w:r w:rsidR="002D686F" w:rsidRPr="00D44AC0">
        <w:rPr>
          <w:rFonts w:cstheme="minorHAnsi"/>
          <w:lang w:val="en-GB"/>
        </w:rPr>
        <w:t xml:space="preserve">), which represents the time it takes a population to increase by a factor </w:t>
      </w:r>
      <w:r w:rsidR="002D686F" w:rsidRPr="00D44AC0">
        <w:rPr>
          <w:rFonts w:cstheme="minorHAnsi"/>
          <w:i/>
          <w:lang w:val="en-GB"/>
        </w:rPr>
        <w:t>R</w:t>
      </w:r>
      <w:r w:rsidR="002D686F" w:rsidRPr="00D44AC0">
        <w:rPr>
          <w:rFonts w:cstheme="minorHAnsi"/>
          <w:vertAlign w:val="subscript"/>
          <w:lang w:val="en-GB"/>
        </w:rPr>
        <w:t>0</w:t>
      </w:r>
      <w:r w:rsidR="002D686F" w:rsidRPr="00D44AC0">
        <w:rPr>
          <w:rFonts w:cstheme="minorHAnsi"/>
          <w:lang w:val="en-GB"/>
        </w:rPr>
        <w:t xml:space="preserve"> (Caswell 2001).</w:t>
      </w:r>
      <w:r w:rsidR="00B84C17" w:rsidRPr="00D44AC0">
        <w:rPr>
          <w:rFonts w:cstheme="minorHAnsi"/>
          <w:lang w:val="en-GB"/>
        </w:rPr>
        <w:t xml:space="preserve"> </w:t>
      </w:r>
      <w:r w:rsidR="004E6EE4" w:rsidRPr="00D44AC0">
        <w:rPr>
          <w:rFonts w:cstheme="minorHAnsi"/>
          <w:lang w:val="en-GB"/>
        </w:rPr>
        <w:t>Cohort generation time</w:t>
      </w:r>
      <w:r w:rsidR="00396FF3" w:rsidRPr="00D44AC0">
        <w:rPr>
          <w:rFonts w:cstheme="minorHAnsi"/>
          <w:lang w:val="en-GB"/>
        </w:rPr>
        <w:t xml:space="preserve"> </w:t>
      </w:r>
      <w:r w:rsidR="00916AD2" w:rsidRPr="00D44AC0">
        <w:rPr>
          <w:rFonts w:cstheme="minorHAnsi"/>
          <w:i/>
          <w:lang w:val="en-GB"/>
        </w:rPr>
        <w:t>T</w:t>
      </w:r>
      <w:r w:rsidR="00916AD2" w:rsidRPr="00D44AC0">
        <w:rPr>
          <w:rFonts w:cstheme="minorHAnsi"/>
          <w:i/>
          <w:vertAlign w:val="subscript"/>
          <w:lang w:val="en-GB"/>
        </w:rPr>
        <w:t>c</w:t>
      </w:r>
      <w:r w:rsidR="00916AD2" w:rsidRPr="00D44AC0">
        <w:rPr>
          <w:rFonts w:cstheme="minorHAnsi"/>
          <w:lang w:val="en-GB"/>
        </w:rPr>
        <w:t xml:space="preserve"> </w:t>
      </w:r>
      <w:r w:rsidR="00396FF3" w:rsidRPr="00D44AC0">
        <w:rPr>
          <w:rFonts w:cstheme="minorHAnsi"/>
          <w:lang w:val="en-GB"/>
        </w:rPr>
        <w:t xml:space="preserve">was calculated as the mean age of offspring production in a cohort of </w:t>
      </w:r>
      <w:r w:rsidR="00C4473D" w:rsidRPr="00D44AC0">
        <w:rPr>
          <w:rFonts w:cstheme="minorHAnsi"/>
          <w:lang w:val="en-GB"/>
        </w:rPr>
        <w:t xml:space="preserve">eggs </w:t>
      </w:r>
      <w:r w:rsidR="00396FF3" w:rsidRPr="00D50C3D">
        <w:rPr>
          <w:rFonts w:cstheme="minorHAnsi"/>
          <w:lang w:val="en-GB"/>
        </w:rPr>
        <w:t>(Caswell 2009):</w:t>
      </w:r>
      <w:r w:rsidR="00396FF3" w:rsidRPr="00443C16">
        <w:rPr>
          <w:rFonts w:cstheme="minorHAnsi"/>
          <w:lang w:val="en-GB"/>
        </w:rPr>
        <w:t xml:space="preserve"> </w:t>
      </w:r>
    </w:p>
    <w:p w14:paraId="75307846" w14:textId="77777777" w:rsidR="00396FF3" w:rsidRPr="00D44AC0" w:rsidRDefault="00396FF3" w:rsidP="004B0CB2">
      <w:pPr>
        <w:spacing w:after="0" w:line="480" w:lineRule="auto"/>
        <w:rPr>
          <w:rFonts w:ascii="Times New Roman" w:hAnsi="Times New Roman" w:cs="Times New Roman"/>
          <w:lang w:val="en-GB"/>
        </w:rPr>
      </w:pPr>
    </w:p>
    <w:p w14:paraId="5F8318B4" w14:textId="62295E61" w:rsidR="00396FF3" w:rsidRPr="00D44AC0" w:rsidRDefault="00440EA4" w:rsidP="004B0CB2">
      <w:pPr>
        <w:spacing w:after="0" w:line="480" w:lineRule="auto"/>
        <w:rPr>
          <w:rFonts w:cs="Times New Roman"/>
          <w:lang w:val="en-GB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T</m:t>
            </m:r>
          </m:e>
          <m:sub>
            <m:r>
              <w:rPr>
                <w:rFonts w:ascii="Cambria Math" w:hAnsi="Cambria Math" w:cs="Times New Roman"/>
                <w:lang w:val="en-GB"/>
              </w:rPr>
              <m:t>c</m:t>
            </m:r>
          </m:sub>
        </m:sSub>
        <m:r>
          <w:rPr>
            <w:rFonts w:ascii="Cambria Math" w:hAnsi="Cambria Math" w:cs="Times New Roman"/>
            <w:lang w:val="en-GB"/>
          </w:rPr>
          <m:t>=</m:t>
        </m:r>
        <m:r>
          <m:rPr>
            <m:sty m:val="p"/>
          </m:rPr>
          <w:rPr>
            <w:rFonts w:ascii="Cambria Math" w:hAnsi="Cambria Math" w:cs="Times New Roman"/>
            <w:lang w:val="en-GB"/>
          </w:rPr>
          <m:t>diag</m:t>
        </m:r>
        <m:sSup>
          <m:sSupPr>
            <m:ctrlPr>
              <w:rPr>
                <w:rFonts w:ascii="Cambria Math" w:hAnsi="Cambria Math" w:cs="Times New Roman"/>
                <w:i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lang w:val="en-GB"/>
              </w:rPr>
              <m:t>(</m:t>
            </m:r>
            <m:r>
              <m:rPr>
                <m:sty m:val="b"/>
              </m:rPr>
              <w:rPr>
                <w:rFonts w:ascii="Cambria Math" w:hAnsi="Cambria Math" w:cs="Times New Roman"/>
                <w:lang w:val="en-GB"/>
              </w:rPr>
              <m:t>FN</m:t>
            </m:r>
            <m:sSub>
              <m:sSubPr>
                <m:ctrlPr>
                  <w:rPr>
                    <w:rFonts w:ascii="Cambria Math" w:hAnsi="Cambria Math" w:cs="Times New Roman"/>
                    <w:b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GB"/>
                  </w:rPr>
                  <m:t>e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GB"/>
                  </w:rPr>
                  <m:t>Y</m:t>
                </m:r>
              </m:sub>
            </m:sSub>
            <m:r>
              <w:rPr>
                <w:rFonts w:ascii="Cambria Math" w:hAnsi="Cambria Math" w:cs="Times New Roman"/>
                <w:lang w:val="en-GB"/>
              </w:rPr>
              <m:t>)</m:t>
            </m:r>
          </m:e>
          <m:sup>
            <m:r>
              <w:rPr>
                <w:rFonts w:ascii="Cambria Math" w:hAnsi="Cambria Math" w:cs="Times New Roman"/>
                <w:lang w:val="en-GB"/>
              </w:rPr>
              <m:t>-1</m:t>
            </m:r>
          </m:sup>
        </m:sSup>
        <m:r>
          <w:rPr>
            <w:rFonts w:ascii="Cambria Math" w:hAnsi="Cambria Math" w:cs="Times New Roman"/>
            <w:lang w:val="en-GB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lang w:val="en-GB"/>
          </w:rPr>
          <m:t>FNUN</m:t>
        </m:r>
        <m:sSub>
          <m:sSubPr>
            <m:ctrlPr>
              <w:rPr>
                <w:rFonts w:ascii="Cambria Math" w:hAnsi="Cambria Math" w:cs="Times New Roman"/>
                <w:b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GB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lang w:val="en-GB"/>
              </w:rPr>
              <m:t>Y</m:t>
            </m:r>
          </m:sub>
        </m:sSub>
      </m:oMath>
      <w:r w:rsidR="00396FF3" w:rsidRPr="00D44AC0">
        <w:rPr>
          <w:rFonts w:ascii="Times New Roman" w:hAnsi="Times New Roman" w:cs="Times New Roman"/>
          <w:lang w:val="en-GB"/>
        </w:rPr>
        <w:t xml:space="preserve">, </w:t>
      </w:r>
      <w:r w:rsidR="00396FF3" w:rsidRPr="00D44AC0">
        <w:rPr>
          <w:rFonts w:ascii="Times New Roman" w:hAnsi="Times New Roman" w:cs="Times New Roman"/>
          <w:lang w:val="en-GB"/>
        </w:rPr>
        <w:tab/>
      </w:r>
      <w:r w:rsidR="00396FF3" w:rsidRPr="00D44AC0">
        <w:rPr>
          <w:rFonts w:ascii="Times New Roman" w:hAnsi="Times New Roman" w:cs="Times New Roman"/>
          <w:lang w:val="en-GB"/>
        </w:rPr>
        <w:tab/>
      </w:r>
      <w:r w:rsidR="00396FF3" w:rsidRPr="00D44AC0">
        <w:rPr>
          <w:rFonts w:ascii="Times New Roman" w:hAnsi="Times New Roman" w:cs="Times New Roman"/>
          <w:lang w:val="en-GB"/>
        </w:rPr>
        <w:tab/>
      </w:r>
      <w:r w:rsidR="00396FF3" w:rsidRPr="00D44AC0">
        <w:rPr>
          <w:rFonts w:ascii="Times New Roman" w:hAnsi="Times New Roman" w:cs="Times New Roman"/>
          <w:lang w:val="en-GB"/>
        </w:rPr>
        <w:tab/>
      </w:r>
      <w:r w:rsidR="00396FF3" w:rsidRPr="00D44AC0">
        <w:rPr>
          <w:rFonts w:ascii="Times New Roman" w:hAnsi="Times New Roman" w:cs="Times New Roman"/>
          <w:lang w:val="en-GB"/>
        </w:rPr>
        <w:tab/>
      </w:r>
      <w:r w:rsidR="00396FF3" w:rsidRPr="00D44AC0">
        <w:rPr>
          <w:rFonts w:ascii="Times New Roman" w:hAnsi="Times New Roman" w:cs="Times New Roman"/>
          <w:lang w:val="en-GB"/>
        </w:rPr>
        <w:tab/>
      </w:r>
      <w:r w:rsidR="00396FF3" w:rsidRPr="00D44AC0">
        <w:rPr>
          <w:rFonts w:ascii="Times New Roman" w:hAnsi="Times New Roman" w:cs="Times New Roman"/>
          <w:lang w:val="en-GB"/>
        </w:rPr>
        <w:tab/>
      </w:r>
      <w:r w:rsidR="00396FF3" w:rsidRPr="00D44AC0">
        <w:rPr>
          <w:rFonts w:ascii="Times New Roman" w:hAnsi="Times New Roman" w:cs="Times New Roman"/>
          <w:lang w:val="en-GB"/>
        </w:rPr>
        <w:tab/>
      </w:r>
      <w:proofErr w:type="spellStart"/>
      <w:r w:rsidR="00396FF3" w:rsidRPr="00D44AC0">
        <w:rPr>
          <w:rFonts w:cs="Times New Roman"/>
          <w:lang w:val="en-GB"/>
        </w:rPr>
        <w:t>eqn</w:t>
      </w:r>
      <w:proofErr w:type="spellEnd"/>
      <w:r w:rsidR="00396FF3" w:rsidRPr="00D44AC0">
        <w:rPr>
          <w:rFonts w:cs="Times New Roman"/>
          <w:lang w:val="en-GB"/>
        </w:rPr>
        <w:t xml:space="preserve"> </w:t>
      </w:r>
      <w:r w:rsidR="00AF6F3C">
        <w:rPr>
          <w:rFonts w:cs="Times New Roman"/>
          <w:lang w:val="en-GB"/>
        </w:rPr>
        <w:t>1</w:t>
      </w:r>
    </w:p>
    <w:p w14:paraId="43579439" w14:textId="77777777" w:rsidR="00396FF3" w:rsidRPr="00D44AC0" w:rsidRDefault="00396FF3" w:rsidP="004B0CB2">
      <w:pPr>
        <w:spacing w:after="0" w:line="480" w:lineRule="auto"/>
        <w:rPr>
          <w:rFonts w:ascii="Times New Roman" w:hAnsi="Times New Roman" w:cs="Times New Roman"/>
          <w:lang w:val="en-GB"/>
        </w:rPr>
      </w:pPr>
    </w:p>
    <w:p w14:paraId="11DE1897" w14:textId="2851F69B" w:rsidR="005738C4" w:rsidRPr="00D50C3D" w:rsidRDefault="00396FF3" w:rsidP="004B0CB2">
      <w:pPr>
        <w:pStyle w:val="NoSpacing"/>
        <w:spacing w:line="480" w:lineRule="auto"/>
        <w:rPr>
          <w:rFonts w:cstheme="minorHAnsi"/>
          <w:lang w:val="en-GB"/>
        </w:rPr>
      </w:pPr>
      <w:r w:rsidRPr="00D50C3D">
        <w:rPr>
          <w:rFonts w:cstheme="minorHAnsi"/>
          <w:lang w:val="en-GB"/>
        </w:rPr>
        <w:t xml:space="preserve">where the vector </w:t>
      </w:r>
      <w:proofErr w:type="spellStart"/>
      <w:r w:rsidRPr="00D50C3D">
        <w:rPr>
          <w:rFonts w:cstheme="minorHAnsi"/>
          <w:b/>
          <w:lang w:val="en-GB"/>
        </w:rPr>
        <w:t>e</w:t>
      </w:r>
      <w:r w:rsidRPr="00D50C3D">
        <w:rPr>
          <w:rFonts w:cstheme="minorHAnsi"/>
          <w:b/>
          <w:vertAlign w:val="subscript"/>
          <w:lang w:val="en-GB"/>
        </w:rPr>
        <w:t>Y</w:t>
      </w:r>
      <w:proofErr w:type="spellEnd"/>
      <w:r w:rsidRPr="00D50C3D">
        <w:rPr>
          <w:rFonts w:cstheme="minorHAnsi"/>
          <w:lang w:val="en-GB"/>
        </w:rPr>
        <w:t xml:space="preserve"> is a vector with 1 in the first entry (for eggs) and zeros in the other entries and the matrix </w:t>
      </w:r>
      <w:r w:rsidRPr="00D50C3D">
        <w:rPr>
          <w:rFonts w:cstheme="minorHAnsi"/>
          <w:b/>
          <w:lang w:val="en-GB"/>
        </w:rPr>
        <w:t>N</w:t>
      </w:r>
      <w:r w:rsidRPr="00D50C3D">
        <w:rPr>
          <w:rFonts w:cstheme="minorHAnsi"/>
          <w:lang w:val="en-GB"/>
        </w:rPr>
        <w:t xml:space="preserve"> is calculated as </w:t>
      </w:r>
      <w:r w:rsidRPr="00D50C3D">
        <w:rPr>
          <w:rFonts w:cstheme="minorHAnsi"/>
          <w:b/>
          <w:lang w:val="en-GB"/>
        </w:rPr>
        <w:t>N</w:t>
      </w:r>
      <w:r w:rsidRPr="00D50C3D">
        <w:rPr>
          <w:rFonts w:cstheme="minorHAnsi"/>
          <w:lang w:val="en-GB"/>
        </w:rPr>
        <w:t xml:space="preserve"> = (</w:t>
      </w:r>
      <w:r w:rsidRPr="00D50C3D">
        <w:rPr>
          <w:rFonts w:cstheme="minorHAnsi"/>
          <w:b/>
          <w:lang w:val="en-GB"/>
        </w:rPr>
        <w:t>I</w:t>
      </w:r>
      <w:r w:rsidRPr="00D50C3D">
        <w:rPr>
          <w:rFonts w:cstheme="minorHAnsi"/>
          <w:lang w:val="en-GB"/>
        </w:rPr>
        <w:t xml:space="preserve"> – </w:t>
      </w:r>
      <w:r w:rsidRPr="00D50C3D">
        <w:rPr>
          <w:rFonts w:cstheme="minorHAnsi"/>
          <w:b/>
          <w:lang w:val="en-GB"/>
        </w:rPr>
        <w:t>U</w:t>
      </w:r>
      <w:r w:rsidRPr="00D50C3D">
        <w:rPr>
          <w:rFonts w:cstheme="minorHAnsi"/>
          <w:lang w:val="en-GB"/>
        </w:rPr>
        <w:t>)</w:t>
      </w:r>
      <w:r w:rsidRPr="00D50C3D">
        <w:rPr>
          <w:rFonts w:cstheme="minorHAnsi"/>
          <w:vertAlign w:val="superscript"/>
          <w:lang w:val="en-GB"/>
        </w:rPr>
        <w:t>-1</w:t>
      </w:r>
      <w:r w:rsidRPr="00D50C3D">
        <w:rPr>
          <w:rFonts w:cstheme="minorHAnsi"/>
          <w:lang w:val="en-GB"/>
        </w:rPr>
        <w:t xml:space="preserve">, where </w:t>
      </w:r>
      <w:r w:rsidRPr="00D50C3D">
        <w:rPr>
          <w:rFonts w:cstheme="minorHAnsi"/>
          <w:b/>
          <w:lang w:val="en-GB"/>
        </w:rPr>
        <w:t>I</w:t>
      </w:r>
      <w:r w:rsidRPr="00D50C3D">
        <w:rPr>
          <w:rFonts w:cstheme="minorHAnsi"/>
          <w:lang w:val="en-GB"/>
        </w:rPr>
        <w:t xml:space="preserve"> is the identity matrix and </w:t>
      </w:r>
      <m:oMath>
        <m:r>
          <m:rPr>
            <m:sty m:val="b"/>
          </m:rPr>
          <w:rPr>
            <w:rFonts w:ascii="Cambria Math" w:hAnsi="Cambria Math" w:cstheme="minorHAnsi"/>
            <w:lang w:val="en-GB"/>
          </w:rPr>
          <m:t>U</m:t>
        </m:r>
        <m:r>
          <w:rPr>
            <w:rFonts w:ascii="Cambria Math" w:hAnsi="Cambria Math" w:cstheme="minorHAnsi"/>
            <w:lang w:val="en-GB"/>
          </w:rPr>
          <m:t>=</m:t>
        </m:r>
        <m:r>
          <m:rPr>
            <m:sty m:val="b"/>
          </m:rPr>
          <w:rPr>
            <w:rFonts w:ascii="Cambria Math" w:hAnsi="Cambria Math" w:cstheme="minorHAnsi"/>
            <w:lang w:val="en-GB"/>
          </w:rPr>
          <m:t>G∙S</m:t>
        </m:r>
      </m:oMath>
      <w:r w:rsidRPr="00D50C3D">
        <w:rPr>
          <w:rFonts w:cstheme="minorHAnsi"/>
          <w:lang w:val="en-GB"/>
        </w:rPr>
        <w:t>.</w:t>
      </w:r>
      <w:r w:rsidR="00A81382" w:rsidRPr="00D50C3D">
        <w:rPr>
          <w:rFonts w:cstheme="minorHAnsi"/>
          <w:lang w:val="en-GB"/>
        </w:rPr>
        <w:t xml:space="preserve"> </w:t>
      </w:r>
    </w:p>
    <w:p w14:paraId="10621015" w14:textId="304C6E0D" w:rsidR="00AA3889" w:rsidRPr="00D44AC0" w:rsidRDefault="004E6EE4" w:rsidP="00F30B55">
      <w:pPr>
        <w:pStyle w:val="NoSpacing"/>
        <w:spacing w:line="480" w:lineRule="auto"/>
        <w:ind w:firstLineChars="200" w:firstLine="440"/>
        <w:rPr>
          <w:rFonts w:cstheme="minorHAnsi"/>
          <w:lang w:val="en-GB"/>
        </w:rPr>
      </w:pPr>
      <w:r w:rsidRPr="00D44AC0">
        <w:rPr>
          <w:rFonts w:cstheme="minorHAnsi"/>
          <w:lang w:val="en-GB"/>
        </w:rPr>
        <w:t xml:space="preserve">To assess </w:t>
      </w:r>
      <w:r w:rsidR="000531A3" w:rsidRPr="00D44AC0">
        <w:rPr>
          <w:rFonts w:cstheme="minorHAnsi"/>
          <w:lang w:val="en-GB"/>
        </w:rPr>
        <w:t xml:space="preserve">overall </w:t>
      </w:r>
      <w:r w:rsidRPr="00D44AC0">
        <w:rPr>
          <w:rFonts w:cstheme="minorHAnsi"/>
          <w:lang w:val="en-GB"/>
        </w:rPr>
        <w:t>model performance, w</w:t>
      </w:r>
      <w:r w:rsidR="00B84C17" w:rsidRPr="00D44AC0">
        <w:rPr>
          <w:rFonts w:cstheme="minorHAnsi"/>
          <w:lang w:val="en-GB"/>
        </w:rPr>
        <w:t xml:space="preserve">e compared predicted </w:t>
      </w:r>
      <w:r w:rsidR="005738C4" w:rsidRPr="00D44AC0">
        <w:rPr>
          <w:rFonts w:cstheme="minorHAnsi"/>
          <w:i/>
          <w:lang w:val="en-GB"/>
        </w:rPr>
        <w:t>T</w:t>
      </w:r>
      <w:r w:rsidR="005738C4" w:rsidRPr="00D44AC0">
        <w:rPr>
          <w:rFonts w:cstheme="minorHAnsi"/>
          <w:lang w:val="en-GB"/>
        </w:rPr>
        <w:t xml:space="preserve">, </w:t>
      </w:r>
      <w:r w:rsidR="005738C4" w:rsidRPr="00D44AC0">
        <w:rPr>
          <w:rFonts w:cstheme="minorHAnsi"/>
          <w:i/>
          <w:lang w:val="en-GB"/>
        </w:rPr>
        <w:t>T</w:t>
      </w:r>
      <w:r w:rsidR="005738C4" w:rsidRPr="00D44AC0">
        <w:rPr>
          <w:rFonts w:cstheme="minorHAnsi"/>
          <w:i/>
          <w:vertAlign w:val="subscript"/>
          <w:lang w:val="en-GB"/>
        </w:rPr>
        <w:t>c</w:t>
      </w:r>
      <w:r w:rsidR="005738C4" w:rsidRPr="00D44AC0">
        <w:rPr>
          <w:rFonts w:cstheme="minorHAnsi"/>
          <w:lang w:val="en-GB"/>
        </w:rPr>
        <w:t xml:space="preserve">, </w:t>
      </w:r>
      <w:r w:rsidR="00BE68C3" w:rsidRPr="00D44AC0">
        <w:rPr>
          <w:rFonts w:cstheme="minorHAnsi"/>
          <w:lang w:val="en-GB"/>
        </w:rPr>
        <w:t>mean body length</w:t>
      </w:r>
      <w:r w:rsidR="00535F33" w:rsidRPr="00D44AC0">
        <w:rPr>
          <w:rFonts w:cstheme="minorHAnsi"/>
          <w:lang w:val="en-GB"/>
        </w:rPr>
        <w:t xml:space="preserve"> of juveniles and adults</w:t>
      </w:r>
      <w:r w:rsidR="00BE68C3" w:rsidRPr="00D44AC0">
        <w:rPr>
          <w:rFonts w:cstheme="minorHAnsi"/>
          <w:lang w:val="en-GB"/>
        </w:rPr>
        <w:t xml:space="preserve">, and </w:t>
      </w:r>
      <w:r w:rsidR="00036E0A">
        <w:rPr>
          <w:rFonts w:cstheme="minorHAnsi"/>
          <w:lang w:val="en-GB"/>
        </w:rPr>
        <w:t xml:space="preserve">overall </w:t>
      </w:r>
      <w:r w:rsidR="001B3009">
        <w:rPr>
          <w:rFonts w:cstheme="minorHAnsi"/>
          <w:lang w:val="en-GB"/>
        </w:rPr>
        <w:t>population growth</w:t>
      </w:r>
      <w:r w:rsidR="00036E0A">
        <w:rPr>
          <w:rFonts w:cstheme="minorHAnsi"/>
          <w:lang w:val="en-GB"/>
        </w:rPr>
        <w:t xml:space="preserve"> rate</w:t>
      </w:r>
      <w:r w:rsidR="001B3009">
        <w:rPr>
          <w:rFonts w:cstheme="minorHAnsi"/>
          <w:lang w:val="en-GB"/>
        </w:rPr>
        <w:t xml:space="preserve"> </w:t>
      </w:r>
      <w:r w:rsidR="00B84C17" w:rsidRPr="00D44AC0">
        <w:rPr>
          <w:rFonts w:cstheme="minorHAnsi"/>
          <w:lang w:val="en-GB"/>
        </w:rPr>
        <w:t xml:space="preserve">against </w:t>
      </w:r>
      <w:r w:rsidR="003A2A0E">
        <w:rPr>
          <w:rFonts w:cstheme="minorHAnsi"/>
          <w:lang w:val="en-GB"/>
        </w:rPr>
        <w:t xml:space="preserve">our field </w:t>
      </w:r>
      <w:r w:rsidR="00BE68C3" w:rsidRPr="00D44AC0">
        <w:rPr>
          <w:rFonts w:cstheme="minorHAnsi"/>
          <w:lang w:val="en-GB"/>
        </w:rPr>
        <w:t>observations</w:t>
      </w:r>
      <w:r w:rsidR="000531A3" w:rsidRPr="00D44AC0">
        <w:rPr>
          <w:rFonts w:cstheme="minorHAnsi"/>
          <w:lang w:val="en-GB"/>
        </w:rPr>
        <w:t>.</w:t>
      </w:r>
      <w:r w:rsidR="005738C4" w:rsidRPr="00D44AC0">
        <w:rPr>
          <w:rFonts w:cstheme="minorHAnsi"/>
          <w:lang w:val="en-GB"/>
        </w:rPr>
        <w:t xml:space="preserve"> We compared predicted </w:t>
      </w:r>
      <w:r w:rsidR="005738C4" w:rsidRPr="00D44AC0">
        <w:rPr>
          <w:rFonts w:cstheme="minorHAnsi"/>
          <w:i/>
          <w:lang w:val="en-GB"/>
        </w:rPr>
        <w:t>T</w:t>
      </w:r>
      <w:r w:rsidR="005738C4" w:rsidRPr="00D44AC0">
        <w:rPr>
          <w:rFonts w:cstheme="minorHAnsi"/>
          <w:lang w:val="en-GB"/>
        </w:rPr>
        <w:t xml:space="preserve"> and </w:t>
      </w:r>
      <w:r w:rsidR="00574CE5" w:rsidRPr="00D44AC0">
        <w:rPr>
          <w:rFonts w:cstheme="minorHAnsi"/>
          <w:i/>
          <w:lang w:val="en-GB"/>
        </w:rPr>
        <w:t>T</w:t>
      </w:r>
      <w:r w:rsidR="00574CE5" w:rsidRPr="00D44AC0">
        <w:rPr>
          <w:rFonts w:cstheme="minorHAnsi"/>
          <w:i/>
          <w:vertAlign w:val="subscript"/>
          <w:lang w:val="en-GB"/>
        </w:rPr>
        <w:t>c</w:t>
      </w:r>
      <w:r w:rsidR="005738C4" w:rsidRPr="00D44AC0">
        <w:rPr>
          <w:rFonts w:cstheme="minorHAnsi"/>
          <w:lang w:val="en-GB"/>
        </w:rPr>
        <w:t xml:space="preserve"> against the observed value of </w:t>
      </w:r>
      <w:r w:rsidR="00574CE5" w:rsidRPr="00D44AC0">
        <w:rPr>
          <w:rFonts w:cstheme="minorHAnsi"/>
          <w:i/>
          <w:lang w:val="en-GB"/>
        </w:rPr>
        <w:t>T</w:t>
      </w:r>
      <w:r w:rsidR="00574CE5" w:rsidRPr="00D44AC0">
        <w:rPr>
          <w:rFonts w:cstheme="minorHAnsi"/>
          <w:i/>
          <w:vertAlign w:val="subscript"/>
          <w:lang w:val="en-GB"/>
        </w:rPr>
        <w:t>c</w:t>
      </w:r>
      <w:r w:rsidR="00574CE5" w:rsidRPr="00D44AC0">
        <w:rPr>
          <w:rFonts w:cstheme="minorHAnsi"/>
          <w:lang w:val="en-GB"/>
        </w:rPr>
        <w:t xml:space="preserve"> </w:t>
      </w:r>
      <w:r w:rsidR="005738C4" w:rsidRPr="00D44AC0">
        <w:rPr>
          <w:rFonts w:cstheme="minorHAnsi"/>
          <w:lang w:val="en-GB"/>
        </w:rPr>
        <w:t>= 8.5 months (</w:t>
      </w:r>
      <w:r w:rsidR="00574CE5" w:rsidRPr="00D44AC0">
        <w:rPr>
          <w:rFonts w:cstheme="minorHAnsi"/>
          <w:i/>
          <w:lang w:val="en-GB"/>
        </w:rPr>
        <w:t>T</w:t>
      </w:r>
      <w:r w:rsidR="00574CE5" w:rsidRPr="00D44AC0">
        <w:rPr>
          <w:rFonts w:cstheme="minorHAnsi"/>
          <w:i/>
          <w:vertAlign w:val="subscript"/>
          <w:lang w:val="en-GB"/>
        </w:rPr>
        <w:t>c</w:t>
      </w:r>
      <w:r w:rsidR="00574CE5" w:rsidRPr="00D44AC0">
        <w:rPr>
          <w:rFonts w:cstheme="minorHAnsi"/>
          <w:lang w:val="en-GB"/>
        </w:rPr>
        <w:t xml:space="preserve"> </w:t>
      </w:r>
      <w:r w:rsidR="005738C4" w:rsidRPr="00D44AC0">
        <w:rPr>
          <w:rFonts w:cstheme="minorHAnsi"/>
          <w:lang w:val="en-GB"/>
        </w:rPr>
        <w:t xml:space="preserve">is defined as the </w:t>
      </w:r>
      <w:r w:rsidR="005738C4" w:rsidRPr="00D44AC0">
        <w:rPr>
          <w:rFonts w:cstheme="minorHAnsi"/>
          <w:lang w:val="en-GB"/>
        </w:rPr>
        <w:lastRenderedPageBreak/>
        <w:t xml:space="preserve">mean age at which adult reproduce and </w:t>
      </w:r>
      <w:r w:rsidR="00574CE5" w:rsidRPr="00D44AC0">
        <w:rPr>
          <w:rFonts w:cstheme="minorHAnsi"/>
          <w:lang w:val="en-GB"/>
        </w:rPr>
        <w:t xml:space="preserve">is </w:t>
      </w:r>
      <w:r w:rsidR="005738C4" w:rsidRPr="00D44AC0">
        <w:rPr>
          <w:rFonts w:cstheme="minorHAnsi"/>
          <w:lang w:val="en-GB"/>
        </w:rPr>
        <w:t>calculated, very roughly, by taking the mean of the minimum and maximum adult age: (6 + 11)/2 = 8.5 months</w:t>
      </w:r>
      <w:r w:rsidR="00574CE5" w:rsidRPr="00D44AC0">
        <w:rPr>
          <w:rFonts w:cstheme="minorHAnsi"/>
          <w:lang w:val="en-GB"/>
        </w:rPr>
        <w:t xml:space="preserve"> [</w:t>
      </w:r>
      <w:r w:rsidR="00574CE5" w:rsidRPr="00D50C3D">
        <w:rPr>
          <w:rFonts w:cstheme="minorHAnsi"/>
          <w:lang w:val="en-GB"/>
        </w:rPr>
        <w:t>Dias and Spr</w:t>
      </w:r>
      <w:r w:rsidR="005B1B5C">
        <w:rPr>
          <w:rFonts w:cstheme="minorHAnsi"/>
          <w:lang w:val="en-GB"/>
        </w:rPr>
        <w:t>u</w:t>
      </w:r>
      <w:r w:rsidR="00574CE5" w:rsidRPr="00D50C3D">
        <w:rPr>
          <w:rFonts w:cstheme="minorHAnsi"/>
          <w:lang w:val="en-GB"/>
        </w:rPr>
        <w:t>ng 2003]</w:t>
      </w:r>
      <w:r w:rsidR="005738C4" w:rsidRPr="00D44AC0">
        <w:rPr>
          <w:rFonts w:cstheme="minorHAnsi"/>
          <w:lang w:val="en-GB"/>
        </w:rPr>
        <w:t xml:space="preserve">). Note that we </w:t>
      </w:r>
      <w:r w:rsidR="00574CE5" w:rsidRPr="00D44AC0">
        <w:rPr>
          <w:rFonts w:cstheme="minorHAnsi"/>
          <w:lang w:val="en-GB"/>
        </w:rPr>
        <w:t xml:space="preserve">also </w:t>
      </w:r>
      <w:r w:rsidR="005738C4" w:rsidRPr="00D44AC0">
        <w:rPr>
          <w:rFonts w:cstheme="minorHAnsi"/>
          <w:lang w:val="en-GB"/>
        </w:rPr>
        <w:t xml:space="preserve">compared predicted generation time </w:t>
      </w:r>
      <w:r w:rsidR="005738C4" w:rsidRPr="00D44AC0">
        <w:rPr>
          <w:rFonts w:cstheme="minorHAnsi"/>
          <w:i/>
          <w:lang w:val="en-GB"/>
        </w:rPr>
        <w:t>T</w:t>
      </w:r>
      <w:r w:rsidR="005738C4" w:rsidRPr="00D44AC0">
        <w:rPr>
          <w:rFonts w:cstheme="minorHAnsi"/>
          <w:lang w:val="en-GB"/>
        </w:rPr>
        <w:t xml:space="preserve"> against observed </w:t>
      </w:r>
      <w:r w:rsidR="005738C4" w:rsidRPr="00D44AC0">
        <w:rPr>
          <w:rFonts w:cstheme="minorHAnsi"/>
          <w:i/>
          <w:lang w:val="en-GB"/>
        </w:rPr>
        <w:t>T</w:t>
      </w:r>
      <w:r w:rsidR="005738C4" w:rsidRPr="00D44AC0">
        <w:rPr>
          <w:rFonts w:cstheme="minorHAnsi"/>
          <w:i/>
          <w:vertAlign w:val="subscript"/>
          <w:lang w:val="en-GB"/>
        </w:rPr>
        <w:t>c</w:t>
      </w:r>
      <w:r w:rsidR="005738C4" w:rsidRPr="00D44AC0">
        <w:rPr>
          <w:rFonts w:cstheme="minorHAnsi"/>
          <w:lang w:val="en-GB"/>
        </w:rPr>
        <w:t xml:space="preserve"> as no</w:t>
      </w:r>
      <w:r w:rsidR="00574CE5" w:rsidRPr="00D44AC0">
        <w:rPr>
          <w:rFonts w:cstheme="minorHAnsi"/>
          <w:lang w:val="en-GB"/>
        </w:rPr>
        <w:t xml:space="preserve"> </w:t>
      </w:r>
      <w:r w:rsidR="005738C4" w:rsidRPr="00D44AC0">
        <w:rPr>
          <w:rFonts w:cstheme="minorHAnsi"/>
          <w:lang w:val="en-GB"/>
        </w:rPr>
        <w:t xml:space="preserve">observations on </w:t>
      </w:r>
      <w:r w:rsidR="005738C4" w:rsidRPr="00D44AC0">
        <w:rPr>
          <w:rFonts w:cstheme="minorHAnsi"/>
          <w:i/>
          <w:lang w:val="en-GB"/>
        </w:rPr>
        <w:t>T</w:t>
      </w:r>
      <w:r w:rsidR="005738C4" w:rsidRPr="00D44AC0">
        <w:rPr>
          <w:rFonts w:cstheme="minorHAnsi"/>
          <w:lang w:val="en-GB"/>
        </w:rPr>
        <w:t xml:space="preserve"> exist. However, these two measures are often similar (Caswell 2001).</w:t>
      </w:r>
      <w:r w:rsidR="00574CE5" w:rsidRPr="00D44AC0">
        <w:rPr>
          <w:rFonts w:cstheme="minorHAnsi"/>
          <w:lang w:val="en-GB"/>
        </w:rPr>
        <w:t xml:space="preserve"> </w:t>
      </w:r>
      <w:r w:rsidR="00F93B0F" w:rsidRPr="00D44AC0">
        <w:rPr>
          <w:rFonts w:cstheme="minorHAnsi"/>
          <w:lang w:val="en-GB"/>
        </w:rPr>
        <w:t>Observed</w:t>
      </w:r>
      <w:r w:rsidR="00574CE5" w:rsidRPr="00D44AC0">
        <w:rPr>
          <w:rFonts w:cstheme="minorHAnsi"/>
          <w:lang w:val="en-GB"/>
        </w:rPr>
        <w:t xml:space="preserve"> </w:t>
      </w:r>
      <w:r w:rsidR="00F93B0F" w:rsidRPr="00D44AC0">
        <w:rPr>
          <w:rFonts w:cstheme="minorHAnsi"/>
          <w:lang w:val="en-GB"/>
        </w:rPr>
        <w:t xml:space="preserve">body lengths of juveniles and adults were averaged </w:t>
      </w:r>
      <w:r w:rsidR="005E307E">
        <w:rPr>
          <w:rFonts w:cstheme="minorHAnsi"/>
          <w:lang w:val="en-GB"/>
        </w:rPr>
        <w:t xml:space="preserve">per year </w:t>
      </w:r>
      <w:r w:rsidR="009143D1" w:rsidRPr="00D44AC0">
        <w:rPr>
          <w:rFonts w:cstheme="minorHAnsi"/>
          <w:lang w:val="en-GB"/>
        </w:rPr>
        <w:t xml:space="preserve">across censuses taken </w:t>
      </w:r>
      <w:r w:rsidR="005E307E">
        <w:rPr>
          <w:rFonts w:cstheme="minorHAnsi"/>
          <w:lang w:val="en-GB"/>
        </w:rPr>
        <w:t>between 2015-</w:t>
      </w:r>
      <w:r w:rsidR="00905655" w:rsidRPr="00D44AC0">
        <w:rPr>
          <w:rFonts w:cstheme="minorHAnsi"/>
          <w:lang w:val="en-GB"/>
        </w:rPr>
        <w:t>201</w:t>
      </w:r>
      <w:r w:rsidR="009143D1" w:rsidRPr="00D44AC0">
        <w:rPr>
          <w:rFonts w:cstheme="minorHAnsi"/>
          <w:lang w:val="en-GB"/>
        </w:rPr>
        <w:t xml:space="preserve">7. </w:t>
      </w:r>
      <w:r w:rsidR="00410B2F">
        <w:rPr>
          <w:rFonts w:cstheme="minorHAnsi"/>
          <w:lang w:val="en-GB"/>
        </w:rPr>
        <w:t xml:space="preserve">The observed, monthly population growths of </w:t>
      </w:r>
      <w:r w:rsidR="001B3009">
        <w:rPr>
          <w:rFonts w:cstheme="minorHAnsi"/>
          <w:lang w:val="en-GB"/>
        </w:rPr>
        <w:t>2017 were used to assess model performance in terms of capturing observed population dynamics over a year.</w:t>
      </w:r>
      <w:r w:rsidR="00036E0A">
        <w:rPr>
          <w:rFonts w:cstheme="minorHAnsi"/>
          <w:lang w:val="en-GB"/>
        </w:rPr>
        <w:t xml:space="preserve"> Predicted population growth rates were obtained by </w:t>
      </w:r>
      <w:r w:rsidR="00410B2F">
        <w:rPr>
          <w:rFonts w:cstheme="minorHAnsi"/>
          <w:lang w:val="en-GB"/>
        </w:rPr>
        <w:t xml:space="preserve">used </w:t>
      </w:r>
      <w:proofErr w:type="spellStart"/>
      <w:r w:rsidR="00410B2F">
        <w:rPr>
          <w:rFonts w:cstheme="minorHAnsi"/>
          <w:lang w:val="en-GB"/>
        </w:rPr>
        <w:t>e</w:t>
      </w:r>
      <w:r w:rsidR="00F30B55" w:rsidRPr="00F30B55">
        <w:rPr>
          <w:rFonts w:cstheme="minorHAnsi"/>
          <w:lang w:val="en-GB"/>
        </w:rPr>
        <w:t>qn</w:t>
      </w:r>
      <w:proofErr w:type="spellEnd"/>
      <w:r w:rsidR="00F30B55" w:rsidRPr="00F30B55">
        <w:rPr>
          <w:rFonts w:cstheme="minorHAnsi"/>
          <w:lang w:val="en-GB"/>
        </w:rPr>
        <w:t xml:space="preserve"> 1 to project a </w:t>
      </w:r>
      <w:r w:rsidR="00F30B55">
        <w:rPr>
          <w:rFonts w:cstheme="minorHAnsi"/>
          <w:lang w:val="en-GB"/>
        </w:rPr>
        <w:t xml:space="preserve">small, </w:t>
      </w:r>
      <w:r w:rsidR="00F30B55" w:rsidRPr="00F30B55">
        <w:rPr>
          <w:rFonts w:cstheme="minorHAnsi"/>
          <w:lang w:val="en-GB"/>
        </w:rPr>
        <w:t>starting population forward over a</w:t>
      </w:r>
      <w:r w:rsidR="009829F5">
        <w:rPr>
          <w:rFonts w:cstheme="minorHAnsi"/>
          <w:lang w:val="en-GB"/>
        </w:rPr>
        <w:t>n initial</w:t>
      </w:r>
      <w:r w:rsidR="00F30B55" w:rsidRPr="00F30B55">
        <w:rPr>
          <w:rFonts w:cstheme="minorHAnsi"/>
          <w:lang w:val="en-GB"/>
        </w:rPr>
        <w:t xml:space="preserve"> period of </w:t>
      </w:r>
      <w:r w:rsidR="009829F5">
        <w:rPr>
          <w:rFonts w:cstheme="minorHAnsi"/>
          <w:lang w:val="en-GB"/>
        </w:rPr>
        <w:t>ten years,</w:t>
      </w:r>
      <w:bookmarkStart w:id="0" w:name="_GoBack"/>
      <w:bookmarkEnd w:id="0"/>
      <w:r w:rsidR="009829F5">
        <w:rPr>
          <w:rFonts w:cstheme="minorHAnsi"/>
          <w:lang w:val="en-GB"/>
        </w:rPr>
        <w:t xml:space="preserve"> after which we plotted the results of year </w:t>
      </w:r>
      <w:r w:rsidR="00F30B55">
        <w:rPr>
          <w:rFonts w:cstheme="minorHAnsi"/>
          <w:lang w:val="en-GB"/>
        </w:rPr>
        <w:t xml:space="preserve">eleven, </w:t>
      </w:r>
      <w:r w:rsidR="00F30B55" w:rsidRPr="00F30B55">
        <w:rPr>
          <w:rFonts w:cstheme="minorHAnsi"/>
          <w:lang w:val="en-GB"/>
        </w:rPr>
        <w:t>using the equation</w:t>
      </w:r>
      <m:oMath>
        <m:r>
          <m:rPr>
            <m:sty m:val="b"/>
          </m:rPr>
          <w:rPr>
            <w:rFonts w:ascii="Cambria Math" w:hAnsi="Cambria Math" w:cstheme="minorHAnsi"/>
          </w:rPr>
          <m:t xml:space="preserve"> 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t+1</m:t>
            </m:r>
          </m:e>
        </m:d>
        <m:r>
          <w:rPr>
            <w:rFonts w:ascii="Cambria Math" w:hAnsi="Cambria Math" w:cstheme="minorHAnsi"/>
          </w:rPr>
          <m:t>=</m:t>
        </m:r>
        <m:r>
          <m:rPr>
            <m:sty m:val="b"/>
          </m:rPr>
          <w:rPr>
            <w:rFonts w:ascii="Cambria Math" w:hAnsi="Cambria Math" w:cstheme="minorHAnsi"/>
          </w:rPr>
          <m:t>M(</m:t>
        </m:r>
        <m:r>
          <w:rPr>
            <w:rFonts w:ascii="Cambria Math" w:hAnsi="Cambria Math" w:cstheme="minorHAnsi"/>
          </w:rPr>
          <m:t>t</m:t>
        </m:r>
        <m:r>
          <m:rPr>
            <m:sty m:val="b"/>
          </m:rPr>
          <w:rPr>
            <w:rFonts w:ascii="Cambria Math" w:hAnsi="Cambria Math" w:cstheme="minorHAnsi"/>
          </w:rPr>
          <m:t>)∙p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</m:oMath>
      <w:r w:rsidR="00F30B55">
        <w:rPr>
          <w:rFonts w:cstheme="minorHAnsi"/>
        </w:rPr>
        <w:t>.</w:t>
      </w:r>
      <w:r w:rsidR="00F30B55">
        <w:rPr>
          <w:rFonts w:cstheme="minorHAnsi"/>
          <w:lang w:val="en-GB"/>
        </w:rPr>
        <w:t xml:space="preserve"> In this equation, t</w:t>
      </w:r>
      <w:r w:rsidR="00F30B55" w:rsidRPr="00F30B55">
        <w:rPr>
          <w:rFonts w:cstheme="minorHAnsi"/>
          <w:lang w:val="en-GB"/>
        </w:rPr>
        <w:t xml:space="preserve">he time step equals one </w:t>
      </w:r>
      <w:r w:rsidR="00F30B55">
        <w:rPr>
          <w:rFonts w:cstheme="minorHAnsi"/>
          <w:lang w:val="en-GB"/>
        </w:rPr>
        <w:t>month</w:t>
      </w:r>
      <w:r w:rsidR="00F30B55" w:rsidRPr="00F30B55">
        <w:rPr>
          <w:rFonts w:cstheme="minorHAnsi"/>
          <w:lang w:val="en-GB"/>
        </w:rPr>
        <w:t xml:space="preserve">, and </w:t>
      </w:r>
      <m:oMath>
        <m:r>
          <m:rPr>
            <m:sty m:val="b"/>
          </m:rPr>
          <w:rPr>
            <w:rFonts w:ascii="Cambria Math" w:hAnsi="Cambria Math" w:cstheme="minorHAnsi"/>
          </w:rPr>
          <m:t>M(</m:t>
        </m:r>
        <m:r>
          <w:rPr>
            <w:rFonts w:ascii="Cambria Math" w:hAnsi="Cambria Math" w:cstheme="minorHAnsi"/>
          </w:rPr>
          <m:t>t</m:t>
        </m:r>
        <m:r>
          <m:rPr>
            <m:sty m:val="b"/>
          </m:rPr>
          <w:rPr>
            <w:rFonts w:ascii="Cambria Math" w:hAnsi="Cambria Math" w:cstheme="minorHAnsi"/>
          </w:rPr>
          <m:t>)</m:t>
        </m:r>
      </m:oMath>
      <w:r w:rsidR="00F30B55" w:rsidRPr="00F30B55">
        <w:rPr>
          <w:rFonts w:cstheme="minorHAnsi"/>
          <w:lang w:val="en-GB"/>
        </w:rPr>
        <w:t xml:space="preserve"> is </w:t>
      </w:r>
      <w:r w:rsidR="00294F61">
        <w:rPr>
          <w:rFonts w:cstheme="minorHAnsi"/>
          <w:lang w:val="en-GB"/>
        </w:rPr>
        <w:t xml:space="preserve">the </w:t>
      </w:r>
      <w:r w:rsidR="00F30B55" w:rsidRPr="00F30B55">
        <w:rPr>
          <w:rFonts w:cstheme="minorHAnsi"/>
          <w:lang w:val="en-GB"/>
        </w:rPr>
        <w:t>discretised DEB-IPM</w:t>
      </w:r>
      <w:r w:rsidR="007F4A93">
        <w:rPr>
          <w:rFonts w:cstheme="minorHAnsi"/>
          <w:lang w:val="en-GB"/>
        </w:rPr>
        <w:t xml:space="preserve"> </w:t>
      </w:r>
      <w:r w:rsidR="00294F61">
        <w:rPr>
          <w:rFonts w:cstheme="minorHAnsi"/>
          <w:lang w:val="en-GB"/>
        </w:rPr>
        <w:t xml:space="preserve">at month </w:t>
      </w:r>
      <w:r w:rsidR="00294F61" w:rsidRPr="00294F61">
        <w:rPr>
          <w:rFonts w:cstheme="minorHAnsi"/>
          <w:i/>
          <w:lang w:val="en-GB"/>
        </w:rPr>
        <w:t>t</w:t>
      </w:r>
      <w:r w:rsidR="00294F61">
        <w:rPr>
          <w:rFonts w:cstheme="minorHAnsi"/>
          <w:lang w:val="en-GB"/>
        </w:rPr>
        <w:t>, where we assumed that</w:t>
      </w:r>
      <w:r w:rsidR="00FB7B74">
        <w:rPr>
          <w:rFonts w:cstheme="minorHAnsi"/>
          <w:lang w:val="en-GB"/>
        </w:rPr>
        <w:t xml:space="preserve"> in the autumn and winter months between October and February, </w:t>
      </w:r>
      <m:oMath>
        <m:r>
          <w:rPr>
            <w:rFonts w:ascii="Cambria Math" w:hAnsi="Cambria Math" w:cstheme="minorHAnsi"/>
            <w:lang w:val="en-GB"/>
          </w:rPr>
          <m:t>E(Y)=0.4</m:t>
        </m:r>
      </m:oMath>
      <w:r w:rsidR="00FB7B74">
        <w:rPr>
          <w:rFonts w:eastAsiaTheme="minorEastAsia" w:cstheme="minorHAnsi"/>
          <w:lang w:val="en-GB"/>
        </w:rPr>
        <w:t xml:space="preserve"> (as then there is no reproduction: see </w:t>
      </w:r>
      <w:r w:rsidR="00FB7B74" w:rsidRPr="00FB7B74">
        <w:rPr>
          <w:rFonts w:eastAsiaTheme="minorEastAsia" w:cstheme="minorHAnsi"/>
          <w:i/>
          <w:lang w:val="en-GB"/>
        </w:rPr>
        <w:t>Results</w:t>
      </w:r>
      <w:r w:rsidR="00964D73">
        <w:rPr>
          <w:rFonts w:eastAsiaTheme="minorEastAsia" w:cstheme="minorHAnsi"/>
          <w:lang w:val="en-GB"/>
        </w:rPr>
        <w:t xml:space="preserve"> Fig. S1</w:t>
      </w:r>
      <w:r w:rsidR="005A0490">
        <w:rPr>
          <w:rFonts w:eastAsiaTheme="minorEastAsia" w:cstheme="minorHAnsi"/>
          <w:lang w:val="en-GB"/>
        </w:rPr>
        <w:t>A</w:t>
      </w:r>
      <w:r w:rsidR="00FB7B74">
        <w:rPr>
          <w:rFonts w:eastAsiaTheme="minorEastAsia" w:cstheme="minorHAnsi"/>
          <w:lang w:val="en-GB"/>
        </w:rPr>
        <w:t xml:space="preserve">), in spring (March – June), </w:t>
      </w:r>
      <m:oMath>
        <m:r>
          <w:rPr>
            <w:rFonts w:ascii="Cambria Math" w:hAnsi="Cambria Math" w:cstheme="minorHAnsi"/>
            <w:lang w:val="en-GB"/>
          </w:rPr>
          <m:t>E(Y)</m:t>
        </m:r>
      </m:oMath>
      <w:r w:rsidR="00FB7B74">
        <w:rPr>
          <w:rFonts w:eastAsiaTheme="minorEastAsia" w:cstheme="minorHAnsi"/>
          <w:lang w:val="en-GB"/>
        </w:rPr>
        <w:t xml:space="preserve"> is of intermediate value at </w:t>
      </w:r>
      <m:oMath>
        <m:r>
          <w:rPr>
            <w:rFonts w:ascii="Cambria Math" w:hAnsi="Cambria Math" w:cstheme="minorHAnsi"/>
            <w:lang w:val="en-GB"/>
          </w:rPr>
          <m:t>E(Y)=0.8</m:t>
        </m:r>
      </m:oMath>
      <w:r w:rsidR="00FB7B74">
        <w:rPr>
          <w:rFonts w:eastAsiaTheme="minorEastAsia" w:cstheme="minorHAnsi"/>
          <w:lang w:val="en-GB"/>
        </w:rPr>
        <w:t xml:space="preserve">, and in summer, </w:t>
      </w:r>
      <m:oMath>
        <m:r>
          <w:rPr>
            <w:rFonts w:ascii="Cambria Math" w:hAnsi="Cambria Math" w:cstheme="minorHAnsi"/>
            <w:lang w:val="en-GB"/>
          </w:rPr>
          <m:t>E(Y)</m:t>
        </m:r>
      </m:oMath>
      <w:r w:rsidR="00FB7B74">
        <w:rPr>
          <w:rFonts w:eastAsiaTheme="minorEastAsia" w:cstheme="minorHAnsi"/>
          <w:lang w:val="en-GB"/>
        </w:rPr>
        <w:t xml:space="preserve"> is maximal at </w:t>
      </w:r>
      <m:oMath>
        <m:r>
          <w:rPr>
            <w:rFonts w:ascii="Cambria Math" w:hAnsi="Cambria Math" w:cstheme="minorHAnsi"/>
            <w:lang w:val="en-GB"/>
          </w:rPr>
          <m:t>E(Y)=1</m:t>
        </m:r>
      </m:oMath>
      <w:r w:rsidR="00F30B55" w:rsidRPr="00F30B55">
        <w:rPr>
          <w:rFonts w:cstheme="minorHAnsi"/>
          <w:lang w:val="en-GB"/>
        </w:rPr>
        <w:t xml:space="preserve">. </w:t>
      </w:r>
      <w:r w:rsidR="002C484C">
        <w:rPr>
          <w:rFonts w:cstheme="minorHAnsi"/>
          <w:lang w:val="en-GB"/>
        </w:rPr>
        <w:t>All other parameter values are as in Table 1</w:t>
      </w:r>
      <w:r w:rsidR="00964D73">
        <w:rPr>
          <w:rFonts w:cstheme="minorHAnsi"/>
          <w:lang w:val="en-GB"/>
        </w:rPr>
        <w:t xml:space="preserve"> in the main text</w:t>
      </w:r>
      <w:r w:rsidR="002C484C">
        <w:rPr>
          <w:rFonts w:cstheme="minorHAnsi"/>
          <w:lang w:val="en-GB"/>
        </w:rPr>
        <w:t xml:space="preserve">. </w:t>
      </w:r>
      <w:r w:rsidR="00F30B55" w:rsidRPr="00F30B55">
        <w:rPr>
          <w:rFonts w:cstheme="minorHAnsi"/>
        </w:rPr>
        <w:t xml:space="preserve">We used the </w:t>
      </w:r>
      <w:r w:rsidR="00AD307A">
        <w:rPr>
          <w:rFonts w:cstheme="minorHAnsi"/>
        </w:rPr>
        <w:t xml:space="preserve">resulting </w:t>
      </w:r>
      <w:r w:rsidR="00F30B55" w:rsidRPr="00F30B55">
        <w:rPr>
          <w:rFonts w:cstheme="minorHAnsi"/>
        </w:rPr>
        <w:t xml:space="preserve">time series of population vectors to calculate population growth per </w:t>
      </w:r>
      <w:r w:rsidR="00F30B55">
        <w:rPr>
          <w:rFonts w:cstheme="minorHAnsi"/>
        </w:rPr>
        <w:t>mont</w:t>
      </w:r>
      <w:r w:rsidR="00AD307A">
        <w:rPr>
          <w:rFonts w:cstheme="minorHAnsi"/>
        </w:rPr>
        <w:t xml:space="preserve">h </w:t>
      </w:r>
      <w:r w:rsidR="00F30B55" w:rsidRPr="00F30B55">
        <w:rPr>
          <w:rFonts w:cstheme="minorHAnsi"/>
        </w:rPr>
        <w:t xml:space="preserve">as </w:t>
      </w:r>
      <m:oMath>
        <m:f>
          <m:fPr>
            <m:type m:val="lin"/>
            <m:ctrlPr>
              <w:rPr>
                <w:rFonts w:ascii="Cambria Math" w:hAnsi="Cambria Math" w:cstheme="minorHAnsi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inorHAnsi"/>
                    <w:b/>
                  </w:rPr>
                </m:ctrlPr>
              </m:naryPr>
              <m:sub/>
              <m:sup/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t+1</m:t>
                    </m:r>
                  </m:e>
                </m:d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inorHAnsi"/>
                    <w:b/>
                  </w:rPr>
                </m:ctrlPr>
              </m:naryPr>
              <m:sub/>
              <m:sup/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</m:e>
            </m:nary>
          </m:den>
        </m:f>
      </m:oMath>
      <w:r w:rsidR="00410B2F">
        <w:rPr>
          <w:rFonts w:eastAsiaTheme="minorEastAsia" w:cstheme="minorHAnsi"/>
        </w:rPr>
        <w:t>, and compared the last year of the predicted time series against observations</w:t>
      </w:r>
      <w:r w:rsidR="00F30B55" w:rsidRPr="00F30B55">
        <w:rPr>
          <w:rFonts w:cstheme="minorHAnsi"/>
        </w:rPr>
        <w:t>.</w:t>
      </w:r>
      <w:r w:rsidR="00F30B55">
        <w:rPr>
          <w:rFonts w:cstheme="minorHAnsi"/>
          <w:sz w:val="24"/>
          <w:szCs w:val="24"/>
        </w:rPr>
        <w:t xml:space="preserve"> </w:t>
      </w:r>
    </w:p>
    <w:p w14:paraId="1D0FA416" w14:textId="77777777" w:rsidR="00916AD2" w:rsidRPr="00D44AC0" w:rsidRDefault="00916AD2" w:rsidP="00443C16">
      <w:pPr>
        <w:pStyle w:val="NoSpacing"/>
        <w:spacing w:line="480" w:lineRule="auto"/>
        <w:rPr>
          <w:lang w:val="en-GB"/>
        </w:rPr>
      </w:pPr>
    </w:p>
    <w:p w14:paraId="15C33B04" w14:textId="4C2D007F" w:rsidR="00262BBD" w:rsidRPr="00C3021C" w:rsidRDefault="00781667" w:rsidP="005F4B07">
      <w:pPr>
        <w:pStyle w:val="NoSpacing"/>
        <w:spacing w:line="480" w:lineRule="auto"/>
        <w:rPr>
          <w:rFonts w:eastAsiaTheme="minorEastAsia" w:cstheme="minorHAnsi"/>
          <w:i/>
          <w:lang w:val="en-GB"/>
        </w:rPr>
      </w:pPr>
      <w:r>
        <w:rPr>
          <w:rFonts w:eastAsiaTheme="minorEastAsia" w:cstheme="minorHAnsi"/>
          <w:b/>
          <w:lang w:val="en-GB"/>
        </w:rPr>
        <w:t>Results</w:t>
      </w:r>
    </w:p>
    <w:p w14:paraId="7BD422C4" w14:textId="139A7ADD" w:rsidR="00E83608" w:rsidRDefault="00262BBD" w:rsidP="00C3021C">
      <w:pPr>
        <w:pStyle w:val="NoSpacing"/>
        <w:spacing w:after="120" w:line="480" w:lineRule="auto"/>
        <w:rPr>
          <w:rFonts w:eastAsiaTheme="minorEastAsia" w:cstheme="minorHAnsi"/>
          <w:lang w:val="en-GB"/>
        </w:rPr>
      </w:pPr>
      <w:r w:rsidRPr="00D50C3D">
        <w:rPr>
          <w:rFonts w:eastAsiaTheme="minorEastAsia" w:cstheme="minorHAnsi"/>
          <w:lang w:val="en-GB"/>
        </w:rPr>
        <w:t xml:space="preserve">Unsurprisingly, both </w:t>
      </w:r>
      <w:r w:rsidR="004836E5" w:rsidRPr="00D44AC0">
        <w:rPr>
          <w:rFonts w:cstheme="minorHAnsi"/>
          <w:lang w:val="en-GB"/>
        </w:rPr>
        <w:t>pop</w:t>
      </w:r>
      <w:r w:rsidR="004836E5">
        <w:rPr>
          <w:rFonts w:cstheme="minorHAnsi"/>
          <w:lang w:val="en-GB"/>
        </w:rPr>
        <w:t xml:space="preserve">ulation growth rate </w:t>
      </w:r>
      <w:r w:rsidR="004836E5" w:rsidRPr="002209D8">
        <w:rPr>
          <w:rFonts w:ascii="Symbol" w:hAnsi="Symbol" w:cstheme="minorHAnsi"/>
          <w:lang w:val="en-GB"/>
        </w:rPr>
        <w:t></w:t>
      </w:r>
      <w:r w:rsidR="004836E5">
        <w:rPr>
          <w:rFonts w:cstheme="minorHAnsi"/>
          <w:lang w:val="en-GB"/>
        </w:rPr>
        <w:t xml:space="preserve"> and</w:t>
      </w:r>
      <w:r w:rsidR="004836E5" w:rsidRPr="00D44AC0">
        <w:rPr>
          <w:rFonts w:cstheme="minorHAnsi"/>
          <w:lang w:val="en-GB"/>
        </w:rPr>
        <w:t xml:space="preserve"> lifetime reproductive success </w:t>
      </w:r>
      <w:r w:rsidRPr="00D50C3D">
        <w:rPr>
          <w:rFonts w:eastAsiaTheme="minorEastAsia" w:cstheme="minorHAnsi"/>
          <w:lang w:val="en-GB"/>
        </w:rPr>
        <w:t>R</w:t>
      </w:r>
      <w:r w:rsidRPr="00D50C3D">
        <w:rPr>
          <w:rFonts w:eastAsiaTheme="minorEastAsia" w:cstheme="minorHAnsi"/>
          <w:vertAlign w:val="subscript"/>
          <w:lang w:val="en-GB"/>
        </w:rPr>
        <w:t>0</w:t>
      </w:r>
      <w:r w:rsidR="004836E5">
        <w:rPr>
          <w:rFonts w:eastAsiaTheme="minorEastAsia" w:cstheme="minorHAnsi"/>
          <w:lang w:val="en-GB"/>
        </w:rPr>
        <w:t xml:space="preserve"> </w:t>
      </w:r>
      <w:r w:rsidRPr="00D50C3D">
        <w:rPr>
          <w:rFonts w:eastAsiaTheme="minorEastAsia" w:cstheme="minorHAnsi"/>
          <w:lang w:val="en-GB"/>
        </w:rPr>
        <w:t xml:space="preserve">increased with increasing feeding level, whereas both generation time </w:t>
      </w:r>
      <w:r w:rsidRPr="00D50C3D">
        <w:rPr>
          <w:rFonts w:eastAsiaTheme="minorEastAsia" w:cstheme="minorHAnsi"/>
          <w:i/>
          <w:lang w:val="en-GB"/>
        </w:rPr>
        <w:t>T</w:t>
      </w:r>
      <w:r w:rsidRPr="00D50C3D">
        <w:rPr>
          <w:rFonts w:eastAsiaTheme="minorEastAsia" w:cstheme="minorHAnsi"/>
          <w:lang w:val="en-GB"/>
        </w:rPr>
        <w:t xml:space="preserve"> and cohort generation time </w:t>
      </w:r>
      <w:r w:rsidRPr="00D50C3D">
        <w:rPr>
          <w:rFonts w:eastAsiaTheme="minorEastAsia" w:cstheme="minorHAnsi"/>
          <w:i/>
          <w:lang w:val="en-GB"/>
        </w:rPr>
        <w:t>T</w:t>
      </w:r>
      <w:r w:rsidRPr="00D50C3D">
        <w:rPr>
          <w:rFonts w:eastAsiaTheme="minorEastAsia" w:cstheme="minorHAnsi"/>
          <w:i/>
          <w:vertAlign w:val="subscript"/>
          <w:lang w:val="en-GB"/>
        </w:rPr>
        <w:t>c</w:t>
      </w:r>
      <w:r w:rsidRPr="00D50C3D">
        <w:rPr>
          <w:rFonts w:eastAsiaTheme="minorEastAsia" w:cstheme="minorHAnsi"/>
          <w:lang w:val="en-GB"/>
        </w:rPr>
        <w:t xml:space="preserve"> decreased with increasing feeding level (</w:t>
      </w:r>
      <w:r w:rsidR="004C7C81">
        <w:rPr>
          <w:rFonts w:eastAsiaTheme="minorEastAsia" w:cstheme="minorHAnsi"/>
          <w:lang w:val="en-GB"/>
        </w:rPr>
        <w:t xml:space="preserve">Fig. </w:t>
      </w:r>
      <w:r w:rsidR="00964D73">
        <w:rPr>
          <w:rFonts w:eastAsiaTheme="minorEastAsia" w:cstheme="minorHAnsi"/>
          <w:lang w:val="en-GB"/>
        </w:rPr>
        <w:t>S1</w:t>
      </w:r>
      <w:r w:rsidRPr="00084EDF">
        <w:rPr>
          <w:rFonts w:eastAsiaTheme="minorEastAsia" w:cstheme="minorHAnsi"/>
          <w:lang w:val="en-GB"/>
        </w:rPr>
        <w:t>A-C</w:t>
      </w:r>
      <w:r w:rsidRPr="00D50C3D">
        <w:rPr>
          <w:rFonts w:eastAsiaTheme="minorEastAsia" w:cstheme="minorHAnsi"/>
          <w:lang w:val="en-GB"/>
        </w:rPr>
        <w:t xml:space="preserve">). Predicted </w:t>
      </w:r>
      <w:r w:rsidRPr="00D50C3D">
        <w:rPr>
          <w:rFonts w:eastAsiaTheme="minorEastAsia" w:cstheme="minorHAnsi"/>
          <w:i/>
          <w:lang w:val="en-GB"/>
        </w:rPr>
        <w:t>T</w:t>
      </w:r>
      <w:r w:rsidRPr="00D50C3D">
        <w:rPr>
          <w:rFonts w:eastAsiaTheme="minorEastAsia" w:cstheme="minorHAnsi"/>
          <w:lang w:val="en-GB"/>
        </w:rPr>
        <w:t xml:space="preserve"> and </w:t>
      </w:r>
      <w:r w:rsidRPr="00D50C3D">
        <w:rPr>
          <w:rFonts w:eastAsiaTheme="minorEastAsia" w:cstheme="minorHAnsi"/>
          <w:i/>
          <w:lang w:val="en-GB"/>
        </w:rPr>
        <w:t>T</w:t>
      </w:r>
      <w:r w:rsidRPr="00D50C3D">
        <w:rPr>
          <w:rFonts w:eastAsiaTheme="minorEastAsia" w:cstheme="minorHAnsi"/>
          <w:i/>
          <w:vertAlign w:val="subscript"/>
          <w:lang w:val="en-GB"/>
        </w:rPr>
        <w:t>c</w:t>
      </w:r>
      <w:r w:rsidRPr="00D50C3D">
        <w:rPr>
          <w:rFonts w:eastAsiaTheme="minorEastAsia" w:cstheme="minorHAnsi"/>
          <w:lang w:val="en-GB"/>
        </w:rPr>
        <w:t xml:space="preserve"> were similar across </w:t>
      </w:r>
      <w:r w:rsidR="00D51678">
        <w:rPr>
          <w:rFonts w:eastAsiaTheme="minorEastAsia" w:cstheme="minorHAnsi"/>
          <w:lang w:val="en-GB"/>
        </w:rPr>
        <w:t xml:space="preserve">all </w:t>
      </w:r>
      <w:r w:rsidRPr="00D50C3D">
        <w:rPr>
          <w:rFonts w:eastAsiaTheme="minorEastAsia" w:cstheme="minorHAnsi"/>
          <w:lang w:val="en-GB"/>
        </w:rPr>
        <w:t>feeding levels</w:t>
      </w:r>
      <w:r w:rsidR="00D51678">
        <w:rPr>
          <w:rFonts w:eastAsiaTheme="minorEastAsia" w:cstheme="minorHAnsi"/>
          <w:lang w:val="en-GB"/>
        </w:rPr>
        <w:t xml:space="preserve">, and </w:t>
      </w:r>
      <w:r w:rsidR="00845B54">
        <w:rPr>
          <w:rFonts w:eastAsiaTheme="minorEastAsia" w:cstheme="minorHAnsi"/>
          <w:lang w:val="en-GB"/>
        </w:rPr>
        <w:t>were very close to</w:t>
      </w:r>
      <w:r w:rsidR="00D51678" w:rsidRPr="00D50C3D">
        <w:rPr>
          <w:rFonts w:eastAsiaTheme="minorEastAsia" w:cstheme="minorHAnsi"/>
          <w:lang w:val="en-GB"/>
        </w:rPr>
        <w:t xml:space="preserve"> </w:t>
      </w:r>
      <w:r w:rsidR="00D51678">
        <w:rPr>
          <w:rFonts w:eastAsiaTheme="minorEastAsia" w:cstheme="minorHAnsi"/>
          <w:lang w:val="en-GB"/>
        </w:rPr>
        <w:t xml:space="preserve">the </w:t>
      </w:r>
      <w:r w:rsidR="00D51678" w:rsidRPr="00D50C3D">
        <w:rPr>
          <w:rFonts w:eastAsiaTheme="minorEastAsia" w:cstheme="minorHAnsi"/>
          <w:lang w:val="en-GB"/>
        </w:rPr>
        <w:t xml:space="preserve">observed </w:t>
      </w:r>
      <w:r w:rsidR="00D51678">
        <w:rPr>
          <w:rFonts w:eastAsiaTheme="minorEastAsia" w:cstheme="minorHAnsi"/>
          <w:lang w:val="en-GB"/>
        </w:rPr>
        <w:t>generation time</w:t>
      </w:r>
      <w:r w:rsidR="00D51678" w:rsidRPr="00D50C3D">
        <w:rPr>
          <w:rFonts w:eastAsiaTheme="minorEastAsia" w:cstheme="minorHAnsi"/>
          <w:lang w:val="en-GB"/>
        </w:rPr>
        <w:t xml:space="preserve"> at feeding levels of </w:t>
      </w:r>
      <w:r w:rsidR="00D51678" w:rsidRPr="00D50C3D">
        <w:rPr>
          <w:rFonts w:eastAsiaTheme="minorEastAsia" w:cstheme="minorHAnsi"/>
          <w:i/>
          <w:lang w:val="en-GB"/>
        </w:rPr>
        <w:t>E</w:t>
      </w:r>
      <w:r w:rsidR="00D51678" w:rsidRPr="00D50C3D">
        <w:rPr>
          <w:rFonts w:eastAsiaTheme="minorEastAsia" w:cstheme="minorHAnsi"/>
          <w:lang w:val="en-GB"/>
        </w:rPr>
        <w:t>(</w:t>
      </w:r>
      <w:r w:rsidR="00D51678" w:rsidRPr="00D50C3D">
        <w:rPr>
          <w:rFonts w:eastAsiaTheme="minorEastAsia" w:cstheme="minorHAnsi"/>
          <w:i/>
          <w:lang w:val="en-GB"/>
        </w:rPr>
        <w:t>Y</w:t>
      </w:r>
      <w:r w:rsidR="00D51678" w:rsidRPr="00D50C3D">
        <w:rPr>
          <w:rFonts w:eastAsiaTheme="minorEastAsia" w:cstheme="minorHAnsi"/>
          <w:lang w:val="en-GB"/>
        </w:rPr>
        <w:t xml:space="preserve">) </w:t>
      </w:r>
      <w:r w:rsidR="00D51678">
        <w:rPr>
          <w:rFonts w:eastAsiaTheme="minorEastAsia" w:cstheme="minorHAnsi"/>
          <w:lang w:val="en-GB"/>
        </w:rPr>
        <w:t>&gt; 0</w:t>
      </w:r>
      <w:r w:rsidR="00D51678" w:rsidRPr="00D50C3D">
        <w:rPr>
          <w:rFonts w:eastAsiaTheme="minorEastAsia" w:cstheme="minorHAnsi"/>
          <w:lang w:val="en-GB"/>
        </w:rPr>
        <w:t xml:space="preserve">.75 (Fig. </w:t>
      </w:r>
      <w:r w:rsidR="00964D73">
        <w:rPr>
          <w:rFonts w:eastAsiaTheme="minorEastAsia" w:cstheme="minorHAnsi"/>
          <w:lang w:val="en-GB"/>
        </w:rPr>
        <w:t>S1</w:t>
      </w:r>
      <w:r w:rsidR="00D51678" w:rsidRPr="00084EDF">
        <w:rPr>
          <w:rFonts w:eastAsiaTheme="minorEastAsia" w:cstheme="minorHAnsi"/>
          <w:lang w:val="en-GB"/>
        </w:rPr>
        <w:t>C</w:t>
      </w:r>
      <w:r w:rsidR="00D51678" w:rsidRPr="00D50C3D">
        <w:rPr>
          <w:rFonts w:eastAsiaTheme="minorEastAsia" w:cstheme="minorHAnsi"/>
          <w:lang w:val="en-GB"/>
        </w:rPr>
        <w:t xml:space="preserve">). </w:t>
      </w:r>
      <w:r w:rsidR="00DE2D14">
        <w:rPr>
          <w:rFonts w:eastAsiaTheme="minorEastAsia" w:cstheme="minorHAnsi"/>
          <w:lang w:val="en-GB"/>
        </w:rPr>
        <w:t xml:space="preserve">Observed mean body lengths of juveniles and adults were very similar across sampling years (Table </w:t>
      </w:r>
      <w:r w:rsidR="00964D73">
        <w:rPr>
          <w:rFonts w:eastAsiaTheme="minorEastAsia" w:cstheme="minorHAnsi"/>
          <w:lang w:val="en-GB"/>
        </w:rPr>
        <w:t>S1</w:t>
      </w:r>
      <w:r w:rsidR="00DE2D14">
        <w:rPr>
          <w:rFonts w:eastAsiaTheme="minorEastAsia" w:cstheme="minorHAnsi"/>
          <w:lang w:val="en-GB"/>
        </w:rPr>
        <w:t xml:space="preserve">). Taking the 2017 data as representative for all sampling years, shows that </w:t>
      </w:r>
      <w:r w:rsidR="00DE2D14" w:rsidRPr="00D50C3D">
        <w:rPr>
          <w:rFonts w:eastAsiaTheme="minorEastAsia" w:cstheme="minorHAnsi"/>
          <w:lang w:val="en-GB"/>
        </w:rPr>
        <w:t xml:space="preserve">the predicted juvenile body length was </w:t>
      </w:r>
      <w:r w:rsidR="00D51678">
        <w:rPr>
          <w:rFonts w:eastAsiaTheme="minorEastAsia" w:cstheme="minorHAnsi"/>
          <w:lang w:val="en-GB"/>
        </w:rPr>
        <w:t xml:space="preserve">close to the </w:t>
      </w:r>
      <w:r w:rsidR="00DE2D14">
        <w:rPr>
          <w:rFonts w:eastAsiaTheme="minorEastAsia" w:cstheme="minorHAnsi"/>
          <w:lang w:val="en-GB"/>
        </w:rPr>
        <w:t>o</w:t>
      </w:r>
      <w:r w:rsidR="00DE2D14" w:rsidRPr="00D50C3D">
        <w:rPr>
          <w:rFonts w:eastAsiaTheme="minorEastAsia" w:cstheme="minorHAnsi"/>
          <w:lang w:val="en-GB"/>
        </w:rPr>
        <w:t xml:space="preserve">bserved </w:t>
      </w:r>
      <w:r w:rsidR="00D51678">
        <w:rPr>
          <w:rFonts w:eastAsiaTheme="minorEastAsia" w:cstheme="minorHAnsi"/>
          <w:lang w:val="en-GB"/>
        </w:rPr>
        <w:t xml:space="preserve">distribution of juvenile </w:t>
      </w:r>
      <w:r w:rsidR="00DE2D14" w:rsidRPr="00D50C3D">
        <w:rPr>
          <w:rFonts w:eastAsiaTheme="minorEastAsia" w:cstheme="minorHAnsi"/>
          <w:lang w:val="en-GB"/>
        </w:rPr>
        <w:t>body length (</w:t>
      </w:r>
      <w:r w:rsidR="00DE2D14" w:rsidRPr="00084EDF">
        <w:rPr>
          <w:rFonts w:eastAsiaTheme="minorEastAsia" w:cstheme="minorHAnsi"/>
          <w:lang w:val="en-GB"/>
        </w:rPr>
        <w:t>Fig</w:t>
      </w:r>
      <w:r w:rsidR="00DE2D14">
        <w:rPr>
          <w:rFonts w:eastAsiaTheme="minorEastAsia" w:cstheme="minorHAnsi"/>
          <w:lang w:val="en-GB"/>
        </w:rPr>
        <w:t>.</w:t>
      </w:r>
      <w:r w:rsidR="004C7C81">
        <w:rPr>
          <w:rFonts w:eastAsiaTheme="minorEastAsia" w:cstheme="minorHAnsi"/>
          <w:lang w:val="en-GB"/>
        </w:rPr>
        <w:t xml:space="preserve"> </w:t>
      </w:r>
      <w:r w:rsidR="00964D73">
        <w:rPr>
          <w:rFonts w:eastAsiaTheme="minorEastAsia" w:cstheme="minorHAnsi"/>
          <w:lang w:val="en-GB"/>
        </w:rPr>
        <w:t>S1</w:t>
      </w:r>
      <w:r w:rsidR="00DE2D14" w:rsidRPr="00084EDF">
        <w:rPr>
          <w:rFonts w:eastAsiaTheme="minorEastAsia" w:cstheme="minorHAnsi"/>
          <w:lang w:val="en-GB"/>
        </w:rPr>
        <w:t xml:space="preserve">D: </w:t>
      </w:r>
      <w:r w:rsidR="00DE2D14">
        <w:rPr>
          <w:rFonts w:eastAsiaTheme="minorEastAsia" w:cstheme="minorHAnsi"/>
          <w:lang w:val="en-GB"/>
        </w:rPr>
        <w:t xml:space="preserve">black </w:t>
      </w:r>
      <w:r w:rsidR="00DE2D14" w:rsidRPr="00084EDF">
        <w:rPr>
          <w:rFonts w:eastAsiaTheme="minorEastAsia" w:cstheme="minorHAnsi"/>
          <w:lang w:val="en-GB"/>
        </w:rPr>
        <w:t xml:space="preserve">solid line </w:t>
      </w:r>
      <w:r w:rsidR="00DE2D14">
        <w:rPr>
          <w:rFonts w:eastAsiaTheme="minorEastAsia" w:cstheme="minorHAnsi"/>
          <w:lang w:val="en-GB"/>
        </w:rPr>
        <w:t xml:space="preserve">[predicted] </w:t>
      </w:r>
      <w:r w:rsidR="00DE2D14" w:rsidRPr="00084EDF">
        <w:rPr>
          <w:rFonts w:eastAsiaTheme="minorEastAsia" w:cstheme="minorHAnsi"/>
          <w:lang w:val="en-GB"/>
        </w:rPr>
        <w:t>and shaded area</w:t>
      </w:r>
      <w:r w:rsidR="00DE2D14">
        <w:rPr>
          <w:rFonts w:eastAsiaTheme="minorEastAsia" w:cstheme="minorHAnsi"/>
          <w:lang w:val="en-GB"/>
        </w:rPr>
        <w:t xml:space="preserve"> [observed]</w:t>
      </w:r>
      <w:r w:rsidR="00DE2D14" w:rsidRPr="00D50C3D">
        <w:rPr>
          <w:rFonts w:eastAsiaTheme="minorEastAsia" w:cstheme="minorHAnsi"/>
          <w:lang w:val="en-GB"/>
        </w:rPr>
        <w:t xml:space="preserve">). </w:t>
      </w:r>
      <w:r w:rsidR="00DE2D14">
        <w:rPr>
          <w:rFonts w:eastAsiaTheme="minorEastAsia" w:cstheme="minorHAnsi"/>
          <w:lang w:val="en-GB"/>
        </w:rPr>
        <w:t xml:space="preserve">The predicted mean </w:t>
      </w:r>
      <w:r w:rsidR="00DE2D14" w:rsidRPr="00D50C3D">
        <w:rPr>
          <w:rFonts w:eastAsiaTheme="minorEastAsia" w:cstheme="minorHAnsi"/>
          <w:lang w:val="en-GB"/>
        </w:rPr>
        <w:t xml:space="preserve">body length of adults was mostly </w:t>
      </w:r>
      <w:r w:rsidR="00DE2D14" w:rsidRPr="00D50C3D">
        <w:rPr>
          <w:rFonts w:eastAsiaTheme="minorEastAsia" w:cstheme="minorHAnsi"/>
          <w:lang w:val="en-GB"/>
        </w:rPr>
        <w:lastRenderedPageBreak/>
        <w:t>within one standard deviation of the observed mean (</w:t>
      </w:r>
      <w:r w:rsidR="004C7C81">
        <w:rPr>
          <w:rFonts w:eastAsiaTheme="minorEastAsia" w:cstheme="minorHAnsi"/>
          <w:lang w:val="en-GB"/>
        </w:rPr>
        <w:t xml:space="preserve">Fig, </w:t>
      </w:r>
      <w:r w:rsidR="00964D73">
        <w:rPr>
          <w:rFonts w:eastAsiaTheme="minorEastAsia" w:cstheme="minorHAnsi"/>
          <w:lang w:val="en-GB"/>
        </w:rPr>
        <w:t>S1</w:t>
      </w:r>
      <w:r w:rsidR="00DE2D14" w:rsidRPr="00084EDF">
        <w:rPr>
          <w:rFonts w:eastAsiaTheme="minorEastAsia" w:cstheme="minorHAnsi"/>
          <w:lang w:val="en-GB"/>
        </w:rPr>
        <w:t xml:space="preserve">D: </w:t>
      </w:r>
      <w:r w:rsidR="00DE2D14">
        <w:rPr>
          <w:rFonts w:eastAsiaTheme="minorEastAsia" w:cstheme="minorHAnsi"/>
          <w:lang w:val="en-GB"/>
        </w:rPr>
        <w:t>black</w:t>
      </w:r>
      <w:r w:rsidR="00DE2D14" w:rsidRPr="00084EDF">
        <w:rPr>
          <w:rFonts w:eastAsiaTheme="minorEastAsia" w:cstheme="minorHAnsi"/>
          <w:lang w:val="en-GB"/>
        </w:rPr>
        <w:t xml:space="preserve"> dashed line </w:t>
      </w:r>
      <w:r w:rsidR="00DE2D14">
        <w:rPr>
          <w:rFonts w:eastAsiaTheme="minorEastAsia" w:cstheme="minorHAnsi"/>
          <w:lang w:val="en-GB"/>
        </w:rPr>
        <w:t xml:space="preserve">[predicted] </w:t>
      </w:r>
      <w:r w:rsidR="00DE2D14" w:rsidRPr="00084EDF">
        <w:rPr>
          <w:rFonts w:eastAsiaTheme="minorEastAsia" w:cstheme="minorHAnsi"/>
          <w:lang w:val="en-GB"/>
        </w:rPr>
        <w:t>and shaded area</w:t>
      </w:r>
      <w:r w:rsidR="00DE2D14">
        <w:rPr>
          <w:rFonts w:eastAsiaTheme="minorEastAsia" w:cstheme="minorHAnsi"/>
          <w:lang w:val="en-GB"/>
        </w:rPr>
        <w:t xml:space="preserve"> [observed]</w:t>
      </w:r>
      <w:r w:rsidR="00DE2D14" w:rsidRPr="00D50C3D">
        <w:rPr>
          <w:rFonts w:eastAsiaTheme="minorEastAsia" w:cstheme="minorHAnsi"/>
          <w:lang w:val="en-GB"/>
        </w:rPr>
        <w:t xml:space="preserve">). </w:t>
      </w:r>
      <w:r w:rsidR="00DE2D14">
        <w:rPr>
          <w:rFonts w:eastAsiaTheme="minorEastAsia" w:cstheme="minorHAnsi"/>
          <w:lang w:val="en-GB"/>
        </w:rPr>
        <w:t>P</w:t>
      </w:r>
      <w:r w:rsidRPr="00D50C3D">
        <w:rPr>
          <w:rFonts w:eastAsiaTheme="minorEastAsia" w:cstheme="minorHAnsi"/>
          <w:lang w:val="en-GB"/>
        </w:rPr>
        <w:t>redicted mean body length</w:t>
      </w:r>
      <w:r w:rsidR="00DE2D14">
        <w:rPr>
          <w:rFonts w:eastAsiaTheme="minorEastAsia" w:cstheme="minorHAnsi"/>
          <w:lang w:val="en-GB"/>
        </w:rPr>
        <w:t>s</w:t>
      </w:r>
      <w:r w:rsidR="00040A95" w:rsidRPr="00D50C3D">
        <w:rPr>
          <w:rFonts w:eastAsiaTheme="minorEastAsia" w:cstheme="minorHAnsi"/>
          <w:lang w:val="en-GB"/>
        </w:rPr>
        <w:t xml:space="preserve"> of juveniles </w:t>
      </w:r>
      <w:r w:rsidR="00D51678">
        <w:rPr>
          <w:rFonts w:eastAsiaTheme="minorEastAsia" w:cstheme="minorHAnsi"/>
          <w:lang w:val="en-GB"/>
        </w:rPr>
        <w:t xml:space="preserve">first decreased and then increased with </w:t>
      </w:r>
      <w:r w:rsidR="00040A95" w:rsidRPr="00D50C3D">
        <w:rPr>
          <w:rFonts w:eastAsiaTheme="minorEastAsia" w:cstheme="minorHAnsi"/>
          <w:lang w:val="en-GB"/>
        </w:rPr>
        <w:t xml:space="preserve">increasing </w:t>
      </w:r>
      <w:r w:rsidRPr="00D50C3D">
        <w:rPr>
          <w:rFonts w:eastAsiaTheme="minorEastAsia" w:cstheme="minorHAnsi"/>
          <w:lang w:val="en-GB"/>
        </w:rPr>
        <w:t>feeding level</w:t>
      </w:r>
      <w:r w:rsidR="00D51678">
        <w:rPr>
          <w:rFonts w:eastAsiaTheme="minorEastAsia" w:cstheme="minorHAnsi"/>
          <w:lang w:val="en-GB"/>
        </w:rPr>
        <w:t>, whereas th</w:t>
      </w:r>
      <w:r w:rsidR="00845B54">
        <w:rPr>
          <w:rFonts w:eastAsiaTheme="minorEastAsia" w:cstheme="minorHAnsi"/>
          <w:lang w:val="en-GB"/>
        </w:rPr>
        <w:t>ose</w:t>
      </w:r>
      <w:r w:rsidR="00D51678">
        <w:rPr>
          <w:rFonts w:eastAsiaTheme="minorEastAsia" w:cstheme="minorHAnsi"/>
          <w:lang w:val="en-GB"/>
        </w:rPr>
        <w:t xml:space="preserve"> of adults slightly increased over the full range of feeding levels</w:t>
      </w:r>
      <w:r w:rsidRPr="00D50C3D">
        <w:rPr>
          <w:rFonts w:eastAsiaTheme="minorEastAsia" w:cstheme="minorHAnsi"/>
          <w:lang w:val="en-GB"/>
        </w:rPr>
        <w:t xml:space="preserve"> (</w:t>
      </w:r>
      <w:r w:rsidR="004C7C81">
        <w:rPr>
          <w:rFonts w:eastAsiaTheme="minorEastAsia" w:cstheme="minorHAnsi"/>
          <w:lang w:val="en-GB"/>
        </w:rPr>
        <w:t xml:space="preserve">Fig. </w:t>
      </w:r>
      <w:r w:rsidR="00964D73">
        <w:rPr>
          <w:rFonts w:eastAsiaTheme="minorEastAsia" w:cstheme="minorHAnsi"/>
          <w:lang w:val="en-GB"/>
        </w:rPr>
        <w:t>S1</w:t>
      </w:r>
      <w:r w:rsidRPr="00084EDF">
        <w:rPr>
          <w:rFonts w:eastAsiaTheme="minorEastAsia" w:cstheme="minorHAnsi"/>
          <w:lang w:val="en-GB"/>
        </w:rPr>
        <w:t>D</w:t>
      </w:r>
      <w:r w:rsidR="00040A95" w:rsidRPr="00084EDF">
        <w:rPr>
          <w:rFonts w:eastAsiaTheme="minorEastAsia" w:cstheme="minorHAnsi"/>
          <w:lang w:val="en-GB"/>
        </w:rPr>
        <w:t>: black lines</w:t>
      </w:r>
      <w:r w:rsidRPr="00D50C3D">
        <w:rPr>
          <w:rFonts w:eastAsiaTheme="minorEastAsia" w:cstheme="minorHAnsi"/>
          <w:lang w:val="en-GB"/>
        </w:rPr>
        <w:t>)</w:t>
      </w:r>
      <w:r w:rsidR="00DE2D14">
        <w:rPr>
          <w:rFonts w:eastAsiaTheme="minorEastAsia" w:cstheme="minorHAnsi"/>
          <w:lang w:val="en-GB"/>
        </w:rPr>
        <w:t>.</w:t>
      </w:r>
      <w:r w:rsidR="00E83608">
        <w:rPr>
          <w:rFonts w:eastAsiaTheme="minorEastAsia" w:cstheme="minorHAnsi"/>
          <w:lang w:val="en-GB"/>
        </w:rPr>
        <w:t xml:space="preserve"> Finally, the observed population growth rates showed the two </w:t>
      </w:r>
      <w:r w:rsidR="00E83608" w:rsidRPr="00D50C3D">
        <w:rPr>
          <w:rFonts w:cstheme="minorHAnsi"/>
          <w:lang w:val="en-GB"/>
        </w:rPr>
        <w:t>reproduction peaks</w:t>
      </w:r>
      <w:r w:rsidR="00E83608">
        <w:rPr>
          <w:rFonts w:cstheme="minorHAnsi"/>
          <w:lang w:val="en-GB"/>
        </w:rPr>
        <w:t xml:space="preserve"> in</w:t>
      </w:r>
      <w:r w:rsidR="00E83608" w:rsidRPr="00D50C3D">
        <w:rPr>
          <w:rFonts w:cstheme="minorHAnsi"/>
          <w:lang w:val="en-GB"/>
        </w:rPr>
        <w:t xml:space="preserve"> June</w:t>
      </w:r>
      <w:r w:rsidR="00E83608">
        <w:rPr>
          <w:rFonts w:cstheme="minorHAnsi"/>
          <w:lang w:val="en-GB"/>
        </w:rPr>
        <w:t xml:space="preserve"> </w:t>
      </w:r>
      <w:r w:rsidR="00E83608" w:rsidRPr="00D50C3D">
        <w:rPr>
          <w:rFonts w:cstheme="minorHAnsi"/>
          <w:lang w:val="en-GB"/>
        </w:rPr>
        <w:t>and August</w:t>
      </w:r>
      <w:r w:rsidR="00E83608">
        <w:rPr>
          <w:rFonts w:cstheme="minorHAnsi"/>
          <w:lang w:val="en-GB"/>
        </w:rPr>
        <w:t>, which was captured by</w:t>
      </w:r>
      <w:r w:rsidR="004C7C81">
        <w:rPr>
          <w:rFonts w:cstheme="minorHAnsi"/>
          <w:lang w:val="en-GB"/>
        </w:rPr>
        <w:t xml:space="preserve"> our model predictions (Fig. </w:t>
      </w:r>
      <w:r w:rsidR="00964D73">
        <w:rPr>
          <w:rFonts w:eastAsiaTheme="minorEastAsia" w:cstheme="minorHAnsi"/>
          <w:lang w:val="en-GB"/>
        </w:rPr>
        <w:t>S1</w:t>
      </w:r>
      <w:r w:rsidR="00E83608">
        <w:rPr>
          <w:rFonts w:cstheme="minorHAnsi"/>
          <w:lang w:val="en-GB"/>
        </w:rPr>
        <w:t>E</w:t>
      </w:r>
      <w:r w:rsidR="00845B54">
        <w:rPr>
          <w:rFonts w:cstheme="minorHAnsi"/>
          <w:lang w:val="en-GB"/>
        </w:rPr>
        <w:t>: solid line [prediction] and open bars [observed]</w:t>
      </w:r>
      <w:r w:rsidR="00E83608">
        <w:rPr>
          <w:rFonts w:cstheme="minorHAnsi"/>
          <w:lang w:val="en-GB"/>
        </w:rPr>
        <w:t xml:space="preserve">). Our model </w:t>
      </w:r>
      <w:r w:rsidR="00845B54">
        <w:rPr>
          <w:rFonts w:cstheme="minorHAnsi"/>
          <w:lang w:val="en-GB"/>
        </w:rPr>
        <w:t xml:space="preserve">predictions also match </w:t>
      </w:r>
      <w:r w:rsidR="00E83608">
        <w:rPr>
          <w:rFonts w:cstheme="minorHAnsi"/>
          <w:lang w:val="en-GB"/>
        </w:rPr>
        <w:t>the observed population decline in the autumn and winter months (as population growth rate is lower than unity)</w:t>
      </w:r>
      <w:r w:rsidR="00845B54">
        <w:rPr>
          <w:rFonts w:cstheme="minorHAnsi"/>
          <w:lang w:val="en-GB"/>
        </w:rPr>
        <w:t>, but did</w:t>
      </w:r>
      <w:r w:rsidR="00E83608">
        <w:rPr>
          <w:rFonts w:cstheme="minorHAnsi"/>
          <w:lang w:val="en-GB"/>
        </w:rPr>
        <w:t xml:space="preserve"> not predict the very low population growth rate in be</w:t>
      </w:r>
      <w:r w:rsidR="004C7C81">
        <w:rPr>
          <w:rFonts w:cstheme="minorHAnsi"/>
          <w:lang w:val="en-GB"/>
        </w:rPr>
        <w:t xml:space="preserve">tween reproduction peaks (Fig. </w:t>
      </w:r>
      <w:r w:rsidR="00964D73">
        <w:rPr>
          <w:rFonts w:eastAsiaTheme="minorEastAsia" w:cstheme="minorHAnsi"/>
          <w:lang w:val="en-GB"/>
        </w:rPr>
        <w:t>S1</w:t>
      </w:r>
      <w:r w:rsidR="00E83608">
        <w:rPr>
          <w:rFonts w:cstheme="minorHAnsi"/>
          <w:lang w:val="en-GB"/>
        </w:rPr>
        <w:t xml:space="preserve">E). </w:t>
      </w:r>
    </w:p>
    <w:p w14:paraId="5E51CD91" w14:textId="70DA616A" w:rsidR="00FA3BB4" w:rsidRDefault="00FA3BB4" w:rsidP="00FA3BB4">
      <w:pPr>
        <w:pStyle w:val="NoSpacing"/>
        <w:spacing w:line="480" w:lineRule="auto"/>
        <w:rPr>
          <w:rFonts w:eastAsiaTheme="minorEastAsia" w:cstheme="minorHAnsi"/>
          <w:b/>
          <w:lang w:val="en-GB"/>
        </w:rPr>
      </w:pPr>
    </w:p>
    <w:p w14:paraId="5427520F" w14:textId="244271BE" w:rsidR="00981F58" w:rsidRPr="00C3021C" w:rsidRDefault="00981F58" w:rsidP="005F4B07">
      <w:pPr>
        <w:pStyle w:val="NoSpacing"/>
        <w:spacing w:after="120" w:line="480" w:lineRule="auto"/>
        <w:rPr>
          <w:rFonts w:cstheme="minorHAnsi"/>
          <w:i/>
          <w:lang w:val="en-GB"/>
        </w:rPr>
      </w:pPr>
      <w:r w:rsidRPr="005F4B07">
        <w:rPr>
          <w:rFonts w:cstheme="minorHAnsi"/>
          <w:b/>
          <w:lang w:val="en-GB"/>
        </w:rPr>
        <w:t>Model performance check</w:t>
      </w:r>
    </w:p>
    <w:p w14:paraId="6B1ECB3D" w14:textId="2EA01BA1" w:rsidR="00B36623" w:rsidRPr="00D50C3D" w:rsidRDefault="00B366F6" w:rsidP="00084EDF">
      <w:pPr>
        <w:pStyle w:val="NoSpacing"/>
        <w:spacing w:line="48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W</w:t>
      </w:r>
      <w:r w:rsidR="00E56A0F" w:rsidRPr="00D50C3D">
        <w:rPr>
          <w:rFonts w:cstheme="minorHAnsi"/>
          <w:lang w:val="en-GB"/>
        </w:rPr>
        <w:t>e</w:t>
      </w:r>
      <w:r>
        <w:rPr>
          <w:rFonts w:cstheme="minorHAnsi"/>
          <w:lang w:val="en-GB"/>
        </w:rPr>
        <w:t xml:space="preserve"> </w:t>
      </w:r>
      <w:r w:rsidR="00981F58" w:rsidRPr="00D50C3D">
        <w:rPr>
          <w:rFonts w:cstheme="minorHAnsi"/>
          <w:lang w:val="en-GB"/>
        </w:rPr>
        <w:t>assess</w:t>
      </w:r>
      <w:r>
        <w:rPr>
          <w:rFonts w:cstheme="minorHAnsi"/>
          <w:lang w:val="en-GB"/>
        </w:rPr>
        <w:t>ed</w:t>
      </w:r>
      <w:r w:rsidR="00981F58" w:rsidRPr="00D50C3D">
        <w:rPr>
          <w:rFonts w:cstheme="minorHAnsi"/>
          <w:lang w:val="en-GB"/>
        </w:rPr>
        <w:t xml:space="preserve"> the performance of the model by </w:t>
      </w:r>
      <w:r w:rsidR="000E2501">
        <w:rPr>
          <w:rFonts w:cstheme="minorHAnsi"/>
          <w:lang w:val="en-GB"/>
        </w:rPr>
        <w:t xml:space="preserve">visually comparing predicted and observed </w:t>
      </w:r>
      <w:r w:rsidR="00E56A0F" w:rsidRPr="00D50C3D">
        <w:rPr>
          <w:rFonts w:cstheme="minorHAnsi"/>
          <w:lang w:val="en-GB"/>
        </w:rPr>
        <w:t xml:space="preserve">key characteristics of </w:t>
      </w:r>
      <w:r w:rsidR="00E56A0F" w:rsidRPr="00D50C3D">
        <w:rPr>
          <w:rFonts w:cstheme="minorHAnsi"/>
          <w:i/>
          <w:lang w:val="en-GB"/>
        </w:rPr>
        <w:t xml:space="preserve">O. </w:t>
      </w:r>
      <w:proofErr w:type="spellStart"/>
      <w:r w:rsidR="00E56A0F" w:rsidRPr="00D50C3D">
        <w:rPr>
          <w:rFonts w:cstheme="minorHAnsi"/>
          <w:i/>
          <w:lang w:val="en-GB"/>
        </w:rPr>
        <w:t>gammarellus</w:t>
      </w:r>
      <w:proofErr w:type="spellEnd"/>
      <w:r w:rsidR="00E56A0F" w:rsidRPr="00D50C3D">
        <w:rPr>
          <w:rFonts w:cstheme="minorHAnsi"/>
          <w:lang w:val="en-GB"/>
        </w:rPr>
        <w:t xml:space="preserve"> demography.</w:t>
      </w:r>
      <w:r w:rsidR="00F37F7A" w:rsidRPr="00D50C3D">
        <w:rPr>
          <w:rFonts w:cstheme="minorHAnsi"/>
          <w:lang w:val="en-GB"/>
        </w:rPr>
        <w:t xml:space="preserve"> </w:t>
      </w:r>
      <w:r w:rsidR="000E2501">
        <w:rPr>
          <w:rFonts w:cstheme="minorHAnsi"/>
          <w:lang w:val="en-GB"/>
        </w:rPr>
        <w:t>Predicted (cohort)</w:t>
      </w:r>
      <w:r>
        <w:rPr>
          <w:rFonts w:cstheme="minorHAnsi"/>
          <w:lang w:val="en-GB"/>
        </w:rPr>
        <w:t xml:space="preserve"> </w:t>
      </w:r>
      <w:r w:rsidR="00F37F7A" w:rsidRPr="00D50C3D">
        <w:rPr>
          <w:rFonts w:cstheme="minorHAnsi"/>
          <w:lang w:val="en-GB"/>
        </w:rPr>
        <w:t xml:space="preserve">generation time </w:t>
      </w:r>
      <w:r w:rsidR="000E2501">
        <w:rPr>
          <w:rFonts w:cstheme="minorHAnsi"/>
          <w:lang w:val="en-GB"/>
        </w:rPr>
        <w:t>overlapped with the observed generation time at higher feeding levels, and p</w:t>
      </w:r>
      <w:r w:rsidR="00B46027" w:rsidRPr="00D50C3D">
        <w:rPr>
          <w:rFonts w:cstheme="minorHAnsi"/>
          <w:lang w:val="en-GB"/>
        </w:rPr>
        <w:t>redictions o</w:t>
      </w:r>
      <w:r>
        <w:rPr>
          <w:rFonts w:cstheme="minorHAnsi"/>
          <w:lang w:val="en-GB"/>
        </w:rPr>
        <w:t>f the</w:t>
      </w:r>
      <w:r w:rsidR="00B46027" w:rsidRPr="00D50C3D">
        <w:rPr>
          <w:rFonts w:cstheme="minorHAnsi"/>
          <w:lang w:val="en-GB"/>
        </w:rPr>
        <w:t xml:space="preserve"> mean body length</w:t>
      </w:r>
      <w:r>
        <w:rPr>
          <w:rFonts w:cstheme="minorHAnsi"/>
          <w:lang w:val="en-GB"/>
        </w:rPr>
        <w:t>s</w:t>
      </w:r>
      <w:r w:rsidR="00B46027" w:rsidRPr="00D50C3D">
        <w:rPr>
          <w:rFonts w:cstheme="minorHAnsi"/>
          <w:lang w:val="en-GB"/>
        </w:rPr>
        <w:t xml:space="preserve"> of juveniles and adults were </w:t>
      </w:r>
      <w:r w:rsidR="000E2501">
        <w:rPr>
          <w:rFonts w:cstheme="minorHAnsi"/>
          <w:lang w:val="en-GB"/>
        </w:rPr>
        <w:t xml:space="preserve">for the most part </w:t>
      </w:r>
      <w:r w:rsidR="00B46027" w:rsidRPr="00D50C3D">
        <w:rPr>
          <w:rFonts w:cstheme="minorHAnsi"/>
          <w:lang w:val="en-GB"/>
        </w:rPr>
        <w:t xml:space="preserve">within one standard deviation of the observed mean body lengths. </w:t>
      </w:r>
      <w:r w:rsidR="000E2501">
        <w:rPr>
          <w:rFonts w:cstheme="minorHAnsi"/>
          <w:lang w:val="en-GB"/>
        </w:rPr>
        <w:t xml:space="preserve">What is more, our simulation of </w:t>
      </w:r>
      <w:r w:rsidR="000E2501" w:rsidRPr="000E2501">
        <w:rPr>
          <w:rFonts w:cstheme="minorHAnsi"/>
          <w:i/>
          <w:lang w:val="en-GB"/>
        </w:rPr>
        <w:t xml:space="preserve">O. </w:t>
      </w:r>
      <w:proofErr w:type="spellStart"/>
      <w:r w:rsidR="000E2501" w:rsidRPr="000E2501">
        <w:rPr>
          <w:rFonts w:cstheme="minorHAnsi"/>
          <w:i/>
          <w:lang w:val="en-GB"/>
        </w:rPr>
        <w:t>gammarellus</w:t>
      </w:r>
      <w:proofErr w:type="spellEnd"/>
      <w:r w:rsidR="000E2501">
        <w:rPr>
          <w:rFonts w:cstheme="minorHAnsi"/>
          <w:lang w:val="en-GB"/>
        </w:rPr>
        <w:t xml:space="preserve"> population dynamics in the field captured the observed two summer reproduction peaks, as well as the observed population declines in autumn and winter. The one aspect of </w:t>
      </w:r>
      <w:r w:rsidR="000E2501" w:rsidRPr="000E2501">
        <w:rPr>
          <w:rFonts w:cstheme="minorHAnsi"/>
          <w:i/>
          <w:lang w:val="en-GB"/>
        </w:rPr>
        <w:t xml:space="preserve">O. </w:t>
      </w:r>
      <w:proofErr w:type="spellStart"/>
      <w:r w:rsidR="000E2501" w:rsidRPr="000E2501">
        <w:rPr>
          <w:rFonts w:cstheme="minorHAnsi"/>
          <w:i/>
          <w:lang w:val="en-GB"/>
        </w:rPr>
        <w:t>gammarellus</w:t>
      </w:r>
      <w:proofErr w:type="spellEnd"/>
      <w:r w:rsidR="000E2501">
        <w:rPr>
          <w:rFonts w:cstheme="minorHAnsi"/>
          <w:lang w:val="en-GB"/>
        </w:rPr>
        <w:t xml:space="preserve"> population dynamics that the model did not capture well, was the drop in population growth immediately following each reproduction peak. This is likely because </w:t>
      </w:r>
      <w:r w:rsidR="0081252D">
        <w:rPr>
          <w:rFonts w:cstheme="minorHAnsi"/>
          <w:lang w:val="en-GB"/>
        </w:rPr>
        <w:t>high population growth due to a</w:t>
      </w:r>
      <w:r w:rsidR="000E2501">
        <w:rPr>
          <w:rFonts w:cstheme="minorHAnsi"/>
          <w:lang w:val="en-GB"/>
        </w:rPr>
        <w:t xml:space="preserve"> reproduction peak can be followed </w:t>
      </w:r>
      <w:r w:rsidR="0081252D">
        <w:rPr>
          <w:rFonts w:cstheme="minorHAnsi"/>
          <w:lang w:val="en-GB"/>
        </w:rPr>
        <w:t xml:space="preserve">by a steep decline in growth of a juvenile-dominated population </w:t>
      </w:r>
      <w:r w:rsidR="000E2501">
        <w:rPr>
          <w:rFonts w:cstheme="minorHAnsi"/>
          <w:lang w:val="en-GB"/>
        </w:rPr>
        <w:t>if juvenile mortality is high (which it is for many species</w:t>
      </w:r>
      <w:r w:rsidR="0081252D">
        <w:rPr>
          <w:rFonts w:cstheme="minorHAnsi"/>
          <w:lang w:val="en-GB"/>
        </w:rPr>
        <w:t xml:space="preserve"> [</w:t>
      </w:r>
      <w:proofErr w:type="spellStart"/>
      <w:r w:rsidR="0081252D">
        <w:rPr>
          <w:rFonts w:cstheme="minorHAnsi"/>
          <w:lang w:val="en-GB"/>
        </w:rPr>
        <w:t>Kooijman</w:t>
      </w:r>
      <w:proofErr w:type="spellEnd"/>
      <w:r w:rsidR="0081252D">
        <w:rPr>
          <w:rFonts w:cstheme="minorHAnsi"/>
          <w:lang w:val="en-GB"/>
        </w:rPr>
        <w:t xml:space="preserve"> 2000]</w:t>
      </w:r>
      <w:r w:rsidR="000E2501">
        <w:rPr>
          <w:rFonts w:cstheme="minorHAnsi"/>
          <w:lang w:val="en-GB"/>
        </w:rPr>
        <w:t xml:space="preserve">). Mortality in our model is constant for all sizes, which </w:t>
      </w:r>
      <w:r w:rsidR="00F35592">
        <w:rPr>
          <w:rFonts w:cstheme="minorHAnsi"/>
          <w:lang w:val="en-GB"/>
        </w:rPr>
        <w:t xml:space="preserve">could explain </w:t>
      </w:r>
      <w:r w:rsidR="000E2501">
        <w:rPr>
          <w:rFonts w:cstheme="minorHAnsi"/>
          <w:lang w:val="en-GB"/>
        </w:rPr>
        <w:t>why the model did not predict the strong decline in population growth after each reproduction peak.</w:t>
      </w:r>
      <w:r w:rsidR="00B46027" w:rsidRPr="00D50C3D">
        <w:rPr>
          <w:rFonts w:cstheme="minorHAnsi"/>
          <w:lang w:val="en-GB"/>
        </w:rPr>
        <w:t xml:space="preserve"> </w:t>
      </w:r>
      <w:r w:rsidR="0042367B">
        <w:rPr>
          <w:rFonts w:cstheme="minorHAnsi"/>
          <w:lang w:val="en-GB"/>
        </w:rPr>
        <w:t>It should be noted that we have only one year of population structure data (2017). However, g</w:t>
      </w:r>
      <w:r w:rsidR="00B46027" w:rsidRPr="00D50C3D">
        <w:rPr>
          <w:rFonts w:cstheme="minorHAnsi"/>
          <w:lang w:val="en-GB"/>
        </w:rPr>
        <w:t xml:space="preserve">iven that </w:t>
      </w:r>
      <w:r w:rsidR="0042367B">
        <w:rPr>
          <w:rFonts w:cstheme="minorHAnsi"/>
          <w:lang w:val="en-GB"/>
        </w:rPr>
        <w:t xml:space="preserve">we only found one </w:t>
      </w:r>
      <w:r w:rsidR="00F4545F">
        <w:rPr>
          <w:rFonts w:cstheme="minorHAnsi"/>
          <w:lang w:val="en-GB"/>
        </w:rPr>
        <w:t xml:space="preserve">distinct </w:t>
      </w:r>
      <w:r w:rsidR="00F35592">
        <w:rPr>
          <w:rFonts w:cstheme="minorHAnsi"/>
          <w:lang w:val="en-GB"/>
        </w:rPr>
        <w:t>mismatch between prediction and observation, we are confident to use the model</w:t>
      </w:r>
      <w:r w:rsidR="00FE6315" w:rsidRPr="00D50C3D">
        <w:rPr>
          <w:rFonts w:cstheme="minorHAnsi"/>
          <w:lang w:val="en-GB"/>
        </w:rPr>
        <w:t>.</w:t>
      </w:r>
    </w:p>
    <w:p w14:paraId="1E1A4B5B" w14:textId="77777777" w:rsidR="00BA7CF0" w:rsidRDefault="00BA7CF0" w:rsidP="00084EDF">
      <w:pPr>
        <w:pStyle w:val="NoSpacing"/>
        <w:spacing w:line="480" w:lineRule="auto"/>
        <w:rPr>
          <w:rFonts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</w:tblGrid>
      <w:tr w:rsidR="00162FBF" w14:paraId="3067EC48" w14:textId="77777777" w:rsidTr="005F4B07">
        <w:tc>
          <w:tcPr>
            <w:tcW w:w="4077" w:type="dxa"/>
            <w:gridSpan w:val="4"/>
            <w:tcBorders>
              <w:bottom w:val="double" w:sz="4" w:space="0" w:color="auto"/>
            </w:tcBorders>
          </w:tcPr>
          <w:p w14:paraId="4A1C07E6" w14:textId="28683CDD" w:rsidR="00162FBF" w:rsidRDefault="00162FBF" w:rsidP="00781667">
            <w:pPr>
              <w:spacing w:line="480" w:lineRule="auto"/>
              <w:rPr>
                <w:lang w:val="en-GB"/>
              </w:rPr>
            </w:pPr>
            <w:r w:rsidRPr="00255AD9">
              <w:rPr>
                <w:b/>
                <w:caps/>
                <w:lang w:val="en-GB"/>
              </w:rPr>
              <w:lastRenderedPageBreak/>
              <w:t xml:space="preserve">Table </w:t>
            </w:r>
            <w:r w:rsidR="00781667">
              <w:rPr>
                <w:b/>
                <w:caps/>
                <w:lang w:val="en-GB"/>
              </w:rPr>
              <w:t>S1</w:t>
            </w:r>
            <w:r w:rsidRPr="00D44AC0">
              <w:rPr>
                <w:lang w:val="en-GB"/>
              </w:rPr>
              <w:t xml:space="preserve">. </w:t>
            </w:r>
            <w:r>
              <w:rPr>
                <w:lang w:val="en-GB"/>
              </w:rPr>
              <w:t xml:space="preserve">Average body length (mm), standard deviation (SD) and total number (n) of juveniles and adults measured </w:t>
            </w:r>
            <w:r w:rsidR="004836E5">
              <w:rPr>
                <w:lang w:val="en-GB"/>
              </w:rPr>
              <w:t>on field-collected individuals in</w:t>
            </w:r>
            <w:r>
              <w:rPr>
                <w:lang w:val="en-GB"/>
              </w:rPr>
              <w:t xml:space="preserve"> 2015, 2016, and 2017.</w:t>
            </w:r>
          </w:p>
        </w:tc>
      </w:tr>
      <w:tr w:rsidR="00162FBF" w14:paraId="59B292AC" w14:textId="77777777" w:rsidTr="005F4B07"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</w:tcPr>
          <w:p w14:paraId="1DE044F3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3FC1D9FF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0AD4DC90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231E3A62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2017</w:t>
            </w:r>
          </w:p>
        </w:tc>
      </w:tr>
      <w:tr w:rsidR="00162FBF" w14:paraId="67F3A063" w14:textId="77777777" w:rsidTr="005F4B07">
        <w:tc>
          <w:tcPr>
            <w:tcW w:w="4077" w:type="dxa"/>
            <w:gridSpan w:val="4"/>
            <w:tcBorders>
              <w:top w:val="single" w:sz="4" w:space="0" w:color="auto"/>
            </w:tcBorders>
          </w:tcPr>
          <w:p w14:paraId="32B1BEDB" w14:textId="77777777" w:rsidR="00162FBF" w:rsidRDefault="00162FBF" w:rsidP="005F4B07">
            <w:pPr>
              <w:spacing w:line="480" w:lineRule="auto"/>
              <w:jc w:val="center"/>
              <w:rPr>
                <w:lang w:val="en-GB"/>
              </w:rPr>
            </w:pPr>
            <w:r w:rsidRPr="005E307E">
              <w:rPr>
                <w:i/>
                <w:lang w:val="en-GB"/>
              </w:rPr>
              <w:t>Juveniles</w:t>
            </w:r>
          </w:p>
        </w:tc>
      </w:tr>
      <w:tr w:rsidR="00162FBF" w14:paraId="56E7A48B" w14:textId="77777777" w:rsidTr="005F4B07">
        <w:tc>
          <w:tcPr>
            <w:tcW w:w="1101" w:type="dxa"/>
          </w:tcPr>
          <w:p w14:paraId="085CE516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Average</w:t>
            </w:r>
          </w:p>
        </w:tc>
        <w:tc>
          <w:tcPr>
            <w:tcW w:w="992" w:type="dxa"/>
          </w:tcPr>
          <w:p w14:paraId="6ECD3EC7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5.26</w:t>
            </w:r>
          </w:p>
        </w:tc>
        <w:tc>
          <w:tcPr>
            <w:tcW w:w="992" w:type="dxa"/>
          </w:tcPr>
          <w:p w14:paraId="52EE4490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5.19</w:t>
            </w:r>
          </w:p>
        </w:tc>
        <w:tc>
          <w:tcPr>
            <w:tcW w:w="992" w:type="dxa"/>
          </w:tcPr>
          <w:p w14:paraId="19C93449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5.07</w:t>
            </w:r>
          </w:p>
        </w:tc>
      </w:tr>
      <w:tr w:rsidR="00162FBF" w14:paraId="4817B36F" w14:textId="77777777" w:rsidTr="005F4B07">
        <w:tc>
          <w:tcPr>
            <w:tcW w:w="1101" w:type="dxa"/>
          </w:tcPr>
          <w:p w14:paraId="0FA0420A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SD</w:t>
            </w:r>
          </w:p>
        </w:tc>
        <w:tc>
          <w:tcPr>
            <w:tcW w:w="992" w:type="dxa"/>
          </w:tcPr>
          <w:p w14:paraId="12122F6F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1.43</w:t>
            </w:r>
          </w:p>
        </w:tc>
        <w:tc>
          <w:tcPr>
            <w:tcW w:w="992" w:type="dxa"/>
          </w:tcPr>
          <w:p w14:paraId="5EB278D5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1.08</w:t>
            </w:r>
          </w:p>
        </w:tc>
        <w:tc>
          <w:tcPr>
            <w:tcW w:w="992" w:type="dxa"/>
          </w:tcPr>
          <w:p w14:paraId="7FD27677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1.14</w:t>
            </w:r>
          </w:p>
        </w:tc>
      </w:tr>
      <w:tr w:rsidR="00162FBF" w14:paraId="2E284E02" w14:textId="77777777" w:rsidTr="005F4B07">
        <w:tc>
          <w:tcPr>
            <w:tcW w:w="1101" w:type="dxa"/>
          </w:tcPr>
          <w:p w14:paraId="504B7B12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992" w:type="dxa"/>
          </w:tcPr>
          <w:p w14:paraId="7ABD41E5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305</w:t>
            </w:r>
          </w:p>
        </w:tc>
        <w:tc>
          <w:tcPr>
            <w:tcW w:w="992" w:type="dxa"/>
          </w:tcPr>
          <w:p w14:paraId="4995DEA9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259</w:t>
            </w:r>
          </w:p>
        </w:tc>
        <w:tc>
          <w:tcPr>
            <w:tcW w:w="992" w:type="dxa"/>
          </w:tcPr>
          <w:p w14:paraId="158BC599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734</w:t>
            </w:r>
          </w:p>
        </w:tc>
      </w:tr>
      <w:tr w:rsidR="00162FBF" w14:paraId="112236DF" w14:textId="77777777" w:rsidTr="005F4B07">
        <w:tc>
          <w:tcPr>
            <w:tcW w:w="4077" w:type="dxa"/>
            <w:gridSpan w:val="4"/>
          </w:tcPr>
          <w:p w14:paraId="5B456AE2" w14:textId="77777777" w:rsidR="00162FBF" w:rsidRDefault="00162FBF" w:rsidP="005F4B07">
            <w:pPr>
              <w:spacing w:line="480" w:lineRule="auto"/>
              <w:jc w:val="center"/>
              <w:rPr>
                <w:lang w:val="en-GB"/>
              </w:rPr>
            </w:pPr>
            <w:r w:rsidRPr="005E307E">
              <w:rPr>
                <w:i/>
                <w:lang w:val="en-GB"/>
              </w:rPr>
              <w:t>Adults</w:t>
            </w:r>
          </w:p>
        </w:tc>
      </w:tr>
      <w:tr w:rsidR="00162FBF" w14:paraId="5705DDF4" w14:textId="77777777" w:rsidTr="005F4B07">
        <w:tc>
          <w:tcPr>
            <w:tcW w:w="1101" w:type="dxa"/>
          </w:tcPr>
          <w:p w14:paraId="689FC986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Average</w:t>
            </w:r>
          </w:p>
        </w:tc>
        <w:tc>
          <w:tcPr>
            <w:tcW w:w="992" w:type="dxa"/>
          </w:tcPr>
          <w:p w14:paraId="55030294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10.44</w:t>
            </w:r>
          </w:p>
        </w:tc>
        <w:tc>
          <w:tcPr>
            <w:tcW w:w="992" w:type="dxa"/>
          </w:tcPr>
          <w:p w14:paraId="6F86CCFE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10.32</w:t>
            </w:r>
          </w:p>
        </w:tc>
        <w:tc>
          <w:tcPr>
            <w:tcW w:w="992" w:type="dxa"/>
          </w:tcPr>
          <w:p w14:paraId="21731553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9.68</w:t>
            </w:r>
          </w:p>
        </w:tc>
      </w:tr>
      <w:tr w:rsidR="00162FBF" w14:paraId="478B906F" w14:textId="77777777" w:rsidTr="005F4B07">
        <w:tc>
          <w:tcPr>
            <w:tcW w:w="1101" w:type="dxa"/>
          </w:tcPr>
          <w:p w14:paraId="1720BA73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SD</w:t>
            </w:r>
          </w:p>
        </w:tc>
        <w:tc>
          <w:tcPr>
            <w:tcW w:w="992" w:type="dxa"/>
          </w:tcPr>
          <w:p w14:paraId="5D9D9B54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1.41</w:t>
            </w:r>
          </w:p>
        </w:tc>
        <w:tc>
          <w:tcPr>
            <w:tcW w:w="992" w:type="dxa"/>
          </w:tcPr>
          <w:p w14:paraId="025CBF49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1.70</w:t>
            </w:r>
          </w:p>
        </w:tc>
        <w:tc>
          <w:tcPr>
            <w:tcW w:w="992" w:type="dxa"/>
          </w:tcPr>
          <w:p w14:paraId="3B22F7DC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1.74</w:t>
            </w:r>
          </w:p>
        </w:tc>
      </w:tr>
      <w:tr w:rsidR="00162FBF" w14:paraId="12EB8E3B" w14:textId="77777777" w:rsidTr="005F4B07">
        <w:tc>
          <w:tcPr>
            <w:tcW w:w="1101" w:type="dxa"/>
            <w:tcBorders>
              <w:bottom w:val="single" w:sz="4" w:space="0" w:color="auto"/>
            </w:tcBorders>
          </w:tcPr>
          <w:p w14:paraId="5030D72D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BBC5EA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548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A4A9C7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1241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12163B" w14:textId="77777777" w:rsidR="00162FBF" w:rsidRDefault="00162FBF" w:rsidP="005F4B07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1267</w:t>
            </w:r>
          </w:p>
        </w:tc>
      </w:tr>
    </w:tbl>
    <w:p w14:paraId="4A383EBF" w14:textId="6439F1E0" w:rsidR="004E17FF" w:rsidRDefault="004E17FF" w:rsidP="006C5F4A">
      <w:pPr>
        <w:pStyle w:val="NoSpacing"/>
        <w:spacing w:line="480" w:lineRule="auto"/>
        <w:rPr>
          <w:lang w:val="en-GB"/>
        </w:rPr>
      </w:pPr>
      <w:r>
        <w:rPr>
          <w:lang w:val="en-GB"/>
        </w:rPr>
        <w:br w:type="page"/>
      </w:r>
    </w:p>
    <w:p w14:paraId="2D8A9742" w14:textId="77777777" w:rsidR="004C7C81" w:rsidRDefault="004C7C81" w:rsidP="004E17FF">
      <w:pPr>
        <w:pStyle w:val="NoSpacing"/>
        <w:spacing w:line="480" w:lineRule="auto"/>
        <w:ind w:firstLine="720"/>
        <w:rPr>
          <w:smallCaps/>
          <w:lang w:val="en-GB"/>
        </w:rPr>
      </w:pPr>
    </w:p>
    <w:p w14:paraId="48EF5416" w14:textId="77777777" w:rsidR="00781667" w:rsidRDefault="00781667" w:rsidP="004B5FB5">
      <w:pPr>
        <w:pStyle w:val="NoSpacing"/>
        <w:spacing w:line="480" w:lineRule="auto"/>
        <w:rPr>
          <w:b/>
          <w:caps/>
          <w:lang w:val="en-GB"/>
        </w:rPr>
      </w:pPr>
      <w:r>
        <w:rPr>
          <w:b/>
          <w:noProof/>
        </w:rPr>
        <w:drawing>
          <wp:inline distT="0" distB="0" distL="0" distR="0" wp14:anchorId="6E59E82F" wp14:editId="0A2D54EE">
            <wp:extent cx="4114800" cy="515721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 model performa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15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8DE">
        <w:rPr>
          <w:b/>
          <w:caps/>
          <w:lang w:val="en-GB"/>
        </w:rPr>
        <w:t xml:space="preserve"> </w:t>
      </w:r>
    </w:p>
    <w:p w14:paraId="223F9F6C" w14:textId="2B3F683C" w:rsidR="007A6B19" w:rsidRDefault="004E17FF" w:rsidP="00781667">
      <w:pPr>
        <w:pStyle w:val="NoSpacing"/>
        <w:spacing w:line="480" w:lineRule="auto"/>
        <w:rPr>
          <w:lang w:val="en-GB"/>
        </w:rPr>
      </w:pPr>
      <w:r w:rsidRPr="00ED48DE">
        <w:rPr>
          <w:b/>
          <w:caps/>
          <w:lang w:val="en-GB"/>
        </w:rPr>
        <w:t>Fig</w:t>
      </w:r>
      <w:r w:rsidR="00ED48DE">
        <w:rPr>
          <w:b/>
          <w:caps/>
          <w:lang w:val="en-GB"/>
        </w:rPr>
        <w:t>ure</w:t>
      </w:r>
      <w:r w:rsidRPr="00ED48DE">
        <w:rPr>
          <w:b/>
          <w:caps/>
          <w:lang w:val="en-GB"/>
        </w:rPr>
        <w:t xml:space="preserve"> </w:t>
      </w:r>
      <w:r w:rsidR="00781667">
        <w:rPr>
          <w:b/>
          <w:caps/>
          <w:lang w:val="en-GB"/>
        </w:rPr>
        <w:t>S1</w:t>
      </w:r>
      <w:r w:rsidRPr="00ED48DE">
        <w:rPr>
          <w:b/>
          <w:caps/>
          <w:lang w:val="en-GB"/>
        </w:rPr>
        <w:t>.</w:t>
      </w:r>
      <w:r w:rsidRPr="00EC1CDE">
        <w:rPr>
          <w:lang w:val="en-GB"/>
        </w:rPr>
        <w:t xml:space="preserve"> Model performance.</w:t>
      </w:r>
      <w:r w:rsidRPr="00D44AC0">
        <w:rPr>
          <w:b/>
          <w:lang w:val="en-GB"/>
        </w:rPr>
        <w:t xml:space="preserve"> </w:t>
      </w:r>
      <w:r>
        <w:rPr>
          <w:lang w:val="en-GB"/>
        </w:rPr>
        <w:t>R</w:t>
      </w:r>
      <w:r w:rsidRPr="00D44AC0">
        <w:rPr>
          <w:lang w:val="en-GB"/>
        </w:rPr>
        <w:t xml:space="preserve">elationship between expected feeding level </w:t>
      </w:r>
      <w:r w:rsidRPr="00D44AC0">
        <w:rPr>
          <w:i/>
          <w:lang w:val="en-GB"/>
        </w:rPr>
        <w:t>E</w:t>
      </w:r>
      <w:r w:rsidRPr="00D44AC0">
        <w:rPr>
          <w:lang w:val="en-GB"/>
        </w:rPr>
        <w:t>(</w:t>
      </w:r>
      <w:r w:rsidRPr="00D44AC0">
        <w:rPr>
          <w:i/>
          <w:lang w:val="en-GB"/>
        </w:rPr>
        <w:t>Y</w:t>
      </w:r>
      <w:r w:rsidRPr="00D44AC0">
        <w:rPr>
          <w:lang w:val="en-GB"/>
        </w:rPr>
        <w:t>) and (</w:t>
      </w:r>
      <w:r w:rsidRPr="00D44AC0">
        <w:rPr>
          <w:b/>
          <w:lang w:val="en-GB"/>
        </w:rPr>
        <w:t>A</w:t>
      </w:r>
      <w:r w:rsidRPr="00D44AC0">
        <w:rPr>
          <w:lang w:val="en-GB"/>
        </w:rPr>
        <w:t xml:space="preserve">) population growth rate </w:t>
      </w:r>
      <w:r w:rsidRPr="00D44AC0">
        <w:rPr>
          <w:rFonts w:ascii="Symbol" w:hAnsi="Symbol"/>
          <w:lang w:val="en-GB"/>
        </w:rPr>
        <w:t></w:t>
      </w:r>
      <w:r w:rsidRPr="00D44AC0">
        <w:rPr>
          <w:lang w:val="en-GB"/>
        </w:rPr>
        <w:t>, (</w:t>
      </w:r>
      <w:r w:rsidRPr="00D44AC0">
        <w:rPr>
          <w:b/>
          <w:lang w:val="en-GB"/>
        </w:rPr>
        <w:t>B</w:t>
      </w:r>
      <w:r w:rsidRPr="00D44AC0">
        <w:rPr>
          <w:lang w:val="en-GB"/>
        </w:rPr>
        <w:t xml:space="preserve">) mean lifetime reproductive success </w:t>
      </w:r>
      <w:r w:rsidRPr="00D44AC0">
        <w:rPr>
          <w:i/>
          <w:lang w:val="en-GB"/>
        </w:rPr>
        <w:t>R</w:t>
      </w:r>
      <w:r w:rsidRPr="00D44AC0">
        <w:rPr>
          <w:i/>
          <w:vertAlign w:val="subscript"/>
          <w:lang w:val="en-GB"/>
        </w:rPr>
        <w:t>0</w:t>
      </w:r>
      <w:r w:rsidRPr="00D44AC0">
        <w:rPr>
          <w:lang w:val="en-GB"/>
        </w:rPr>
        <w:t>, (</w:t>
      </w:r>
      <w:r w:rsidRPr="00D44AC0">
        <w:rPr>
          <w:b/>
          <w:lang w:val="en-GB"/>
        </w:rPr>
        <w:t>C</w:t>
      </w:r>
      <w:r w:rsidRPr="00D44AC0">
        <w:rPr>
          <w:lang w:val="en-GB"/>
        </w:rPr>
        <w:t xml:space="preserve">) generation time </w:t>
      </w:r>
      <w:r w:rsidRPr="00D44AC0">
        <w:rPr>
          <w:i/>
          <w:lang w:val="en-GB"/>
        </w:rPr>
        <w:t>T</w:t>
      </w:r>
      <w:r w:rsidRPr="00D44AC0">
        <w:rPr>
          <w:lang w:val="en-GB"/>
        </w:rPr>
        <w:t xml:space="preserve"> (solid line) and cohort generation time </w:t>
      </w:r>
      <w:r w:rsidRPr="00D44AC0">
        <w:rPr>
          <w:i/>
          <w:lang w:val="en-GB"/>
        </w:rPr>
        <w:t>T</w:t>
      </w:r>
      <w:r w:rsidRPr="00D44AC0">
        <w:rPr>
          <w:i/>
          <w:vertAlign w:val="subscript"/>
          <w:lang w:val="en-GB"/>
        </w:rPr>
        <w:t>c</w:t>
      </w:r>
      <w:r w:rsidRPr="00D44AC0">
        <w:rPr>
          <w:lang w:val="en-GB"/>
        </w:rPr>
        <w:t xml:space="preserve"> (dashed line), </w:t>
      </w:r>
      <w:r>
        <w:rPr>
          <w:lang w:val="en-GB"/>
        </w:rPr>
        <w:t xml:space="preserve">and </w:t>
      </w:r>
      <w:r w:rsidRPr="00D44AC0">
        <w:rPr>
          <w:lang w:val="en-GB"/>
        </w:rPr>
        <w:t>(</w:t>
      </w:r>
      <w:r w:rsidRPr="00D44AC0">
        <w:rPr>
          <w:b/>
          <w:lang w:val="en-GB"/>
        </w:rPr>
        <w:t>D</w:t>
      </w:r>
      <w:r w:rsidRPr="00D44AC0">
        <w:rPr>
          <w:lang w:val="en-GB"/>
        </w:rPr>
        <w:t>) predicted (black lines) and observed (grey lines) mean body length of juveniles (solid lines) and adults (dashed lines)</w:t>
      </w:r>
      <w:r>
        <w:rPr>
          <w:lang w:val="en-GB"/>
        </w:rPr>
        <w:t>. Shown in (</w:t>
      </w:r>
      <w:r w:rsidRPr="00A1204A">
        <w:rPr>
          <w:b/>
          <w:lang w:val="en-GB"/>
        </w:rPr>
        <w:t>E</w:t>
      </w:r>
      <w:r>
        <w:rPr>
          <w:lang w:val="en-GB"/>
        </w:rPr>
        <w:t>) are observed (bars) and predicted (line) population growth rates (month</w:t>
      </w:r>
      <w:r>
        <w:rPr>
          <w:vertAlign w:val="superscript"/>
          <w:lang w:val="en-GB"/>
        </w:rPr>
        <w:t>-1</w:t>
      </w:r>
      <w:r>
        <w:rPr>
          <w:lang w:val="en-GB"/>
        </w:rPr>
        <w:t xml:space="preserve">) </w:t>
      </w:r>
      <w:r w:rsidRPr="00D44AC0">
        <w:rPr>
          <w:lang w:val="en-GB"/>
        </w:rPr>
        <w:t xml:space="preserve">. </w:t>
      </w:r>
      <w:r>
        <w:rPr>
          <w:lang w:val="en-GB"/>
        </w:rPr>
        <w:t>The g</w:t>
      </w:r>
      <w:r w:rsidRPr="00D44AC0">
        <w:rPr>
          <w:lang w:val="en-GB"/>
        </w:rPr>
        <w:t xml:space="preserve">rey </w:t>
      </w:r>
      <w:r>
        <w:rPr>
          <w:lang w:val="en-GB"/>
        </w:rPr>
        <w:t>horizontal line</w:t>
      </w:r>
      <w:r w:rsidRPr="00D44AC0">
        <w:rPr>
          <w:lang w:val="en-GB"/>
        </w:rPr>
        <w:t xml:space="preserve"> in </w:t>
      </w:r>
      <w:r>
        <w:rPr>
          <w:lang w:val="en-GB"/>
        </w:rPr>
        <w:t>panel</w:t>
      </w:r>
      <w:r w:rsidRPr="00D44AC0">
        <w:rPr>
          <w:lang w:val="en-GB"/>
        </w:rPr>
        <w:t xml:space="preserve"> (C) </w:t>
      </w:r>
      <w:r>
        <w:rPr>
          <w:lang w:val="en-GB"/>
        </w:rPr>
        <w:t xml:space="preserve">is the estimated </w:t>
      </w:r>
      <w:r w:rsidRPr="00D44AC0">
        <w:rPr>
          <w:i/>
          <w:lang w:val="en-GB"/>
        </w:rPr>
        <w:t>T</w:t>
      </w:r>
      <w:r w:rsidRPr="00D44AC0">
        <w:rPr>
          <w:i/>
          <w:vertAlign w:val="subscript"/>
          <w:lang w:val="en-GB"/>
        </w:rPr>
        <w:t>c</w:t>
      </w:r>
      <w:r w:rsidRPr="00D44AC0">
        <w:rPr>
          <w:lang w:val="en-GB"/>
        </w:rPr>
        <w:t xml:space="preserve"> =</w:t>
      </w:r>
      <w:r>
        <w:rPr>
          <w:lang w:val="en-GB"/>
        </w:rPr>
        <w:t xml:space="preserve"> </w:t>
      </w:r>
      <w:r w:rsidRPr="00D44AC0">
        <w:rPr>
          <w:lang w:val="en-GB"/>
        </w:rPr>
        <w:t xml:space="preserve">8.5 months (see text). Grey shaded areas in (D) denote </w:t>
      </w:r>
      <w:r>
        <w:rPr>
          <w:lang w:val="en-GB"/>
        </w:rPr>
        <w:t>a</w:t>
      </w:r>
      <w:r w:rsidRPr="00D44AC0">
        <w:rPr>
          <w:lang w:val="en-GB"/>
        </w:rPr>
        <w:t xml:space="preserve"> 1 standard deviation (SD) band around the observed</w:t>
      </w:r>
      <w:r>
        <w:rPr>
          <w:lang w:val="en-GB"/>
        </w:rPr>
        <w:t xml:space="preserve"> 2017</w:t>
      </w:r>
      <w:r w:rsidRPr="00D44AC0">
        <w:rPr>
          <w:lang w:val="en-GB"/>
        </w:rPr>
        <w:t xml:space="preserve"> mean body length of juveniles (bottom area: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L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juvenil</m:t>
            </m:r>
            <m:r>
              <w:rPr>
                <w:rFonts w:ascii="Cambria Math" w:hAnsi="Cambria Math"/>
                <w:lang w:val="en-GB"/>
              </w:rPr>
              <m:t>es</m:t>
            </m:r>
          </m:sub>
        </m:sSub>
      </m:oMath>
      <w:r w:rsidRPr="00D44AC0">
        <w:rPr>
          <w:rFonts w:eastAsiaTheme="minorEastAsia"/>
          <w:lang w:val="en-GB"/>
        </w:rPr>
        <w:t xml:space="preserve"> = 5.07 mm ± 1.14 SD</w:t>
      </w:r>
      <w:r w:rsidRPr="00D44AC0">
        <w:rPr>
          <w:lang w:val="en-GB"/>
        </w:rPr>
        <w:t xml:space="preserve">) and adults (top area: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L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adults</m:t>
            </m:r>
          </m:sub>
        </m:sSub>
      </m:oMath>
      <w:r w:rsidRPr="00D44AC0">
        <w:rPr>
          <w:rFonts w:eastAsiaTheme="minorEastAsia"/>
          <w:lang w:val="en-GB"/>
        </w:rPr>
        <w:t xml:space="preserve"> = 9.68 mm ± 1.74 SD</w:t>
      </w:r>
      <w:r w:rsidRPr="00D44AC0">
        <w:rPr>
          <w:lang w:val="en-GB"/>
        </w:rPr>
        <w:t xml:space="preserve">). See </w:t>
      </w:r>
      <w:r w:rsidRPr="00EC1CDE">
        <w:rPr>
          <w:lang w:val="en-GB"/>
        </w:rPr>
        <w:t>Table 1</w:t>
      </w:r>
      <w:r w:rsidRPr="00D44AC0">
        <w:rPr>
          <w:lang w:val="en-GB"/>
        </w:rPr>
        <w:t xml:space="preserve"> </w:t>
      </w:r>
      <w:r w:rsidR="00964D73">
        <w:rPr>
          <w:lang w:val="en-GB"/>
        </w:rPr>
        <w:t>in the main</w:t>
      </w:r>
      <w:r w:rsidRPr="00D44AC0">
        <w:rPr>
          <w:lang w:val="en-GB"/>
        </w:rPr>
        <w:t xml:space="preserve"> text for parameter values.</w:t>
      </w:r>
    </w:p>
    <w:sectPr w:rsidR="007A6B19" w:rsidSect="00904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2AB3E" w14:textId="77777777" w:rsidR="00440EA4" w:rsidRDefault="00440EA4" w:rsidP="0051171D">
      <w:pPr>
        <w:spacing w:after="0" w:line="240" w:lineRule="auto"/>
      </w:pPr>
      <w:r>
        <w:separator/>
      </w:r>
    </w:p>
  </w:endnote>
  <w:endnote w:type="continuationSeparator" w:id="0">
    <w:p w14:paraId="5AF23CD6" w14:textId="77777777" w:rsidR="00440EA4" w:rsidRDefault="00440EA4" w:rsidP="0051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34A55" w14:textId="77777777" w:rsidR="00112872" w:rsidRDefault="00112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875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EA11D" w14:textId="1D128CA4" w:rsidR="00112872" w:rsidRDefault="00112872" w:rsidP="00282F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9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8854B" w14:textId="77777777" w:rsidR="00112872" w:rsidRDefault="00112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FE10B" w14:textId="77777777" w:rsidR="00440EA4" w:rsidRDefault="00440EA4" w:rsidP="0051171D">
      <w:pPr>
        <w:spacing w:after="0" w:line="240" w:lineRule="auto"/>
      </w:pPr>
      <w:r>
        <w:separator/>
      </w:r>
    </w:p>
  </w:footnote>
  <w:footnote w:type="continuationSeparator" w:id="0">
    <w:p w14:paraId="52D366EF" w14:textId="77777777" w:rsidR="00440EA4" w:rsidRDefault="00440EA4" w:rsidP="0051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B83CE" w14:textId="77777777" w:rsidR="00112872" w:rsidRDefault="00112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577CA" w14:textId="77777777" w:rsidR="00112872" w:rsidRDefault="001128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8C68D" w14:textId="77777777" w:rsidR="00112872" w:rsidRDefault="00112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3FE9"/>
    <w:multiLevelType w:val="hybridMultilevel"/>
    <w:tmpl w:val="2E0CD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6B0BF2"/>
    <w:multiLevelType w:val="hybridMultilevel"/>
    <w:tmpl w:val="EC480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654508"/>
    <w:multiLevelType w:val="hybridMultilevel"/>
    <w:tmpl w:val="0AEAF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g">
    <w15:presenceInfo w15:providerId="None" w15:userId="Be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89"/>
    <w:rsid w:val="00005C7B"/>
    <w:rsid w:val="000063B6"/>
    <w:rsid w:val="00007FBD"/>
    <w:rsid w:val="000104FD"/>
    <w:rsid w:val="00011426"/>
    <w:rsid w:val="00011D4C"/>
    <w:rsid w:val="0001712B"/>
    <w:rsid w:val="00020F04"/>
    <w:rsid w:val="00022F05"/>
    <w:rsid w:val="00023264"/>
    <w:rsid w:val="00024962"/>
    <w:rsid w:val="00025641"/>
    <w:rsid w:val="0003487E"/>
    <w:rsid w:val="00034A81"/>
    <w:rsid w:val="00034C45"/>
    <w:rsid w:val="00036E0A"/>
    <w:rsid w:val="0003727B"/>
    <w:rsid w:val="0003796D"/>
    <w:rsid w:val="00040A95"/>
    <w:rsid w:val="000410CC"/>
    <w:rsid w:val="000531A3"/>
    <w:rsid w:val="000540E1"/>
    <w:rsid w:val="00055FC6"/>
    <w:rsid w:val="00062200"/>
    <w:rsid w:val="000657E5"/>
    <w:rsid w:val="000819F0"/>
    <w:rsid w:val="00082922"/>
    <w:rsid w:val="0008438F"/>
    <w:rsid w:val="00084EDF"/>
    <w:rsid w:val="0008686E"/>
    <w:rsid w:val="00087002"/>
    <w:rsid w:val="000877DB"/>
    <w:rsid w:val="000878D8"/>
    <w:rsid w:val="000A26DE"/>
    <w:rsid w:val="000A3557"/>
    <w:rsid w:val="000A36B9"/>
    <w:rsid w:val="000A777D"/>
    <w:rsid w:val="000B1CC6"/>
    <w:rsid w:val="000B3C95"/>
    <w:rsid w:val="000B6E9E"/>
    <w:rsid w:val="000C42C5"/>
    <w:rsid w:val="000C5138"/>
    <w:rsid w:val="000C7874"/>
    <w:rsid w:val="000D1847"/>
    <w:rsid w:val="000D3574"/>
    <w:rsid w:val="000E217B"/>
    <w:rsid w:val="000E2501"/>
    <w:rsid w:val="000F3A37"/>
    <w:rsid w:val="000F543C"/>
    <w:rsid w:val="000F64F0"/>
    <w:rsid w:val="000F686F"/>
    <w:rsid w:val="000F6D19"/>
    <w:rsid w:val="00100475"/>
    <w:rsid w:val="0010142B"/>
    <w:rsid w:val="00106080"/>
    <w:rsid w:val="00107805"/>
    <w:rsid w:val="00112872"/>
    <w:rsid w:val="00115195"/>
    <w:rsid w:val="0011727A"/>
    <w:rsid w:val="0012016F"/>
    <w:rsid w:val="001223B7"/>
    <w:rsid w:val="001240F8"/>
    <w:rsid w:val="0013262B"/>
    <w:rsid w:val="001331FC"/>
    <w:rsid w:val="00133ED7"/>
    <w:rsid w:val="00134346"/>
    <w:rsid w:val="00137739"/>
    <w:rsid w:val="0014367D"/>
    <w:rsid w:val="0014385D"/>
    <w:rsid w:val="00143A11"/>
    <w:rsid w:val="00144C0E"/>
    <w:rsid w:val="00145A82"/>
    <w:rsid w:val="00146972"/>
    <w:rsid w:val="00147DB7"/>
    <w:rsid w:val="001501D1"/>
    <w:rsid w:val="00150C58"/>
    <w:rsid w:val="00156C31"/>
    <w:rsid w:val="00162FBF"/>
    <w:rsid w:val="00163F5A"/>
    <w:rsid w:val="00170497"/>
    <w:rsid w:val="00172683"/>
    <w:rsid w:val="00173612"/>
    <w:rsid w:val="0017635D"/>
    <w:rsid w:val="001806ED"/>
    <w:rsid w:val="00183332"/>
    <w:rsid w:val="00183648"/>
    <w:rsid w:val="001838BD"/>
    <w:rsid w:val="00186952"/>
    <w:rsid w:val="00193014"/>
    <w:rsid w:val="00193BA5"/>
    <w:rsid w:val="001946E7"/>
    <w:rsid w:val="001A7700"/>
    <w:rsid w:val="001B00B9"/>
    <w:rsid w:val="001B28E8"/>
    <w:rsid w:val="001B3009"/>
    <w:rsid w:val="001B39DE"/>
    <w:rsid w:val="001B4A96"/>
    <w:rsid w:val="001B649C"/>
    <w:rsid w:val="001C10B4"/>
    <w:rsid w:val="001C3AC2"/>
    <w:rsid w:val="001C5F20"/>
    <w:rsid w:val="001C6579"/>
    <w:rsid w:val="001D54B1"/>
    <w:rsid w:val="001D58B8"/>
    <w:rsid w:val="001D60B0"/>
    <w:rsid w:val="001D6ED3"/>
    <w:rsid w:val="001E112D"/>
    <w:rsid w:val="001E2063"/>
    <w:rsid w:val="001E544E"/>
    <w:rsid w:val="001E6AA4"/>
    <w:rsid w:val="001F0974"/>
    <w:rsid w:val="001F4327"/>
    <w:rsid w:val="001F78B1"/>
    <w:rsid w:val="00204007"/>
    <w:rsid w:val="002044C1"/>
    <w:rsid w:val="00204573"/>
    <w:rsid w:val="002113A3"/>
    <w:rsid w:val="00211E1C"/>
    <w:rsid w:val="00212486"/>
    <w:rsid w:val="00212B51"/>
    <w:rsid w:val="00212F84"/>
    <w:rsid w:val="00214163"/>
    <w:rsid w:val="002209D8"/>
    <w:rsid w:val="00220EC3"/>
    <w:rsid w:val="00222B0E"/>
    <w:rsid w:val="002278D4"/>
    <w:rsid w:val="00227E2B"/>
    <w:rsid w:val="002348FC"/>
    <w:rsid w:val="00235392"/>
    <w:rsid w:val="002366FA"/>
    <w:rsid w:val="0024007F"/>
    <w:rsid w:val="00241D16"/>
    <w:rsid w:val="002442D1"/>
    <w:rsid w:val="00245D4F"/>
    <w:rsid w:val="00247200"/>
    <w:rsid w:val="0025071B"/>
    <w:rsid w:val="0025190C"/>
    <w:rsid w:val="0025352F"/>
    <w:rsid w:val="00254106"/>
    <w:rsid w:val="00255AD9"/>
    <w:rsid w:val="00256901"/>
    <w:rsid w:val="00260393"/>
    <w:rsid w:val="00261CAC"/>
    <w:rsid w:val="00262BBD"/>
    <w:rsid w:val="00264483"/>
    <w:rsid w:val="00271AA6"/>
    <w:rsid w:val="00271DC6"/>
    <w:rsid w:val="00274AFB"/>
    <w:rsid w:val="002769E1"/>
    <w:rsid w:val="002825E7"/>
    <w:rsid w:val="00282E15"/>
    <w:rsid w:val="00282FDB"/>
    <w:rsid w:val="00284C00"/>
    <w:rsid w:val="00285FD4"/>
    <w:rsid w:val="00290D2A"/>
    <w:rsid w:val="00294F61"/>
    <w:rsid w:val="00295D63"/>
    <w:rsid w:val="002A4963"/>
    <w:rsid w:val="002A5EA5"/>
    <w:rsid w:val="002A6708"/>
    <w:rsid w:val="002B17B4"/>
    <w:rsid w:val="002B243B"/>
    <w:rsid w:val="002B48AC"/>
    <w:rsid w:val="002B4FEC"/>
    <w:rsid w:val="002B6C74"/>
    <w:rsid w:val="002C2268"/>
    <w:rsid w:val="002C484C"/>
    <w:rsid w:val="002D11C1"/>
    <w:rsid w:val="002D6244"/>
    <w:rsid w:val="002D686F"/>
    <w:rsid w:val="002E1578"/>
    <w:rsid w:val="002E316F"/>
    <w:rsid w:val="002E3C1E"/>
    <w:rsid w:val="002E61D1"/>
    <w:rsid w:val="002F02BE"/>
    <w:rsid w:val="003000A2"/>
    <w:rsid w:val="003018E2"/>
    <w:rsid w:val="00304B4D"/>
    <w:rsid w:val="00304D41"/>
    <w:rsid w:val="003068C9"/>
    <w:rsid w:val="00310FB6"/>
    <w:rsid w:val="0031153A"/>
    <w:rsid w:val="0031342E"/>
    <w:rsid w:val="003146BC"/>
    <w:rsid w:val="003153BF"/>
    <w:rsid w:val="00323CD7"/>
    <w:rsid w:val="0032429E"/>
    <w:rsid w:val="003313D2"/>
    <w:rsid w:val="00334926"/>
    <w:rsid w:val="00340817"/>
    <w:rsid w:val="003414EB"/>
    <w:rsid w:val="00342556"/>
    <w:rsid w:val="00344F65"/>
    <w:rsid w:val="003469B6"/>
    <w:rsid w:val="00352B10"/>
    <w:rsid w:val="003549DB"/>
    <w:rsid w:val="00355538"/>
    <w:rsid w:val="00357A97"/>
    <w:rsid w:val="0036088D"/>
    <w:rsid w:val="00361A0C"/>
    <w:rsid w:val="00362E1C"/>
    <w:rsid w:val="003655C0"/>
    <w:rsid w:val="00366943"/>
    <w:rsid w:val="0037221B"/>
    <w:rsid w:val="0037790B"/>
    <w:rsid w:val="0039668D"/>
    <w:rsid w:val="00396FF3"/>
    <w:rsid w:val="00397484"/>
    <w:rsid w:val="003A002C"/>
    <w:rsid w:val="003A1577"/>
    <w:rsid w:val="003A2A0E"/>
    <w:rsid w:val="003A69B3"/>
    <w:rsid w:val="003A7DC2"/>
    <w:rsid w:val="003B2110"/>
    <w:rsid w:val="003B52C8"/>
    <w:rsid w:val="003C3485"/>
    <w:rsid w:val="003C70A9"/>
    <w:rsid w:val="003D2C64"/>
    <w:rsid w:val="003E1223"/>
    <w:rsid w:val="003E16F0"/>
    <w:rsid w:val="003E190B"/>
    <w:rsid w:val="003E2E69"/>
    <w:rsid w:val="003E3137"/>
    <w:rsid w:val="003E40CD"/>
    <w:rsid w:val="003E52A3"/>
    <w:rsid w:val="003E7C6A"/>
    <w:rsid w:val="003F5827"/>
    <w:rsid w:val="003F6383"/>
    <w:rsid w:val="003F7076"/>
    <w:rsid w:val="004046A8"/>
    <w:rsid w:val="00404C49"/>
    <w:rsid w:val="004051D3"/>
    <w:rsid w:val="00405EF7"/>
    <w:rsid w:val="00410B2F"/>
    <w:rsid w:val="00411087"/>
    <w:rsid w:val="004119FF"/>
    <w:rsid w:val="004153BE"/>
    <w:rsid w:val="00416124"/>
    <w:rsid w:val="004213C1"/>
    <w:rsid w:val="004216C5"/>
    <w:rsid w:val="00421843"/>
    <w:rsid w:val="00421F3D"/>
    <w:rsid w:val="0042367B"/>
    <w:rsid w:val="00424323"/>
    <w:rsid w:val="00430494"/>
    <w:rsid w:val="00433A08"/>
    <w:rsid w:val="004340D8"/>
    <w:rsid w:val="00437679"/>
    <w:rsid w:val="0044082D"/>
    <w:rsid w:val="00440CF8"/>
    <w:rsid w:val="00440EA4"/>
    <w:rsid w:val="00443C16"/>
    <w:rsid w:val="00443E99"/>
    <w:rsid w:val="00443EB0"/>
    <w:rsid w:val="0044409C"/>
    <w:rsid w:val="004446A2"/>
    <w:rsid w:val="00445655"/>
    <w:rsid w:val="00445683"/>
    <w:rsid w:val="00445F9A"/>
    <w:rsid w:val="00447EC6"/>
    <w:rsid w:val="00451795"/>
    <w:rsid w:val="00451DC9"/>
    <w:rsid w:val="00453052"/>
    <w:rsid w:val="00456FC9"/>
    <w:rsid w:val="004608C3"/>
    <w:rsid w:val="004615F7"/>
    <w:rsid w:val="004644D5"/>
    <w:rsid w:val="004671F7"/>
    <w:rsid w:val="004678F2"/>
    <w:rsid w:val="00467CF9"/>
    <w:rsid w:val="00470633"/>
    <w:rsid w:val="0048227A"/>
    <w:rsid w:val="004836E5"/>
    <w:rsid w:val="00491B28"/>
    <w:rsid w:val="0049252A"/>
    <w:rsid w:val="00492ED9"/>
    <w:rsid w:val="00493202"/>
    <w:rsid w:val="0049473C"/>
    <w:rsid w:val="00495190"/>
    <w:rsid w:val="004956D1"/>
    <w:rsid w:val="0049746E"/>
    <w:rsid w:val="00497633"/>
    <w:rsid w:val="004A16F1"/>
    <w:rsid w:val="004A2D6B"/>
    <w:rsid w:val="004A380E"/>
    <w:rsid w:val="004A3D33"/>
    <w:rsid w:val="004B0CB2"/>
    <w:rsid w:val="004B0DAC"/>
    <w:rsid w:val="004B4A9E"/>
    <w:rsid w:val="004B5FB5"/>
    <w:rsid w:val="004C39B8"/>
    <w:rsid w:val="004C7C81"/>
    <w:rsid w:val="004D10BE"/>
    <w:rsid w:val="004D2569"/>
    <w:rsid w:val="004D6BC2"/>
    <w:rsid w:val="004E17FF"/>
    <w:rsid w:val="004E38B2"/>
    <w:rsid w:val="004E39DD"/>
    <w:rsid w:val="004E4DB8"/>
    <w:rsid w:val="004E656A"/>
    <w:rsid w:val="004E6EE4"/>
    <w:rsid w:val="004F27EE"/>
    <w:rsid w:val="004F2829"/>
    <w:rsid w:val="004F2B07"/>
    <w:rsid w:val="004F49EC"/>
    <w:rsid w:val="004F6CF3"/>
    <w:rsid w:val="004F7045"/>
    <w:rsid w:val="004F7067"/>
    <w:rsid w:val="00501D83"/>
    <w:rsid w:val="00503762"/>
    <w:rsid w:val="0050440F"/>
    <w:rsid w:val="00504AB8"/>
    <w:rsid w:val="005057F6"/>
    <w:rsid w:val="005068AC"/>
    <w:rsid w:val="005075BB"/>
    <w:rsid w:val="00510BB4"/>
    <w:rsid w:val="0051171D"/>
    <w:rsid w:val="005125B3"/>
    <w:rsid w:val="005175D1"/>
    <w:rsid w:val="005235DB"/>
    <w:rsid w:val="00523A5B"/>
    <w:rsid w:val="0052422B"/>
    <w:rsid w:val="0052655B"/>
    <w:rsid w:val="0053042C"/>
    <w:rsid w:val="00531B23"/>
    <w:rsid w:val="00534DA3"/>
    <w:rsid w:val="005352F8"/>
    <w:rsid w:val="005358A4"/>
    <w:rsid w:val="00535F33"/>
    <w:rsid w:val="00540358"/>
    <w:rsid w:val="00543F02"/>
    <w:rsid w:val="00544993"/>
    <w:rsid w:val="0054738D"/>
    <w:rsid w:val="0054760C"/>
    <w:rsid w:val="00547CD9"/>
    <w:rsid w:val="0055443D"/>
    <w:rsid w:val="005600CC"/>
    <w:rsid w:val="005620CC"/>
    <w:rsid w:val="005621B6"/>
    <w:rsid w:val="00563284"/>
    <w:rsid w:val="0056438B"/>
    <w:rsid w:val="005645B1"/>
    <w:rsid w:val="00564B24"/>
    <w:rsid w:val="005738C4"/>
    <w:rsid w:val="00574CE5"/>
    <w:rsid w:val="00577389"/>
    <w:rsid w:val="00577796"/>
    <w:rsid w:val="0058532C"/>
    <w:rsid w:val="00585928"/>
    <w:rsid w:val="00591088"/>
    <w:rsid w:val="00595299"/>
    <w:rsid w:val="005A02F7"/>
    <w:rsid w:val="005A0490"/>
    <w:rsid w:val="005A1CE8"/>
    <w:rsid w:val="005A5821"/>
    <w:rsid w:val="005A5BED"/>
    <w:rsid w:val="005A5FA0"/>
    <w:rsid w:val="005A60DD"/>
    <w:rsid w:val="005B1B5C"/>
    <w:rsid w:val="005B1D07"/>
    <w:rsid w:val="005B4E48"/>
    <w:rsid w:val="005C1C44"/>
    <w:rsid w:val="005C2A9C"/>
    <w:rsid w:val="005C4E0C"/>
    <w:rsid w:val="005C51B4"/>
    <w:rsid w:val="005D01D2"/>
    <w:rsid w:val="005D078C"/>
    <w:rsid w:val="005D091B"/>
    <w:rsid w:val="005D257F"/>
    <w:rsid w:val="005D3C2B"/>
    <w:rsid w:val="005D4981"/>
    <w:rsid w:val="005D4E75"/>
    <w:rsid w:val="005D7DBB"/>
    <w:rsid w:val="005E307E"/>
    <w:rsid w:val="005E7F74"/>
    <w:rsid w:val="005F4B07"/>
    <w:rsid w:val="005F5206"/>
    <w:rsid w:val="005F655A"/>
    <w:rsid w:val="00601F70"/>
    <w:rsid w:val="00603680"/>
    <w:rsid w:val="006043E8"/>
    <w:rsid w:val="00607653"/>
    <w:rsid w:val="00607B83"/>
    <w:rsid w:val="006132A8"/>
    <w:rsid w:val="0061427B"/>
    <w:rsid w:val="0061644A"/>
    <w:rsid w:val="0062194E"/>
    <w:rsid w:val="00621D87"/>
    <w:rsid w:val="00626C79"/>
    <w:rsid w:val="00630441"/>
    <w:rsid w:val="00634382"/>
    <w:rsid w:val="00641CD9"/>
    <w:rsid w:val="00646BAB"/>
    <w:rsid w:val="00650443"/>
    <w:rsid w:val="006506D3"/>
    <w:rsid w:val="006521C2"/>
    <w:rsid w:val="00652E89"/>
    <w:rsid w:val="00656EA7"/>
    <w:rsid w:val="00663268"/>
    <w:rsid w:val="006637AF"/>
    <w:rsid w:val="00665638"/>
    <w:rsid w:val="00665B14"/>
    <w:rsid w:val="00666A1B"/>
    <w:rsid w:val="00667393"/>
    <w:rsid w:val="00667A20"/>
    <w:rsid w:val="0067153E"/>
    <w:rsid w:val="00671AA4"/>
    <w:rsid w:val="006733F4"/>
    <w:rsid w:val="00681AD7"/>
    <w:rsid w:val="00693921"/>
    <w:rsid w:val="00694482"/>
    <w:rsid w:val="006A43C4"/>
    <w:rsid w:val="006A689B"/>
    <w:rsid w:val="006A6EDB"/>
    <w:rsid w:val="006A7E7F"/>
    <w:rsid w:val="006B0C5C"/>
    <w:rsid w:val="006B3AAB"/>
    <w:rsid w:val="006C5F4A"/>
    <w:rsid w:val="006C7F1A"/>
    <w:rsid w:val="006D34D0"/>
    <w:rsid w:val="006D7020"/>
    <w:rsid w:val="006E2DE1"/>
    <w:rsid w:val="006E3C0E"/>
    <w:rsid w:val="006F13B5"/>
    <w:rsid w:val="006F141A"/>
    <w:rsid w:val="006F5311"/>
    <w:rsid w:val="006F626E"/>
    <w:rsid w:val="007013FB"/>
    <w:rsid w:val="00703608"/>
    <w:rsid w:val="007039B2"/>
    <w:rsid w:val="00704649"/>
    <w:rsid w:val="007048CE"/>
    <w:rsid w:val="00706DAF"/>
    <w:rsid w:val="00707102"/>
    <w:rsid w:val="007100B2"/>
    <w:rsid w:val="007140D5"/>
    <w:rsid w:val="00715FB2"/>
    <w:rsid w:val="00717BE6"/>
    <w:rsid w:val="007230DB"/>
    <w:rsid w:val="007233D9"/>
    <w:rsid w:val="007257C0"/>
    <w:rsid w:val="00730100"/>
    <w:rsid w:val="0073357E"/>
    <w:rsid w:val="00743C18"/>
    <w:rsid w:val="007463D0"/>
    <w:rsid w:val="00746E9E"/>
    <w:rsid w:val="00751156"/>
    <w:rsid w:val="007574DB"/>
    <w:rsid w:val="0076022B"/>
    <w:rsid w:val="00760331"/>
    <w:rsid w:val="00761B7F"/>
    <w:rsid w:val="0077077D"/>
    <w:rsid w:val="00771967"/>
    <w:rsid w:val="00771F74"/>
    <w:rsid w:val="0077390B"/>
    <w:rsid w:val="00777055"/>
    <w:rsid w:val="00781667"/>
    <w:rsid w:val="0078266E"/>
    <w:rsid w:val="007850FD"/>
    <w:rsid w:val="00787824"/>
    <w:rsid w:val="0079228B"/>
    <w:rsid w:val="00792FC1"/>
    <w:rsid w:val="007941FB"/>
    <w:rsid w:val="00794CA9"/>
    <w:rsid w:val="0079797D"/>
    <w:rsid w:val="00797C6E"/>
    <w:rsid w:val="007A0CBD"/>
    <w:rsid w:val="007A0E37"/>
    <w:rsid w:val="007A30C6"/>
    <w:rsid w:val="007A6B19"/>
    <w:rsid w:val="007B1326"/>
    <w:rsid w:val="007B181F"/>
    <w:rsid w:val="007B3835"/>
    <w:rsid w:val="007B6B65"/>
    <w:rsid w:val="007C053D"/>
    <w:rsid w:val="007C0DE9"/>
    <w:rsid w:val="007C1E61"/>
    <w:rsid w:val="007C45C9"/>
    <w:rsid w:val="007C4600"/>
    <w:rsid w:val="007C548A"/>
    <w:rsid w:val="007D2924"/>
    <w:rsid w:val="007D2A48"/>
    <w:rsid w:val="007E144A"/>
    <w:rsid w:val="007E4253"/>
    <w:rsid w:val="007E7007"/>
    <w:rsid w:val="007F45D8"/>
    <w:rsid w:val="007F4A93"/>
    <w:rsid w:val="007F7B8D"/>
    <w:rsid w:val="00804114"/>
    <w:rsid w:val="00804A72"/>
    <w:rsid w:val="00807128"/>
    <w:rsid w:val="0081252D"/>
    <w:rsid w:val="00812DC0"/>
    <w:rsid w:val="008138F5"/>
    <w:rsid w:val="00814EB2"/>
    <w:rsid w:val="0081636C"/>
    <w:rsid w:val="00816CC4"/>
    <w:rsid w:val="00817992"/>
    <w:rsid w:val="00817B40"/>
    <w:rsid w:val="00823A5B"/>
    <w:rsid w:val="008257C4"/>
    <w:rsid w:val="00826CE6"/>
    <w:rsid w:val="00826D2D"/>
    <w:rsid w:val="008324BA"/>
    <w:rsid w:val="00833E15"/>
    <w:rsid w:val="00834DD1"/>
    <w:rsid w:val="008368CA"/>
    <w:rsid w:val="00836D50"/>
    <w:rsid w:val="00842A4B"/>
    <w:rsid w:val="00843E7E"/>
    <w:rsid w:val="00844647"/>
    <w:rsid w:val="00845AA9"/>
    <w:rsid w:val="00845B54"/>
    <w:rsid w:val="00846DEC"/>
    <w:rsid w:val="00857D02"/>
    <w:rsid w:val="008648E7"/>
    <w:rsid w:val="00865852"/>
    <w:rsid w:val="008719E1"/>
    <w:rsid w:val="00877730"/>
    <w:rsid w:val="008804A9"/>
    <w:rsid w:val="00894E61"/>
    <w:rsid w:val="00895792"/>
    <w:rsid w:val="008972F3"/>
    <w:rsid w:val="00897C9D"/>
    <w:rsid w:val="008A2938"/>
    <w:rsid w:val="008A35FF"/>
    <w:rsid w:val="008A5CAB"/>
    <w:rsid w:val="008B3011"/>
    <w:rsid w:val="008B37A7"/>
    <w:rsid w:val="008B3F52"/>
    <w:rsid w:val="008B7EE8"/>
    <w:rsid w:val="008C17B2"/>
    <w:rsid w:val="008D4A40"/>
    <w:rsid w:val="008D7E7E"/>
    <w:rsid w:val="008E1896"/>
    <w:rsid w:val="008E425C"/>
    <w:rsid w:val="008E5A9B"/>
    <w:rsid w:val="008E63FB"/>
    <w:rsid w:val="008E6499"/>
    <w:rsid w:val="008E66EC"/>
    <w:rsid w:val="008F0964"/>
    <w:rsid w:val="008F28B4"/>
    <w:rsid w:val="008F40E2"/>
    <w:rsid w:val="008F5D9E"/>
    <w:rsid w:val="008F6AE4"/>
    <w:rsid w:val="009048D2"/>
    <w:rsid w:val="00905655"/>
    <w:rsid w:val="00912381"/>
    <w:rsid w:val="0091249E"/>
    <w:rsid w:val="009143D1"/>
    <w:rsid w:val="00916AD2"/>
    <w:rsid w:val="009229E6"/>
    <w:rsid w:val="00925F1B"/>
    <w:rsid w:val="00926437"/>
    <w:rsid w:val="0093213F"/>
    <w:rsid w:val="0093583F"/>
    <w:rsid w:val="0093671A"/>
    <w:rsid w:val="00936983"/>
    <w:rsid w:val="00936DA1"/>
    <w:rsid w:val="009379D4"/>
    <w:rsid w:val="00937CF1"/>
    <w:rsid w:val="00937FBE"/>
    <w:rsid w:val="00947DBD"/>
    <w:rsid w:val="00954D4E"/>
    <w:rsid w:val="00954F27"/>
    <w:rsid w:val="00955CAB"/>
    <w:rsid w:val="00955CE3"/>
    <w:rsid w:val="00956FAB"/>
    <w:rsid w:val="00960110"/>
    <w:rsid w:val="009608D7"/>
    <w:rsid w:val="009620D1"/>
    <w:rsid w:val="00964D73"/>
    <w:rsid w:val="00966A8E"/>
    <w:rsid w:val="00970FB7"/>
    <w:rsid w:val="00973FF0"/>
    <w:rsid w:val="00975F91"/>
    <w:rsid w:val="0097752B"/>
    <w:rsid w:val="00981F58"/>
    <w:rsid w:val="009829F5"/>
    <w:rsid w:val="00982E47"/>
    <w:rsid w:val="00985F71"/>
    <w:rsid w:val="00986ED6"/>
    <w:rsid w:val="00987D4D"/>
    <w:rsid w:val="00991AFE"/>
    <w:rsid w:val="00992FAC"/>
    <w:rsid w:val="0099550A"/>
    <w:rsid w:val="009959E1"/>
    <w:rsid w:val="00996341"/>
    <w:rsid w:val="009B0CA5"/>
    <w:rsid w:val="009B15DD"/>
    <w:rsid w:val="009B163A"/>
    <w:rsid w:val="009B1651"/>
    <w:rsid w:val="009B2E6B"/>
    <w:rsid w:val="009B4D9F"/>
    <w:rsid w:val="009B717E"/>
    <w:rsid w:val="009C2D6C"/>
    <w:rsid w:val="009C41E4"/>
    <w:rsid w:val="009C6A7D"/>
    <w:rsid w:val="009D0FBF"/>
    <w:rsid w:val="009D5EF8"/>
    <w:rsid w:val="009D7C8D"/>
    <w:rsid w:val="009E715D"/>
    <w:rsid w:val="009F1116"/>
    <w:rsid w:val="009F27EE"/>
    <w:rsid w:val="00A01852"/>
    <w:rsid w:val="00A10763"/>
    <w:rsid w:val="00A1204A"/>
    <w:rsid w:val="00A137E1"/>
    <w:rsid w:val="00A14E63"/>
    <w:rsid w:val="00A4087C"/>
    <w:rsid w:val="00A424F9"/>
    <w:rsid w:val="00A4265F"/>
    <w:rsid w:val="00A4315C"/>
    <w:rsid w:val="00A440BA"/>
    <w:rsid w:val="00A45BDC"/>
    <w:rsid w:val="00A50D46"/>
    <w:rsid w:val="00A52D9B"/>
    <w:rsid w:val="00A5639C"/>
    <w:rsid w:val="00A5667E"/>
    <w:rsid w:val="00A5689C"/>
    <w:rsid w:val="00A605B7"/>
    <w:rsid w:val="00A62DE0"/>
    <w:rsid w:val="00A64901"/>
    <w:rsid w:val="00A64A21"/>
    <w:rsid w:val="00A66FCB"/>
    <w:rsid w:val="00A67150"/>
    <w:rsid w:val="00A706A6"/>
    <w:rsid w:val="00A73B45"/>
    <w:rsid w:val="00A76381"/>
    <w:rsid w:val="00A81382"/>
    <w:rsid w:val="00A82A68"/>
    <w:rsid w:val="00A859A8"/>
    <w:rsid w:val="00A86485"/>
    <w:rsid w:val="00A92028"/>
    <w:rsid w:val="00AA09E2"/>
    <w:rsid w:val="00AA29EF"/>
    <w:rsid w:val="00AA2E11"/>
    <w:rsid w:val="00AA3889"/>
    <w:rsid w:val="00AA6812"/>
    <w:rsid w:val="00AB67EB"/>
    <w:rsid w:val="00AC23B1"/>
    <w:rsid w:val="00AC2D53"/>
    <w:rsid w:val="00AC562C"/>
    <w:rsid w:val="00AC579D"/>
    <w:rsid w:val="00AC6EF8"/>
    <w:rsid w:val="00AD307A"/>
    <w:rsid w:val="00AD60C9"/>
    <w:rsid w:val="00AD6FBE"/>
    <w:rsid w:val="00AE19CD"/>
    <w:rsid w:val="00AE2F0A"/>
    <w:rsid w:val="00AE6333"/>
    <w:rsid w:val="00AE6FC3"/>
    <w:rsid w:val="00AF2E6F"/>
    <w:rsid w:val="00AF6F3C"/>
    <w:rsid w:val="00AF796E"/>
    <w:rsid w:val="00AF7EB6"/>
    <w:rsid w:val="00B00AE9"/>
    <w:rsid w:val="00B03409"/>
    <w:rsid w:val="00B11ACA"/>
    <w:rsid w:val="00B11BC7"/>
    <w:rsid w:val="00B159E7"/>
    <w:rsid w:val="00B16B49"/>
    <w:rsid w:val="00B22422"/>
    <w:rsid w:val="00B23105"/>
    <w:rsid w:val="00B322B6"/>
    <w:rsid w:val="00B32846"/>
    <w:rsid w:val="00B33599"/>
    <w:rsid w:val="00B339CA"/>
    <w:rsid w:val="00B34E49"/>
    <w:rsid w:val="00B36623"/>
    <w:rsid w:val="00B366F6"/>
    <w:rsid w:val="00B4265A"/>
    <w:rsid w:val="00B46027"/>
    <w:rsid w:val="00B47798"/>
    <w:rsid w:val="00B51FF1"/>
    <w:rsid w:val="00B53954"/>
    <w:rsid w:val="00B540EA"/>
    <w:rsid w:val="00B6015D"/>
    <w:rsid w:val="00B61DD1"/>
    <w:rsid w:val="00B620A3"/>
    <w:rsid w:val="00B625DD"/>
    <w:rsid w:val="00B64C10"/>
    <w:rsid w:val="00B70E62"/>
    <w:rsid w:val="00B71801"/>
    <w:rsid w:val="00B8124C"/>
    <w:rsid w:val="00B81BDA"/>
    <w:rsid w:val="00B823EF"/>
    <w:rsid w:val="00B84C17"/>
    <w:rsid w:val="00B86A8C"/>
    <w:rsid w:val="00B93386"/>
    <w:rsid w:val="00B9366F"/>
    <w:rsid w:val="00B97D60"/>
    <w:rsid w:val="00BA0C3D"/>
    <w:rsid w:val="00BA311E"/>
    <w:rsid w:val="00BA3C4E"/>
    <w:rsid w:val="00BA4907"/>
    <w:rsid w:val="00BA4DFB"/>
    <w:rsid w:val="00BA7CF0"/>
    <w:rsid w:val="00BB18E4"/>
    <w:rsid w:val="00BB2327"/>
    <w:rsid w:val="00BB2E51"/>
    <w:rsid w:val="00BB4257"/>
    <w:rsid w:val="00BB5353"/>
    <w:rsid w:val="00BB62C3"/>
    <w:rsid w:val="00BC5B81"/>
    <w:rsid w:val="00BD2AB9"/>
    <w:rsid w:val="00BD53FA"/>
    <w:rsid w:val="00BD5AAC"/>
    <w:rsid w:val="00BE50DB"/>
    <w:rsid w:val="00BE68C3"/>
    <w:rsid w:val="00BE7633"/>
    <w:rsid w:val="00BE7F6C"/>
    <w:rsid w:val="00BF0871"/>
    <w:rsid w:val="00BF3F63"/>
    <w:rsid w:val="00BF73CE"/>
    <w:rsid w:val="00BF7A81"/>
    <w:rsid w:val="00BF7F71"/>
    <w:rsid w:val="00C0080A"/>
    <w:rsid w:val="00C00990"/>
    <w:rsid w:val="00C04241"/>
    <w:rsid w:val="00C04951"/>
    <w:rsid w:val="00C04C04"/>
    <w:rsid w:val="00C0526F"/>
    <w:rsid w:val="00C07278"/>
    <w:rsid w:val="00C1209E"/>
    <w:rsid w:val="00C137EB"/>
    <w:rsid w:val="00C162CC"/>
    <w:rsid w:val="00C215B4"/>
    <w:rsid w:val="00C2221F"/>
    <w:rsid w:val="00C22461"/>
    <w:rsid w:val="00C2247B"/>
    <w:rsid w:val="00C24DFA"/>
    <w:rsid w:val="00C24E4A"/>
    <w:rsid w:val="00C3021C"/>
    <w:rsid w:val="00C3161D"/>
    <w:rsid w:val="00C32453"/>
    <w:rsid w:val="00C34345"/>
    <w:rsid w:val="00C347D8"/>
    <w:rsid w:val="00C37332"/>
    <w:rsid w:val="00C4244E"/>
    <w:rsid w:val="00C4473D"/>
    <w:rsid w:val="00C51875"/>
    <w:rsid w:val="00C555C6"/>
    <w:rsid w:val="00C55A37"/>
    <w:rsid w:val="00C62E16"/>
    <w:rsid w:val="00C66266"/>
    <w:rsid w:val="00C72631"/>
    <w:rsid w:val="00C75881"/>
    <w:rsid w:val="00C761CD"/>
    <w:rsid w:val="00C7779D"/>
    <w:rsid w:val="00C821AF"/>
    <w:rsid w:val="00C82F83"/>
    <w:rsid w:val="00C83F28"/>
    <w:rsid w:val="00C845E2"/>
    <w:rsid w:val="00C87EC9"/>
    <w:rsid w:val="00C93D90"/>
    <w:rsid w:val="00CA0468"/>
    <w:rsid w:val="00CA2015"/>
    <w:rsid w:val="00CA3407"/>
    <w:rsid w:val="00CA62C8"/>
    <w:rsid w:val="00CB2961"/>
    <w:rsid w:val="00CB4575"/>
    <w:rsid w:val="00CC02CE"/>
    <w:rsid w:val="00CC0AE7"/>
    <w:rsid w:val="00CC1A7A"/>
    <w:rsid w:val="00CC3116"/>
    <w:rsid w:val="00CC3159"/>
    <w:rsid w:val="00CC325E"/>
    <w:rsid w:val="00CC6D26"/>
    <w:rsid w:val="00CD3440"/>
    <w:rsid w:val="00CD605D"/>
    <w:rsid w:val="00CE04F1"/>
    <w:rsid w:val="00CE31AB"/>
    <w:rsid w:val="00CE5028"/>
    <w:rsid w:val="00CE5756"/>
    <w:rsid w:val="00CF0C03"/>
    <w:rsid w:val="00CF28A7"/>
    <w:rsid w:val="00CF3534"/>
    <w:rsid w:val="00CF393D"/>
    <w:rsid w:val="00CF5CB3"/>
    <w:rsid w:val="00CF6B28"/>
    <w:rsid w:val="00CF773D"/>
    <w:rsid w:val="00CF79F4"/>
    <w:rsid w:val="00D010C4"/>
    <w:rsid w:val="00D011EC"/>
    <w:rsid w:val="00D03F69"/>
    <w:rsid w:val="00D041AB"/>
    <w:rsid w:val="00D04EF9"/>
    <w:rsid w:val="00D1287D"/>
    <w:rsid w:val="00D163B0"/>
    <w:rsid w:val="00D17567"/>
    <w:rsid w:val="00D20DD6"/>
    <w:rsid w:val="00D22683"/>
    <w:rsid w:val="00D22FF1"/>
    <w:rsid w:val="00D30598"/>
    <w:rsid w:val="00D30733"/>
    <w:rsid w:val="00D327BF"/>
    <w:rsid w:val="00D3346B"/>
    <w:rsid w:val="00D34DA3"/>
    <w:rsid w:val="00D36B11"/>
    <w:rsid w:val="00D37400"/>
    <w:rsid w:val="00D41A96"/>
    <w:rsid w:val="00D44AC0"/>
    <w:rsid w:val="00D45655"/>
    <w:rsid w:val="00D47565"/>
    <w:rsid w:val="00D50C3D"/>
    <w:rsid w:val="00D50FD5"/>
    <w:rsid w:val="00D51678"/>
    <w:rsid w:val="00D516D9"/>
    <w:rsid w:val="00D51D82"/>
    <w:rsid w:val="00D5627F"/>
    <w:rsid w:val="00D60E10"/>
    <w:rsid w:val="00D62E63"/>
    <w:rsid w:val="00D64963"/>
    <w:rsid w:val="00D64B2A"/>
    <w:rsid w:val="00D6696B"/>
    <w:rsid w:val="00D8046A"/>
    <w:rsid w:val="00D80FFC"/>
    <w:rsid w:val="00D82DDC"/>
    <w:rsid w:val="00D84A12"/>
    <w:rsid w:val="00D90C50"/>
    <w:rsid w:val="00D9367C"/>
    <w:rsid w:val="00D9467D"/>
    <w:rsid w:val="00D94FF9"/>
    <w:rsid w:val="00D958D1"/>
    <w:rsid w:val="00D96559"/>
    <w:rsid w:val="00D973BF"/>
    <w:rsid w:val="00D97794"/>
    <w:rsid w:val="00D979DB"/>
    <w:rsid w:val="00DA143C"/>
    <w:rsid w:val="00DA16FC"/>
    <w:rsid w:val="00DA40DB"/>
    <w:rsid w:val="00DA4510"/>
    <w:rsid w:val="00DA5B9F"/>
    <w:rsid w:val="00DB04CF"/>
    <w:rsid w:val="00DB1671"/>
    <w:rsid w:val="00DB3E20"/>
    <w:rsid w:val="00DB79B3"/>
    <w:rsid w:val="00DC034C"/>
    <w:rsid w:val="00DC25AD"/>
    <w:rsid w:val="00DC6111"/>
    <w:rsid w:val="00DD0B24"/>
    <w:rsid w:val="00DD1FD8"/>
    <w:rsid w:val="00DD242B"/>
    <w:rsid w:val="00DD290C"/>
    <w:rsid w:val="00DD2C1C"/>
    <w:rsid w:val="00DD477E"/>
    <w:rsid w:val="00DD795E"/>
    <w:rsid w:val="00DD7A89"/>
    <w:rsid w:val="00DE0207"/>
    <w:rsid w:val="00DE1663"/>
    <w:rsid w:val="00DE1773"/>
    <w:rsid w:val="00DE2D14"/>
    <w:rsid w:val="00DE321F"/>
    <w:rsid w:val="00DE640C"/>
    <w:rsid w:val="00DE657E"/>
    <w:rsid w:val="00DE786F"/>
    <w:rsid w:val="00DF08BD"/>
    <w:rsid w:val="00DF11BB"/>
    <w:rsid w:val="00DF12FF"/>
    <w:rsid w:val="00DF19EF"/>
    <w:rsid w:val="00DF5E56"/>
    <w:rsid w:val="00E0175C"/>
    <w:rsid w:val="00E06EFA"/>
    <w:rsid w:val="00E101B6"/>
    <w:rsid w:val="00E14CC8"/>
    <w:rsid w:val="00E14D56"/>
    <w:rsid w:val="00E154A1"/>
    <w:rsid w:val="00E16245"/>
    <w:rsid w:val="00E2288D"/>
    <w:rsid w:val="00E2584D"/>
    <w:rsid w:val="00E2719E"/>
    <w:rsid w:val="00E275FE"/>
    <w:rsid w:val="00E3215F"/>
    <w:rsid w:val="00E34BF6"/>
    <w:rsid w:val="00E410E6"/>
    <w:rsid w:val="00E45C99"/>
    <w:rsid w:val="00E46613"/>
    <w:rsid w:val="00E47451"/>
    <w:rsid w:val="00E51571"/>
    <w:rsid w:val="00E52742"/>
    <w:rsid w:val="00E56A0F"/>
    <w:rsid w:val="00E57171"/>
    <w:rsid w:val="00E609E2"/>
    <w:rsid w:val="00E62C28"/>
    <w:rsid w:val="00E65EA8"/>
    <w:rsid w:val="00E7328E"/>
    <w:rsid w:val="00E83608"/>
    <w:rsid w:val="00E83A90"/>
    <w:rsid w:val="00E84A60"/>
    <w:rsid w:val="00E86972"/>
    <w:rsid w:val="00E87543"/>
    <w:rsid w:val="00E919CD"/>
    <w:rsid w:val="00E94222"/>
    <w:rsid w:val="00E94BB6"/>
    <w:rsid w:val="00EA2393"/>
    <w:rsid w:val="00EA492D"/>
    <w:rsid w:val="00EB3DD8"/>
    <w:rsid w:val="00EB47FA"/>
    <w:rsid w:val="00EB72E1"/>
    <w:rsid w:val="00EC1CDE"/>
    <w:rsid w:val="00EC3F10"/>
    <w:rsid w:val="00EC7F34"/>
    <w:rsid w:val="00ED17ED"/>
    <w:rsid w:val="00ED48DE"/>
    <w:rsid w:val="00ED6511"/>
    <w:rsid w:val="00EE3B50"/>
    <w:rsid w:val="00EE3D79"/>
    <w:rsid w:val="00EE51D2"/>
    <w:rsid w:val="00EF038F"/>
    <w:rsid w:val="00F00F3C"/>
    <w:rsid w:val="00F04DB6"/>
    <w:rsid w:val="00F124E1"/>
    <w:rsid w:val="00F132F8"/>
    <w:rsid w:val="00F15520"/>
    <w:rsid w:val="00F17AB0"/>
    <w:rsid w:val="00F21F64"/>
    <w:rsid w:val="00F237DA"/>
    <w:rsid w:val="00F271A2"/>
    <w:rsid w:val="00F30B55"/>
    <w:rsid w:val="00F32C59"/>
    <w:rsid w:val="00F35592"/>
    <w:rsid w:val="00F35BF2"/>
    <w:rsid w:val="00F37F7A"/>
    <w:rsid w:val="00F4545F"/>
    <w:rsid w:val="00F46784"/>
    <w:rsid w:val="00F50D9B"/>
    <w:rsid w:val="00F51182"/>
    <w:rsid w:val="00F52276"/>
    <w:rsid w:val="00F537F3"/>
    <w:rsid w:val="00F60ECA"/>
    <w:rsid w:val="00F6528D"/>
    <w:rsid w:val="00F678AA"/>
    <w:rsid w:val="00F7090D"/>
    <w:rsid w:val="00F721C1"/>
    <w:rsid w:val="00F743C7"/>
    <w:rsid w:val="00F75294"/>
    <w:rsid w:val="00F81BC4"/>
    <w:rsid w:val="00F82D2B"/>
    <w:rsid w:val="00F846A9"/>
    <w:rsid w:val="00F860B9"/>
    <w:rsid w:val="00F90537"/>
    <w:rsid w:val="00F92327"/>
    <w:rsid w:val="00F93157"/>
    <w:rsid w:val="00F93467"/>
    <w:rsid w:val="00F93B0F"/>
    <w:rsid w:val="00F96E0F"/>
    <w:rsid w:val="00FA070D"/>
    <w:rsid w:val="00FA0809"/>
    <w:rsid w:val="00FA144A"/>
    <w:rsid w:val="00FA2DB0"/>
    <w:rsid w:val="00FA3BB4"/>
    <w:rsid w:val="00FB35B1"/>
    <w:rsid w:val="00FB5CB4"/>
    <w:rsid w:val="00FB7144"/>
    <w:rsid w:val="00FB744E"/>
    <w:rsid w:val="00FB7B74"/>
    <w:rsid w:val="00FC0561"/>
    <w:rsid w:val="00FC1E66"/>
    <w:rsid w:val="00FC356A"/>
    <w:rsid w:val="00FD0C2E"/>
    <w:rsid w:val="00FD30F6"/>
    <w:rsid w:val="00FD35DE"/>
    <w:rsid w:val="00FD4E2C"/>
    <w:rsid w:val="00FD61D6"/>
    <w:rsid w:val="00FE30DF"/>
    <w:rsid w:val="00FE626E"/>
    <w:rsid w:val="00FE6315"/>
    <w:rsid w:val="00FF258C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7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A3889"/>
    <w:pPr>
      <w:spacing w:after="0" w:line="240" w:lineRule="auto"/>
    </w:pPr>
  </w:style>
  <w:style w:type="table" w:styleId="TableGrid">
    <w:name w:val="Table Grid"/>
    <w:basedOn w:val="TableNormal"/>
    <w:uiPriority w:val="59"/>
    <w:rsid w:val="00AA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A3889"/>
  </w:style>
  <w:style w:type="paragraph" w:styleId="BalloonText">
    <w:name w:val="Balloon Text"/>
    <w:basedOn w:val="Normal"/>
    <w:link w:val="BalloonTextChar"/>
    <w:uiPriority w:val="99"/>
    <w:semiHidden/>
    <w:unhideWhenUsed/>
    <w:rsid w:val="00AA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E27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5F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958D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53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71D"/>
  </w:style>
  <w:style w:type="paragraph" w:styleId="Footer">
    <w:name w:val="footer"/>
    <w:basedOn w:val="Normal"/>
    <w:link w:val="FooterChar"/>
    <w:uiPriority w:val="99"/>
    <w:unhideWhenUsed/>
    <w:rsid w:val="0051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71D"/>
  </w:style>
  <w:style w:type="paragraph" w:styleId="Revision">
    <w:name w:val="Revision"/>
    <w:hidden/>
    <w:uiPriority w:val="99"/>
    <w:semiHidden/>
    <w:rsid w:val="001223B7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B62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A3889"/>
    <w:pPr>
      <w:spacing w:after="0" w:line="240" w:lineRule="auto"/>
    </w:pPr>
  </w:style>
  <w:style w:type="table" w:styleId="TableGrid">
    <w:name w:val="Table Grid"/>
    <w:basedOn w:val="TableNormal"/>
    <w:uiPriority w:val="59"/>
    <w:rsid w:val="00AA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A3889"/>
  </w:style>
  <w:style w:type="paragraph" w:styleId="BalloonText">
    <w:name w:val="Balloon Text"/>
    <w:basedOn w:val="Normal"/>
    <w:link w:val="BalloonTextChar"/>
    <w:uiPriority w:val="99"/>
    <w:semiHidden/>
    <w:unhideWhenUsed/>
    <w:rsid w:val="00AA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E27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5F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958D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53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71D"/>
  </w:style>
  <w:style w:type="paragraph" w:styleId="Footer">
    <w:name w:val="footer"/>
    <w:basedOn w:val="Normal"/>
    <w:link w:val="FooterChar"/>
    <w:uiPriority w:val="99"/>
    <w:unhideWhenUsed/>
    <w:rsid w:val="0051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71D"/>
  </w:style>
  <w:style w:type="paragraph" w:styleId="Revision">
    <w:name w:val="Revision"/>
    <w:hidden/>
    <w:uiPriority w:val="99"/>
    <w:semiHidden/>
    <w:rsid w:val="001223B7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B6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7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8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1064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88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58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06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961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34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14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26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65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59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20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95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510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407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081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77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293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0557-1D4B-407D-A5DE-0969EA65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IMS</cp:lastModifiedBy>
  <cp:revision>3</cp:revision>
  <cp:lastPrinted>2019-03-18T08:49:00Z</cp:lastPrinted>
  <dcterms:created xsi:type="dcterms:W3CDTF">2019-05-03T08:45:00Z</dcterms:created>
  <dcterms:modified xsi:type="dcterms:W3CDTF">2019-05-03T09:12:00Z</dcterms:modified>
</cp:coreProperties>
</file>