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theme/themeOverride6.xml" ContentType="application/vnd.openxmlformats-officedocument.themeOverride+xml"/>
  <Override PartName="/word/charts/chart8.xml" ContentType="application/vnd.openxmlformats-officedocument.drawingml.chart+xml"/>
  <Override PartName="/word/theme/themeOverride7.xml" ContentType="application/vnd.openxmlformats-officedocument.themeOverride+xml"/>
  <Override PartName="/word/charts/chart9.xml" ContentType="application/vnd.openxmlformats-officedocument.drawingml.chart+xml"/>
  <Override PartName="/word/theme/themeOverride8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7615" w:rsidRPr="00B67615" w:rsidRDefault="00B67615" w:rsidP="00B67615">
      <w:pPr>
        <w:spacing w:line="260" w:lineRule="atLeast"/>
        <w:jc w:val="left"/>
        <w:rPr>
          <w:rFonts w:ascii="Times New Roman" w:hAnsi="Times New Roman" w:hint="eastAsia"/>
          <w:b/>
          <w:szCs w:val="24"/>
        </w:rPr>
      </w:pPr>
      <w:r w:rsidRPr="00B67615">
        <w:rPr>
          <w:rFonts w:ascii="Times New Roman" w:hAnsi="Times New Roman" w:hint="eastAsia"/>
          <w:b/>
          <w:szCs w:val="24"/>
        </w:rPr>
        <w:t>F</w:t>
      </w:r>
      <w:r w:rsidRPr="00B67615">
        <w:rPr>
          <w:rFonts w:ascii="Times New Roman" w:hAnsi="Times New Roman"/>
          <w:b/>
          <w:szCs w:val="24"/>
        </w:rPr>
        <w:t>igures</w:t>
      </w:r>
      <w:r w:rsidRPr="00B67615">
        <w:rPr>
          <w:rFonts w:ascii="Times New Roman" w:hAnsi="Times New Roman" w:hint="eastAsia"/>
          <w:b/>
          <w:szCs w:val="24"/>
        </w:rPr>
        <w:t>：</w:t>
      </w:r>
    </w:p>
    <w:p w:rsidR="00B67615" w:rsidRDefault="00B67615" w:rsidP="00B67615">
      <w:pPr>
        <w:spacing w:line="260" w:lineRule="atLeast"/>
        <w:jc w:val="center"/>
        <w:rPr>
          <w:rFonts w:ascii="Times New Roman" w:hAnsi="Times New Roman"/>
          <w:sz w:val="20"/>
          <w:szCs w:val="20"/>
        </w:rPr>
      </w:pPr>
      <w:r w:rsidRPr="000256E3">
        <w:rPr>
          <w:rFonts w:ascii="Times New Roman" w:hAnsi="Times New Roman"/>
          <w:noProof/>
        </w:rPr>
        <w:drawing>
          <wp:inline distT="0" distB="0" distL="0" distR="0" wp14:anchorId="0BBC4ACE" wp14:editId="518E6F24">
            <wp:extent cx="2880000" cy="1142693"/>
            <wp:effectExtent l="0" t="0" r="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74" b="5178"/>
                    <a:stretch/>
                  </pic:blipFill>
                  <pic:spPr bwMode="auto">
                    <a:xfrm>
                      <a:off x="0" y="0"/>
                      <a:ext cx="2880000" cy="114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615" w:rsidRPr="000256E3" w:rsidRDefault="00B67615" w:rsidP="00B67615">
      <w:pPr>
        <w:spacing w:line="260" w:lineRule="atLeast"/>
        <w:jc w:val="center"/>
        <w:rPr>
          <w:rFonts w:ascii="Times New Roman" w:hAnsi="Times New Roman"/>
          <w:sz w:val="20"/>
          <w:szCs w:val="20"/>
        </w:rPr>
      </w:pPr>
      <w:r w:rsidRPr="000256E3">
        <w:rPr>
          <w:rFonts w:ascii="Times New Roman" w:hAnsi="Times New Roman"/>
          <w:sz w:val="20"/>
          <w:szCs w:val="20"/>
        </w:rPr>
        <w:t>1-Plunger pump; 2-Beaker; 3-Middle container; 4-Pressure gange; 5-Core holder; 6-Graduated cylinder; 7-Manual pump; 8-Oven</w:t>
      </w:r>
    </w:p>
    <w:p w:rsidR="00B67615" w:rsidRDefault="00B67615" w:rsidP="00B67615">
      <w:pPr>
        <w:spacing w:line="288" w:lineRule="auto"/>
        <w:jc w:val="center"/>
        <w:rPr>
          <w:rFonts w:ascii="Times New Roman" w:hAnsi="Times New Roman"/>
          <w:sz w:val="20"/>
          <w:szCs w:val="20"/>
        </w:rPr>
      </w:pPr>
      <w:r w:rsidRPr="000256E3">
        <w:rPr>
          <w:rFonts w:ascii="Times New Roman" w:hAnsi="Times New Roman"/>
          <w:sz w:val="20"/>
          <w:szCs w:val="20"/>
        </w:rPr>
        <w:t>Fig.1 Experimental-process diagram</w:t>
      </w:r>
    </w:p>
    <w:p w:rsidR="00B67615" w:rsidRPr="000256E3" w:rsidRDefault="00B67615" w:rsidP="00B67615">
      <w:pPr>
        <w:spacing w:line="288" w:lineRule="auto"/>
        <w:jc w:val="center"/>
        <w:rPr>
          <w:rFonts w:ascii="Times New Roman" w:hAnsi="Times New Roman"/>
          <w:sz w:val="20"/>
          <w:szCs w:val="20"/>
        </w:rPr>
      </w:pPr>
      <w:r w:rsidRPr="000256E3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301007E5" wp14:editId="720BB4D4">
            <wp:extent cx="828571" cy="52381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8571" cy="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  <w:szCs w:val="20"/>
        </w:rPr>
        <w:t xml:space="preserve"> </w:t>
      </w:r>
      <w:r w:rsidRPr="000256E3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462524A6" wp14:editId="19FBC30F">
            <wp:extent cx="847619" cy="52381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7619" cy="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  <w:szCs w:val="20"/>
        </w:rPr>
        <w:t xml:space="preserve"> </w:t>
      </w:r>
      <w:r w:rsidRPr="000256E3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6A76C640" wp14:editId="69A0811B">
            <wp:extent cx="828571" cy="52381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8571" cy="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615" w:rsidRPr="000256E3" w:rsidRDefault="00B67615" w:rsidP="00B67615">
      <w:pPr>
        <w:spacing w:line="260" w:lineRule="atLeast"/>
        <w:ind w:firstLineChars="1300" w:firstLine="2600"/>
        <w:rPr>
          <w:rFonts w:ascii="Times New Roman" w:hAnsi="Times New Roman"/>
          <w:sz w:val="20"/>
          <w:szCs w:val="20"/>
        </w:rPr>
      </w:pPr>
      <w:r w:rsidRPr="000256E3">
        <w:rPr>
          <w:rFonts w:ascii="Times New Roman" w:hAnsi="Times New Roman"/>
          <w:sz w:val="20"/>
          <w:szCs w:val="20"/>
        </w:rPr>
        <w:t xml:space="preserve">(a)  </w:t>
      </w:r>
      <w:r>
        <w:rPr>
          <w:rFonts w:ascii="Times New Roman" w:hAnsi="Times New Roman"/>
          <w:sz w:val="20"/>
          <w:szCs w:val="20"/>
        </w:rPr>
        <w:t xml:space="preserve">        </w:t>
      </w:r>
      <w:r w:rsidRPr="000256E3">
        <w:rPr>
          <w:rFonts w:ascii="Times New Roman" w:hAnsi="Times New Roman"/>
          <w:sz w:val="20"/>
          <w:szCs w:val="20"/>
        </w:rPr>
        <w:t xml:space="preserve"> (b)  </w:t>
      </w:r>
      <w:r>
        <w:rPr>
          <w:rFonts w:ascii="Times New Roman" w:hAnsi="Times New Roman"/>
          <w:sz w:val="20"/>
          <w:szCs w:val="20"/>
        </w:rPr>
        <w:t xml:space="preserve">         </w:t>
      </w:r>
      <w:r w:rsidRPr="000256E3">
        <w:rPr>
          <w:rFonts w:ascii="Times New Roman" w:hAnsi="Times New Roman"/>
          <w:sz w:val="20"/>
          <w:szCs w:val="20"/>
        </w:rPr>
        <w:t xml:space="preserve"> (c)</w:t>
      </w:r>
    </w:p>
    <w:p w:rsidR="00B67615" w:rsidRDefault="00B67615" w:rsidP="00B67615">
      <w:pPr>
        <w:spacing w:line="260" w:lineRule="atLeast"/>
        <w:ind w:firstLineChars="200" w:firstLine="400"/>
        <w:rPr>
          <w:rFonts w:ascii="Times New Roman" w:hAnsi="Times New Roman"/>
          <w:sz w:val="20"/>
          <w:szCs w:val="20"/>
        </w:rPr>
      </w:pPr>
      <w:r w:rsidRPr="000256E3">
        <w:rPr>
          <w:rFonts w:ascii="Times New Roman" w:hAnsi="Times New Roman"/>
          <w:sz w:val="20"/>
          <w:szCs w:val="20"/>
        </w:rPr>
        <w:t>Fig.2 Matching relationship between the droplets of emulsion and the diameter of the pore throat</w:t>
      </w:r>
    </w:p>
    <w:p w:rsidR="00B67615" w:rsidRPr="000256E3" w:rsidRDefault="00B67615" w:rsidP="00B67615">
      <w:pPr>
        <w:spacing w:line="260" w:lineRule="atLeast"/>
        <w:ind w:firstLineChars="200" w:firstLine="420"/>
        <w:jc w:val="center"/>
        <w:rPr>
          <w:rFonts w:ascii="Times New Roman" w:hAnsi="Times New Roman"/>
          <w:sz w:val="20"/>
          <w:szCs w:val="20"/>
        </w:rPr>
      </w:pPr>
      <w:r w:rsidRPr="000256E3">
        <w:rPr>
          <w:rFonts w:ascii="Times New Roman" w:hAnsi="Times New Roman"/>
          <w:noProof/>
        </w:rPr>
        <w:drawing>
          <wp:inline distT="0" distB="0" distL="0" distR="0" wp14:anchorId="7DE44B1A" wp14:editId="3A222300">
            <wp:extent cx="2543175" cy="1743075"/>
            <wp:effectExtent l="0" t="0" r="0" b="0"/>
            <wp:docPr id="1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67615" w:rsidRDefault="00B67615" w:rsidP="00B67615">
      <w:pPr>
        <w:spacing w:line="260" w:lineRule="atLeast"/>
        <w:jc w:val="center"/>
        <w:rPr>
          <w:rFonts w:ascii="Times New Roman" w:hAnsi="Times New Roman"/>
          <w:sz w:val="20"/>
          <w:szCs w:val="20"/>
        </w:rPr>
      </w:pPr>
      <w:r w:rsidRPr="000256E3">
        <w:rPr>
          <w:rFonts w:ascii="Times New Roman" w:hAnsi="Times New Roman"/>
          <w:sz w:val="20"/>
          <w:szCs w:val="20"/>
        </w:rPr>
        <w:t>Fig.3 Viscosity of emulsions under different surfactant concentrations</w:t>
      </w:r>
    </w:p>
    <w:p w:rsidR="00B67615" w:rsidRDefault="00B67615" w:rsidP="00B67615">
      <w:pPr>
        <w:jc w:val="center"/>
      </w:pPr>
      <w:r w:rsidRPr="000256E3">
        <w:rPr>
          <w:rFonts w:ascii="Times New Roman" w:hAnsi="Times New Roman"/>
          <w:noProof/>
        </w:rPr>
        <w:drawing>
          <wp:inline distT="0" distB="0" distL="0" distR="0" wp14:anchorId="05EB76ED" wp14:editId="353E186C">
            <wp:extent cx="2725947" cy="1439545"/>
            <wp:effectExtent l="0" t="0" r="0" b="0"/>
            <wp:docPr id="7" name="图表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67615" w:rsidRPr="000256E3" w:rsidRDefault="00B67615" w:rsidP="00B67615">
      <w:pPr>
        <w:spacing w:line="260" w:lineRule="atLeast"/>
        <w:ind w:firstLineChars="200" w:firstLine="400"/>
        <w:jc w:val="center"/>
        <w:rPr>
          <w:rFonts w:ascii="Times New Roman" w:hAnsi="Times New Roman"/>
          <w:sz w:val="20"/>
          <w:szCs w:val="20"/>
        </w:rPr>
      </w:pPr>
      <w:r w:rsidRPr="000256E3">
        <w:rPr>
          <w:rFonts w:ascii="Times New Roman" w:hAnsi="Times New Roman"/>
          <w:sz w:val="20"/>
          <w:szCs w:val="20"/>
        </w:rPr>
        <w:t>Fig.4 F</w:t>
      </w:r>
      <w:r w:rsidRPr="000256E3">
        <w:rPr>
          <w:rFonts w:ascii="Times New Roman" w:hAnsi="Times New Roman"/>
          <w:sz w:val="20"/>
          <w:szCs w:val="20"/>
          <w:vertAlign w:val="subscript"/>
        </w:rPr>
        <w:t>R</w:t>
      </w:r>
      <w:r w:rsidRPr="000256E3">
        <w:rPr>
          <w:rFonts w:ascii="Times New Roman" w:hAnsi="Times New Roman"/>
          <w:sz w:val="20"/>
          <w:szCs w:val="20"/>
        </w:rPr>
        <w:t xml:space="preserve"> when emulsions with different water cut flow through 20mD core</w:t>
      </w:r>
    </w:p>
    <w:p w:rsidR="00B67615" w:rsidRDefault="00B67615" w:rsidP="00B67615">
      <w:pPr>
        <w:jc w:val="center"/>
      </w:pPr>
      <w:r w:rsidRPr="000256E3">
        <w:rPr>
          <w:rFonts w:ascii="Times New Roman" w:hAnsi="Times New Roman"/>
          <w:noProof/>
        </w:rPr>
        <w:drawing>
          <wp:inline distT="0" distB="0" distL="0" distR="0" wp14:anchorId="2A3BB529" wp14:editId="4FA1BC23">
            <wp:extent cx="2708695" cy="1439545"/>
            <wp:effectExtent l="0" t="0" r="0" b="8255"/>
            <wp:docPr id="9" name="图表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67615" w:rsidRPr="000256E3" w:rsidRDefault="00B67615" w:rsidP="00B67615">
      <w:pPr>
        <w:spacing w:line="260" w:lineRule="atLeast"/>
        <w:ind w:firstLineChars="200" w:firstLine="400"/>
        <w:jc w:val="center"/>
        <w:rPr>
          <w:rFonts w:ascii="Times New Roman" w:hAnsi="Times New Roman"/>
          <w:sz w:val="20"/>
          <w:szCs w:val="20"/>
        </w:rPr>
      </w:pPr>
      <w:r w:rsidRPr="000256E3">
        <w:rPr>
          <w:rFonts w:ascii="Times New Roman" w:hAnsi="Times New Roman"/>
          <w:sz w:val="20"/>
          <w:szCs w:val="20"/>
        </w:rPr>
        <w:t>Fig.5 F</w:t>
      </w:r>
      <w:r w:rsidRPr="000256E3">
        <w:rPr>
          <w:rFonts w:ascii="Times New Roman" w:hAnsi="Times New Roman"/>
          <w:sz w:val="20"/>
          <w:szCs w:val="20"/>
          <w:vertAlign w:val="subscript"/>
        </w:rPr>
        <w:t>R</w:t>
      </w:r>
      <w:r w:rsidRPr="000256E3">
        <w:rPr>
          <w:rFonts w:ascii="Times New Roman" w:hAnsi="Times New Roman"/>
          <w:sz w:val="20"/>
          <w:szCs w:val="20"/>
        </w:rPr>
        <w:t xml:space="preserve"> when emulsions with different water cut flow through 40mD core</w:t>
      </w:r>
    </w:p>
    <w:p w:rsidR="00B67615" w:rsidRDefault="00B67615" w:rsidP="00B67615">
      <w:pPr>
        <w:jc w:val="center"/>
      </w:pPr>
      <w:r w:rsidRPr="000256E3">
        <w:rPr>
          <w:rFonts w:ascii="Times New Roman" w:hAnsi="Times New Roman"/>
          <w:noProof/>
        </w:rPr>
        <w:lastRenderedPageBreak/>
        <w:drawing>
          <wp:inline distT="0" distB="0" distL="0" distR="0" wp14:anchorId="0ABB672E" wp14:editId="527208BB">
            <wp:extent cx="2743200" cy="1439545"/>
            <wp:effectExtent l="0" t="0" r="0" b="8255"/>
            <wp:docPr id="11" name="图表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67615" w:rsidRPr="000256E3" w:rsidRDefault="00B67615" w:rsidP="00B67615">
      <w:pPr>
        <w:spacing w:line="260" w:lineRule="atLeast"/>
        <w:ind w:firstLineChars="200" w:firstLine="400"/>
        <w:jc w:val="center"/>
        <w:rPr>
          <w:rFonts w:ascii="Times New Roman" w:hAnsi="Times New Roman"/>
          <w:sz w:val="20"/>
          <w:szCs w:val="20"/>
        </w:rPr>
      </w:pPr>
      <w:r w:rsidRPr="000256E3">
        <w:rPr>
          <w:rFonts w:ascii="Times New Roman" w:hAnsi="Times New Roman"/>
          <w:sz w:val="20"/>
          <w:szCs w:val="20"/>
        </w:rPr>
        <w:t>Fig.6 F</w:t>
      </w:r>
      <w:r w:rsidRPr="000256E3">
        <w:rPr>
          <w:rFonts w:ascii="Times New Roman" w:hAnsi="Times New Roman"/>
          <w:sz w:val="20"/>
          <w:szCs w:val="20"/>
          <w:vertAlign w:val="subscript"/>
        </w:rPr>
        <w:t>R</w:t>
      </w:r>
      <w:r w:rsidRPr="000256E3">
        <w:rPr>
          <w:rFonts w:ascii="Times New Roman" w:hAnsi="Times New Roman"/>
          <w:sz w:val="20"/>
          <w:szCs w:val="20"/>
        </w:rPr>
        <w:t xml:space="preserve"> when emulsions with different water cut flow through 60mD core</w:t>
      </w:r>
    </w:p>
    <w:p w:rsidR="00B67615" w:rsidRDefault="00B67615" w:rsidP="00B67615">
      <w:pPr>
        <w:jc w:val="center"/>
      </w:pPr>
      <w:r w:rsidRPr="000256E3">
        <w:rPr>
          <w:rFonts w:ascii="Times New Roman" w:hAnsi="Times New Roman"/>
          <w:noProof/>
        </w:rPr>
        <w:drawing>
          <wp:inline distT="0" distB="0" distL="0" distR="0" wp14:anchorId="7BC5D089" wp14:editId="6EDE1978">
            <wp:extent cx="2475601" cy="1439545"/>
            <wp:effectExtent l="0" t="0" r="1270" b="8255"/>
            <wp:docPr id="16" name="图表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67615" w:rsidRDefault="00B67615" w:rsidP="00B67615">
      <w:pPr>
        <w:spacing w:line="260" w:lineRule="atLeast"/>
        <w:ind w:firstLineChars="200" w:firstLine="400"/>
        <w:jc w:val="center"/>
        <w:rPr>
          <w:rFonts w:ascii="Times New Roman" w:hAnsi="Times New Roman"/>
          <w:sz w:val="20"/>
          <w:szCs w:val="20"/>
        </w:rPr>
      </w:pPr>
      <w:r w:rsidRPr="000256E3">
        <w:rPr>
          <w:rFonts w:ascii="Times New Roman" w:hAnsi="Times New Roman"/>
          <w:sz w:val="20"/>
          <w:szCs w:val="20"/>
        </w:rPr>
        <w:t>Fig.7 F</w:t>
      </w:r>
      <w:r w:rsidRPr="000256E3">
        <w:rPr>
          <w:rFonts w:ascii="Times New Roman" w:hAnsi="Times New Roman"/>
          <w:sz w:val="20"/>
          <w:szCs w:val="20"/>
          <w:vertAlign w:val="subscript"/>
        </w:rPr>
        <w:t>R</w:t>
      </w:r>
      <w:r w:rsidRPr="000256E3">
        <w:rPr>
          <w:rFonts w:ascii="Times New Roman" w:hAnsi="Times New Roman"/>
          <w:sz w:val="20"/>
          <w:szCs w:val="20"/>
        </w:rPr>
        <w:t xml:space="preserve"> when emulsions with different water cut flow through 80mD core</w:t>
      </w:r>
    </w:p>
    <w:p w:rsidR="00B67615" w:rsidRDefault="00B67615" w:rsidP="00B67615">
      <w:pPr>
        <w:jc w:val="center"/>
      </w:pPr>
      <w:r w:rsidRPr="000256E3">
        <w:rPr>
          <w:rFonts w:ascii="Times New Roman" w:hAnsi="Times New Roman"/>
          <w:noProof/>
        </w:rPr>
        <w:drawing>
          <wp:inline distT="0" distB="0" distL="0" distR="0" wp14:anchorId="5983FA9E" wp14:editId="37325A23">
            <wp:extent cx="2501661" cy="1439545"/>
            <wp:effectExtent l="0" t="0" r="0" b="0"/>
            <wp:docPr id="17" name="图表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67615" w:rsidRPr="000256E3" w:rsidRDefault="00B67615" w:rsidP="00B67615">
      <w:pPr>
        <w:spacing w:line="260" w:lineRule="atLeast"/>
        <w:ind w:firstLineChars="200" w:firstLine="400"/>
        <w:jc w:val="center"/>
        <w:rPr>
          <w:rFonts w:ascii="Times New Roman" w:hAnsi="Times New Roman"/>
          <w:sz w:val="20"/>
          <w:szCs w:val="20"/>
        </w:rPr>
      </w:pPr>
      <w:r w:rsidRPr="000256E3">
        <w:rPr>
          <w:rFonts w:ascii="Times New Roman" w:hAnsi="Times New Roman"/>
          <w:sz w:val="20"/>
          <w:szCs w:val="20"/>
        </w:rPr>
        <w:t>Fig.8 F</w:t>
      </w:r>
      <w:r w:rsidRPr="000256E3">
        <w:rPr>
          <w:rFonts w:ascii="Times New Roman" w:hAnsi="Times New Roman"/>
          <w:sz w:val="20"/>
          <w:szCs w:val="20"/>
          <w:vertAlign w:val="subscript"/>
        </w:rPr>
        <w:t>R</w:t>
      </w:r>
      <w:r w:rsidRPr="000256E3">
        <w:rPr>
          <w:rFonts w:ascii="Times New Roman" w:hAnsi="Times New Roman"/>
          <w:sz w:val="20"/>
          <w:szCs w:val="20"/>
        </w:rPr>
        <w:t xml:space="preserve"> when emulsions with different surfactant concentrations flow through 20mD core</w:t>
      </w:r>
    </w:p>
    <w:p w:rsidR="00B67615" w:rsidRDefault="00B67615" w:rsidP="00B67615">
      <w:pPr>
        <w:jc w:val="center"/>
      </w:pPr>
      <w:r w:rsidRPr="000256E3">
        <w:rPr>
          <w:rFonts w:ascii="Times New Roman" w:hAnsi="Times New Roman"/>
          <w:noProof/>
        </w:rPr>
        <w:drawing>
          <wp:inline distT="0" distB="0" distL="0" distR="0" wp14:anchorId="21B8C948" wp14:editId="490E9D75">
            <wp:extent cx="2613804" cy="1439545"/>
            <wp:effectExtent l="0" t="0" r="0" b="0"/>
            <wp:docPr id="18" name="图表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67615" w:rsidRPr="000256E3" w:rsidRDefault="00B67615" w:rsidP="00B67615">
      <w:pPr>
        <w:spacing w:line="260" w:lineRule="atLeast"/>
        <w:ind w:firstLineChars="200" w:firstLine="400"/>
        <w:jc w:val="center"/>
        <w:rPr>
          <w:rFonts w:ascii="Times New Roman" w:hAnsi="Times New Roman"/>
          <w:sz w:val="20"/>
          <w:szCs w:val="20"/>
        </w:rPr>
      </w:pPr>
      <w:r w:rsidRPr="000256E3">
        <w:rPr>
          <w:rFonts w:ascii="Times New Roman" w:hAnsi="Times New Roman"/>
          <w:sz w:val="20"/>
          <w:szCs w:val="20"/>
        </w:rPr>
        <w:t>Fig.9 F</w:t>
      </w:r>
      <w:r w:rsidRPr="000256E3">
        <w:rPr>
          <w:rFonts w:ascii="Times New Roman" w:hAnsi="Times New Roman"/>
          <w:sz w:val="20"/>
          <w:szCs w:val="20"/>
          <w:vertAlign w:val="subscript"/>
        </w:rPr>
        <w:t>R</w:t>
      </w:r>
      <w:r w:rsidRPr="000256E3">
        <w:rPr>
          <w:rFonts w:ascii="Times New Roman" w:hAnsi="Times New Roman"/>
          <w:sz w:val="20"/>
          <w:szCs w:val="20"/>
        </w:rPr>
        <w:t xml:space="preserve"> when emulsions with different surfactant concentrations flow through 40mD core</w:t>
      </w:r>
    </w:p>
    <w:p w:rsidR="00B67615" w:rsidRDefault="00B67615" w:rsidP="00B67615">
      <w:pPr>
        <w:jc w:val="center"/>
      </w:pPr>
      <w:r w:rsidRPr="000256E3">
        <w:rPr>
          <w:rFonts w:ascii="Times New Roman" w:hAnsi="Times New Roman"/>
          <w:noProof/>
        </w:rPr>
        <w:drawing>
          <wp:inline distT="0" distB="0" distL="0" distR="0" wp14:anchorId="50BB6439" wp14:editId="4000CCED">
            <wp:extent cx="2622430" cy="1439545"/>
            <wp:effectExtent l="0" t="0" r="6985" b="0"/>
            <wp:docPr id="19" name="图表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67615" w:rsidRDefault="00B67615" w:rsidP="00B67615">
      <w:pPr>
        <w:spacing w:line="260" w:lineRule="atLeast"/>
        <w:ind w:firstLineChars="200" w:firstLine="400"/>
        <w:jc w:val="center"/>
        <w:rPr>
          <w:rFonts w:ascii="Times New Roman" w:hAnsi="Times New Roman"/>
          <w:color w:val="000000"/>
          <w:sz w:val="20"/>
          <w:szCs w:val="20"/>
        </w:rPr>
      </w:pPr>
      <w:r w:rsidRPr="000256E3">
        <w:rPr>
          <w:rFonts w:ascii="Times New Roman" w:hAnsi="Times New Roman"/>
          <w:sz w:val="20"/>
          <w:szCs w:val="20"/>
        </w:rPr>
        <w:lastRenderedPageBreak/>
        <w:t>Fig.10 F</w:t>
      </w:r>
      <w:r w:rsidRPr="000256E3">
        <w:rPr>
          <w:rFonts w:ascii="Times New Roman" w:hAnsi="Times New Roman"/>
          <w:sz w:val="20"/>
          <w:szCs w:val="20"/>
          <w:vertAlign w:val="subscript"/>
        </w:rPr>
        <w:t>R</w:t>
      </w:r>
      <w:r w:rsidRPr="000256E3">
        <w:rPr>
          <w:rFonts w:ascii="Times New Roman" w:hAnsi="Times New Roman"/>
          <w:sz w:val="20"/>
          <w:szCs w:val="20"/>
        </w:rPr>
        <w:t xml:space="preserve"> when emulsions with different surfactant concentrations flow through 60mD core</w:t>
      </w:r>
    </w:p>
    <w:p w:rsidR="00B67615" w:rsidRDefault="00B67615" w:rsidP="00B67615">
      <w:pPr>
        <w:jc w:val="center"/>
      </w:pPr>
      <w:r w:rsidRPr="000256E3">
        <w:rPr>
          <w:rFonts w:ascii="Times New Roman" w:hAnsi="Times New Roman"/>
          <w:noProof/>
        </w:rPr>
        <w:drawing>
          <wp:inline distT="0" distB="0" distL="0" distR="0" wp14:anchorId="79C2815A" wp14:editId="35E9510F">
            <wp:extent cx="2622431" cy="1439545"/>
            <wp:effectExtent l="0" t="0" r="6985" b="0"/>
            <wp:docPr id="20" name="图表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67615" w:rsidRPr="000256E3" w:rsidRDefault="00B67615" w:rsidP="00B67615">
      <w:pPr>
        <w:spacing w:line="260" w:lineRule="atLeast"/>
        <w:ind w:firstLineChars="200" w:firstLine="400"/>
        <w:jc w:val="center"/>
        <w:rPr>
          <w:rFonts w:ascii="Times New Roman" w:hAnsi="Times New Roman"/>
          <w:sz w:val="20"/>
          <w:szCs w:val="20"/>
        </w:rPr>
      </w:pPr>
      <w:r w:rsidRPr="000256E3">
        <w:rPr>
          <w:rFonts w:ascii="Times New Roman" w:hAnsi="Times New Roman"/>
          <w:sz w:val="20"/>
          <w:szCs w:val="20"/>
        </w:rPr>
        <w:t>Fig.11 F</w:t>
      </w:r>
      <w:r w:rsidRPr="000256E3">
        <w:rPr>
          <w:rFonts w:ascii="Times New Roman" w:hAnsi="Times New Roman"/>
          <w:sz w:val="20"/>
          <w:szCs w:val="20"/>
          <w:vertAlign w:val="subscript"/>
        </w:rPr>
        <w:t>R</w:t>
      </w:r>
      <w:r w:rsidRPr="000256E3">
        <w:rPr>
          <w:rFonts w:ascii="Times New Roman" w:hAnsi="Times New Roman"/>
          <w:sz w:val="20"/>
          <w:szCs w:val="20"/>
        </w:rPr>
        <w:t xml:space="preserve"> when emulsions with different surfactant concentrations flow through 80mD core</w:t>
      </w:r>
    </w:p>
    <w:p w:rsidR="00B67615" w:rsidRPr="009C12D4" w:rsidRDefault="00B67615" w:rsidP="00B67615">
      <w:r w:rsidRPr="000256E3">
        <w:rPr>
          <w:rFonts w:ascii="Times New Roman" w:hAnsi="Times New Roman"/>
          <w:noProof/>
        </w:rPr>
        <w:drawing>
          <wp:inline distT="0" distB="0" distL="0" distR="0" wp14:anchorId="1DCB3BF8" wp14:editId="18C84CDF">
            <wp:extent cx="5274310" cy="1156983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205" w:rsidRDefault="00B67615" w:rsidP="00B67615">
      <w:pPr>
        <w:jc w:val="center"/>
        <w:rPr>
          <w:rFonts w:ascii="Times New Roman" w:eastAsiaTheme="minorEastAsia" w:hAnsi="Times New Roman"/>
          <w:sz w:val="20"/>
          <w:szCs w:val="20"/>
        </w:rPr>
      </w:pPr>
      <w:r w:rsidRPr="000256E3">
        <w:rPr>
          <w:rFonts w:ascii="Times New Roman" w:eastAsiaTheme="minorEastAsia" w:hAnsi="Times New Roman"/>
          <w:sz w:val="20"/>
          <w:szCs w:val="20"/>
        </w:rPr>
        <w:t>Fig.12 Profile control enficacy when the permeability contrast is 1.5</w:t>
      </w:r>
    </w:p>
    <w:p w:rsidR="00B67615" w:rsidRPr="000256E3" w:rsidRDefault="00B67615" w:rsidP="00B67615">
      <w:pPr>
        <w:spacing w:line="260" w:lineRule="atLeast"/>
        <w:jc w:val="center"/>
        <w:rPr>
          <w:rFonts w:ascii="Times New Roman" w:eastAsia="黑体" w:hAnsi="Times New Roman"/>
          <w:szCs w:val="21"/>
        </w:rPr>
      </w:pPr>
      <w:r w:rsidRPr="000256E3">
        <w:rPr>
          <w:rFonts w:ascii="Times New Roman" w:hAnsi="Times New Roman"/>
          <w:noProof/>
        </w:rPr>
        <w:drawing>
          <wp:inline distT="0" distB="0" distL="0" distR="0" wp14:anchorId="093E3714" wp14:editId="32D3B370">
            <wp:extent cx="5304052" cy="1155352"/>
            <wp:effectExtent l="0" t="0" r="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60171" cy="116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615" w:rsidRPr="00B67615" w:rsidRDefault="00B67615" w:rsidP="00B67615">
      <w:pPr>
        <w:jc w:val="center"/>
      </w:pPr>
      <w:bookmarkStart w:id="0" w:name="_GoBack"/>
      <w:bookmarkEnd w:id="0"/>
      <w:r w:rsidRPr="000256E3">
        <w:rPr>
          <w:rFonts w:ascii="Times New Roman" w:eastAsiaTheme="minorEastAsia" w:hAnsi="Times New Roman"/>
          <w:sz w:val="20"/>
          <w:szCs w:val="20"/>
        </w:rPr>
        <w:t>Fig.13 Profile control enficacy when the permeability contrast is 4</w:t>
      </w:r>
    </w:p>
    <w:sectPr w:rsidR="00B67615" w:rsidRPr="00B676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615"/>
    <w:rsid w:val="00353CEE"/>
    <w:rsid w:val="009618F6"/>
    <w:rsid w:val="00B67615"/>
    <w:rsid w:val="00F56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A777F2-10FB-4935-B659-A193EB1A1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7615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hart" Target="charts/chart5.xml"/><Relationship Id="rId17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chart" Target="charts/chart9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hart" Target="charts/chart4.xml"/><Relationship Id="rId5" Type="http://schemas.openxmlformats.org/officeDocument/2006/relationships/image" Target="media/image2.png"/><Relationship Id="rId15" Type="http://schemas.openxmlformats.org/officeDocument/2006/relationships/chart" Target="charts/chart8.xml"/><Relationship Id="rId10" Type="http://schemas.openxmlformats.org/officeDocument/2006/relationships/chart" Target="charts/chart3.xml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chart" Target="charts/chart2.xml"/><Relationship Id="rId14" Type="http://schemas.openxmlformats.org/officeDocument/2006/relationships/chart" Target="charts/chart7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20219;&#21153;\&#19968;&#21378;&#39033;&#30446;\&#39564;&#25910;&#27719;&#25253;\&#31532;&#20108;&#37096;&#20998;&#26354;&#32447;&#65288;&#33521;&#25991;&#29256;&#65289;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20219;&#21153;\&#19968;&#21378;&#39033;&#30446;\&#39564;&#25910;&#27719;&#25253;\&#31532;&#20108;&#37096;&#20998;&#26354;&#32447;&#65288;&#33521;&#25991;&#29256;&#65289;.xlsx" TargetMode="External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20219;&#21153;\&#19968;&#21378;&#39033;&#30446;\&#39564;&#25910;&#27719;&#25253;\&#31532;&#20108;&#37096;&#20998;&#26354;&#32447;&#65288;&#33521;&#25991;&#29256;&#65289;.xlsx" TargetMode="External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20219;&#21153;\&#19968;&#21378;&#39033;&#30446;\&#39564;&#25910;&#27719;&#25253;\&#31532;&#20108;&#37096;&#20998;&#26354;&#32447;&#65288;&#33521;&#25991;&#29256;&#65289;.xlsx" TargetMode="External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20219;&#21153;\&#19968;&#21378;&#39033;&#30446;\&#39564;&#25910;&#27719;&#25253;\&#31532;&#20108;&#37096;&#20998;&#26354;&#32447;&#65288;&#33521;&#25991;&#29256;&#65289;.xlsx" TargetMode="External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20219;&#21153;\&#19968;&#21378;&#39033;&#30446;\&#39564;&#25910;&#27719;&#25253;\&#31532;&#20108;&#37096;&#20998;&#26354;&#32447;&#65288;&#33521;&#25991;&#29256;&#65289;.xlsx" TargetMode="External"/><Relationship Id="rId1" Type="http://schemas.openxmlformats.org/officeDocument/2006/relationships/themeOverride" Target="../theme/themeOverride5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20219;&#21153;\&#19968;&#21378;&#39033;&#30446;\&#39564;&#25910;&#27719;&#25253;\&#31532;&#20108;&#37096;&#20998;&#26354;&#32447;&#65288;&#33521;&#25991;&#29256;&#65289;.xlsx" TargetMode="External"/><Relationship Id="rId1" Type="http://schemas.openxmlformats.org/officeDocument/2006/relationships/themeOverride" Target="../theme/themeOverride6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20219;&#21153;\&#19968;&#21378;&#39033;&#30446;\&#39564;&#25910;&#27719;&#25253;\&#31532;&#20108;&#37096;&#20998;&#26354;&#32447;&#65288;&#33521;&#25991;&#29256;&#65289;.xlsx" TargetMode="External"/><Relationship Id="rId1" Type="http://schemas.openxmlformats.org/officeDocument/2006/relationships/themeOverride" Target="../theme/themeOverride7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20219;&#21153;\&#19968;&#21378;&#39033;&#30446;\&#39564;&#25910;&#27719;&#25253;\&#31532;&#20108;&#37096;&#20998;&#26354;&#32447;&#65288;&#33521;&#25991;&#29256;&#65289;.xlsx" TargetMode="External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854089867979985"/>
          <c:y val="2.5860965776123158E-2"/>
          <c:w val="0.78152152329273461"/>
          <c:h val="0.70467134231171924"/>
        </c:manualLayout>
      </c:layout>
      <c:scatterChart>
        <c:scatterStyle val="smoothMarker"/>
        <c:varyColors val="0"/>
        <c:ser>
          <c:idx val="1"/>
          <c:order val="0"/>
          <c:tx>
            <c:v>2%</c:v>
          </c:tx>
          <c:spPr>
            <a:ln w="6350">
              <a:solidFill>
                <a:srgbClr val="000066"/>
              </a:solidFill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marker>
            <c:symbol val="triangle"/>
            <c:size val="5"/>
            <c:spPr>
              <a:solidFill>
                <a:srgbClr val="000066"/>
              </a:solidFill>
              <a:ln>
                <a:solidFill>
                  <a:srgbClr val="000066"/>
                </a:solidFill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</c:marker>
          <c:xVal>
            <c:numRef>
              <c:f>粘度!$B$2:$B$6</c:f>
              <c:numCache>
                <c:formatCode>General</c:formatCode>
                <c:ptCount val="5"/>
                <c:pt idx="0">
                  <c:v>30</c:v>
                </c:pt>
                <c:pt idx="1">
                  <c:v>40</c:v>
                </c:pt>
                <c:pt idx="2">
                  <c:v>50</c:v>
                </c:pt>
                <c:pt idx="3">
                  <c:v>60</c:v>
                </c:pt>
                <c:pt idx="4">
                  <c:v>70</c:v>
                </c:pt>
              </c:numCache>
            </c:numRef>
          </c:xVal>
          <c:yVal>
            <c:numRef>
              <c:f>粘度!$C$2:$C$6</c:f>
              <c:numCache>
                <c:formatCode>General</c:formatCode>
                <c:ptCount val="5"/>
                <c:pt idx="0">
                  <c:v>6.7</c:v>
                </c:pt>
                <c:pt idx="1">
                  <c:v>14.3</c:v>
                </c:pt>
                <c:pt idx="2">
                  <c:v>20.8</c:v>
                </c:pt>
                <c:pt idx="3">
                  <c:v>16.100000000000001</c:v>
                </c:pt>
                <c:pt idx="4">
                  <c:v>6</c:v>
                </c:pt>
              </c:numCache>
            </c:numRef>
          </c:yVal>
          <c:smooth val="1"/>
        </c:ser>
        <c:ser>
          <c:idx val="0"/>
          <c:order val="1"/>
          <c:tx>
            <c:v>1.50%</c:v>
          </c:tx>
          <c:spPr>
            <a:ln w="6350">
              <a:solidFill>
                <a:srgbClr val="A50021"/>
              </a:solidFill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marker>
            <c:symbol val="triangle"/>
            <c:size val="5"/>
            <c:spPr>
              <a:solidFill>
                <a:srgbClr val="A50021"/>
              </a:solidFill>
              <a:ln>
                <a:solidFill>
                  <a:srgbClr val="A50021"/>
                </a:solidFill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</c:marker>
          <c:xVal>
            <c:numRef>
              <c:f>粘度!$B$10:$B$14</c:f>
              <c:numCache>
                <c:formatCode>General</c:formatCode>
                <c:ptCount val="5"/>
                <c:pt idx="0">
                  <c:v>30</c:v>
                </c:pt>
                <c:pt idx="1">
                  <c:v>40</c:v>
                </c:pt>
                <c:pt idx="2">
                  <c:v>50</c:v>
                </c:pt>
                <c:pt idx="3">
                  <c:v>60</c:v>
                </c:pt>
                <c:pt idx="4">
                  <c:v>70</c:v>
                </c:pt>
              </c:numCache>
            </c:numRef>
          </c:xVal>
          <c:yVal>
            <c:numRef>
              <c:f>粘度!$C$10:$C$14</c:f>
              <c:numCache>
                <c:formatCode>General</c:formatCode>
                <c:ptCount val="5"/>
                <c:pt idx="0">
                  <c:v>4.3</c:v>
                </c:pt>
                <c:pt idx="1">
                  <c:v>8.4</c:v>
                </c:pt>
                <c:pt idx="2">
                  <c:v>12.8</c:v>
                </c:pt>
                <c:pt idx="3">
                  <c:v>8.6</c:v>
                </c:pt>
                <c:pt idx="4">
                  <c:v>3.1</c:v>
                </c:pt>
              </c:numCache>
            </c:numRef>
          </c:yVal>
          <c:smooth val="1"/>
        </c:ser>
        <c:ser>
          <c:idx val="2"/>
          <c:order val="2"/>
          <c:tx>
            <c:v>1%</c:v>
          </c:tx>
          <c:spPr>
            <a:ln w="6350">
              <a:solidFill>
                <a:srgbClr val="336600"/>
              </a:solidFill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marker>
            <c:symbol val="triangle"/>
            <c:size val="5"/>
            <c:spPr>
              <a:solidFill>
                <a:srgbClr val="336600"/>
              </a:solidFill>
              <a:ln>
                <a:solidFill>
                  <a:srgbClr val="336600"/>
                </a:solidFill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</c:marker>
          <c:xVal>
            <c:numRef>
              <c:f>粘度!$B$18:$B$22</c:f>
              <c:numCache>
                <c:formatCode>General</c:formatCode>
                <c:ptCount val="5"/>
                <c:pt idx="0">
                  <c:v>30</c:v>
                </c:pt>
                <c:pt idx="1">
                  <c:v>40</c:v>
                </c:pt>
                <c:pt idx="2">
                  <c:v>50</c:v>
                </c:pt>
                <c:pt idx="3">
                  <c:v>60</c:v>
                </c:pt>
                <c:pt idx="4">
                  <c:v>70</c:v>
                </c:pt>
              </c:numCache>
            </c:numRef>
          </c:xVal>
          <c:yVal>
            <c:numRef>
              <c:f>粘度!$C$18:$C$22</c:f>
              <c:numCache>
                <c:formatCode>General</c:formatCode>
                <c:ptCount val="5"/>
                <c:pt idx="0">
                  <c:v>3</c:v>
                </c:pt>
                <c:pt idx="1">
                  <c:v>4.8</c:v>
                </c:pt>
                <c:pt idx="2">
                  <c:v>6</c:v>
                </c:pt>
                <c:pt idx="3">
                  <c:v>5.7</c:v>
                </c:pt>
                <c:pt idx="4">
                  <c:v>2.9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04402480"/>
        <c:axId val="704403264"/>
      </c:scatterChart>
      <c:valAx>
        <c:axId val="704402480"/>
        <c:scaling>
          <c:orientation val="minMax"/>
          <c:max val="80"/>
          <c:min val="20"/>
        </c:scaling>
        <c:delete val="0"/>
        <c:axPos val="b"/>
        <c:title>
          <c:tx>
            <c:rich>
              <a:bodyPr/>
              <a:lstStyle/>
              <a:p>
                <a:pPr>
                  <a:defRPr sz="800" b="0">
                    <a:latin typeface="Palatino Linotype" pitchFamily="18" charset="0"/>
                    <a:ea typeface="黑体" pitchFamily="49" charset="-122"/>
                    <a:cs typeface="Times New Roman" pitchFamily="18" charset="0"/>
                  </a:defRPr>
                </a:pPr>
                <a:r>
                  <a:rPr lang="en-US" altLang="zh-CN" sz="800" b="0">
                    <a:latin typeface="Palatino Linotype" pitchFamily="18" charset="0"/>
                    <a:ea typeface="+mj-ea"/>
                    <a:cs typeface="Times New Roman" pitchFamily="18" charset="0"/>
                  </a:rPr>
                  <a:t>Water cut</a:t>
                </a:r>
                <a:r>
                  <a:rPr lang="en-US" altLang="zh-CN" sz="800" b="0">
                    <a:latin typeface="Palatino Linotype" pitchFamily="18" charset="0"/>
                    <a:ea typeface="黑体" pitchFamily="49" charset="-122"/>
                    <a:cs typeface="Times New Roman" pitchFamily="18" charset="0"/>
                  </a:rPr>
                  <a:t>(%)</a:t>
                </a:r>
                <a:endParaRPr lang="zh-CN" altLang="en-US" sz="800" b="0">
                  <a:latin typeface="Palatino Linotype" pitchFamily="18" charset="0"/>
                  <a:ea typeface="黑体" pitchFamily="49" charset="-122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0.43044422817934275"/>
              <c:y val="0.87829709965499592"/>
            </c:manualLayout>
          </c:layout>
          <c:overlay val="0"/>
          <c:spPr>
            <a:noFill/>
          </c:spPr>
        </c:title>
        <c:numFmt formatCode="General" sourceLinked="1"/>
        <c:majorTickMark val="in"/>
        <c:minorTickMark val="none"/>
        <c:tickLblPos val="nextTo"/>
        <c:spPr>
          <a:ln w="6350">
            <a:solidFill>
              <a:schemeClr val="tx1"/>
            </a:solidFill>
          </a:ln>
        </c:spPr>
        <c:txPr>
          <a:bodyPr/>
          <a:lstStyle/>
          <a:p>
            <a:pPr>
              <a:defRPr sz="800">
                <a:latin typeface="Palatino Linotype" pitchFamily="18" charset="0"/>
                <a:cs typeface="Times New Roman" pitchFamily="18" charset="0"/>
              </a:defRPr>
            </a:pPr>
            <a:endParaRPr lang="zh-CN"/>
          </a:p>
        </c:txPr>
        <c:crossAx val="704403264"/>
        <c:crosses val="autoZero"/>
        <c:crossBetween val="midCat"/>
        <c:majorUnit val="20"/>
      </c:valAx>
      <c:valAx>
        <c:axId val="704403264"/>
        <c:scaling>
          <c:orientation val="minMax"/>
          <c:max val="25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800" b="0">
                    <a:solidFill>
                      <a:schemeClr val="tx1"/>
                    </a:solidFill>
                    <a:latin typeface="Palatino Linotype" pitchFamily="18" charset="0"/>
                    <a:ea typeface="黑体" pitchFamily="49" charset="-122"/>
                    <a:cs typeface="Times New Roman" pitchFamily="18" charset="0"/>
                  </a:defRPr>
                </a:pPr>
                <a:r>
                  <a:rPr lang="en-US" altLang="zh-CN" sz="800" b="0">
                    <a:solidFill>
                      <a:schemeClr val="tx1"/>
                    </a:solidFill>
                    <a:latin typeface="Palatino Linotype" pitchFamily="18" charset="0"/>
                    <a:ea typeface="+mj-ea"/>
                    <a:cs typeface="Times New Roman" pitchFamily="18" charset="0"/>
                  </a:rPr>
                  <a:t>Viscosity</a:t>
                </a:r>
                <a:r>
                  <a:rPr lang="en-US" altLang="zh-CN" sz="800" b="0">
                    <a:solidFill>
                      <a:schemeClr val="tx1"/>
                    </a:solidFill>
                    <a:latin typeface="Palatino Linotype" pitchFamily="18" charset="0"/>
                    <a:ea typeface="黑体" pitchFamily="49" charset="-122"/>
                    <a:cs typeface="Times New Roman" pitchFamily="18" charset="0"/>
                  </a:rPr>
                  <a:t>(mPa·s)</a:t>
                </a:r>
                <a:endParaRPr lang="zh-CN" altLang="en-US" sz="800" b="0">
                  <a:solidFill>
                    <a:schemeClr val="tx1"/>
                  </a:solidFill>
                  <a:latin typeface="Palatino Linotype" pitchFamily="18" charset="0"/>
                  <a:ea typeface="黑体" pitchFamily="49" charset="-122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1.6341777502531284E-3"/>
              <c:y val="0.13880928818323937"/>
            </c:manualLayout>
          </c:layout>
          <c:overlay val="0"/>
          <c:spPr>
            <a:noFill/>
          </c:spPr>
        </c:title>
        <c:numFmt formatCode="General" sourceLinked="1"/>
        <c:majorTickMark val="in"/>
        <c:minorTickMark val="none"/>
        <c:tickLblPos val="nextTo"/>
        <c:spPr>
          <a:ln w="6350">
            <a:solidFill>
              <a:schemeClr val="tx1"/>
            </a:solidFill>
          </a:ln>
        </c:spPr>
        <c:txPr>
          <a:bodyPr/>
          <a:lstStyle/>
          <a:p>
            <a:pPr>
              <a:defRPr sz="800">
                <a:latin typeface="Palatino Linotype" pitchFamily="18" charset="0"/>
                <a:cs typeface="Times New Roman" pitchFamily="18" charset="0"/>
              </a:defRPr>
            </a:pPr>
            <a:endParaRPr lang="zh-CN"/>
          </a:p>
        </c:txPr>
        <c:crossAx val="704402480"/>
        <c:crosses val="autoZero"/>
        <c:crossBetween val="midCat"/>
        <c:majorUnit val="5"/>
      </c:valAx>
      <c:spPr>
        <a:noFill/>
        <a:ln w="6350">
          <a:solidFill>
            <a:schemeClr val="tx1"/>
          </a:solidFill>
        </a:ln>
      </c:spPr>
    </c:plotArea>
    <c:legend>
      <c:legendPos val="t"/>
      <c:layout>
        <c:manualLayout>
          <c:xMode val="edge"/>
          <c:yMode val="edge"/>
          <c:x val="0.19608245598513671"/>
          <c:y val="7.320368588686009E-2"/>
          <c:w val="0.7112843336054564"/>
          <c:h val="6.1603413317411163E-2"/>
        </c:manualLayout>
      </c:layout>
      <c:overlay val="0"/>
      <c:txPr>
        <a:bodyPr/>
        <a:lstStyle/>
        <a:p>
          <a:pPr>
            <a:defRPr sz="800">
              <a:latin typeface="Palatino Linotype" panose="0204050205050503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9856409900250896"/>
          <c:y val="2.6020558002936858E-2"/>
          <c:w val="0.75733446770090895"/>
          <c:h val="0.83559332616462589"/>
        </c:manualLayout>
      </c:layout>
      <c:scatterChart>
        <c:scatterStyle val="lineMarker"/>
        <c:varyColors val="0"/>
        <c:ser>
          <c:idx val="0"/>
          <c:order val="0"/>
          <c:tx>
            <c:v>Water cut 70%</c:v>
          </c:tx>
          <c:spPr>
            <a:ln w="12700">
              <a:noFill/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marker>
            <c:symbol val="triangle"/>
            <c:size val="5"/>
            <c:spPr>
              <a:solidFill>
                <a:srgbClr val="000066"/>
              </a:solidFill>
              <a:ln w="12700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</c:marker>
          <c:xVal>
            <c:numRef>
              <c:f>不同含水率!$A$11:$A$31</c:f>
              <c:numCache>
                <c:formatCode>0.0000_);[Red]\(0.0000\)</c:formatCode>
                <c:ptCount val="21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  <c:pt idx="6">
                  <c:v>3</c:v>
                </c:pt>
                <c:pt idx="7">
                  <c:v>3.5</c:v>
                </c:pt>
                <c:pt idx="8">
                  <c:v>4</c:v>
                </c:pt>
                <c:pt idx="9">
                  <c:v>4.5</c:v>
                </c:pt>
                <c:pt idx="10">
                  <c:v>5</c:v>
                </c:pt>
                <c:pt idx="11">
                  <c:v>5.5</c:v>
                </c:pt>
                <c:pt idx="12">
                  <c:v>6</c:v>
                </c:pt>
                <c:pt idx="13">
                  <c:v>6.5</c:v>
                </c:pt>
                <c:pt idx="14">
                  <c:v>7</c:v>
                </c:pt>
                <c:pt idx="15">
                  <c:v>7.5</c:v>
                </c:pt>
                <c:pt idx="16">
                  <c:v>8</c:v>
                </c:pt>
                <c:pt idx="17">
                  <c:v>8.5</c:v>
                </c:pt>
                <c:pt idx="18">
                  <c:v>9</c:v>
                </c:pt>
                <c:pt idx="19">
                  <c:v>9.5</c:v>
                </c:pt>
                <c:pt idx="20">
                  <c:v>10</c:v>
                </c:pt>
              </c:numCache>
            </c:numRef>
          </c:xVal>
          <c:yVal>
            <c:numRef>
              <c:f>不同含水率!$P$11:$P$30</c:f>
              <c:numCache>
                <c:formatCode>0.0000_);[Red]\(0.0000\)</c:formatCode>
                <c:ptCount val="20"/>
                <c:pt idx="0">
                  <c:v>1</c:v>
                </c:pt>
                <c:pt idx="1">
                  <c:v>5.4761904761904763</c:v>
                </c:pt>
                <c:pt idx="2">
                  <c:v>13.928571428571431</c:v>
                </c:pt>
                <c:pt idx="3">
                  <c:v>20.452380952380956</c:v>
                </c:pt>
                <c:pt idx="4">
                  <c:v>26.19047619047619</c:v>
                </c:pt>
                <c:pt idx="5">
                  <c:v>31.047619047619047</c:v>
                </c:pt>
                <c:pt idx="6">
                  <c:v>35.857142857142861</c:v>
                </c:pt>
                <c:pt idx="7">
                  <c:v>39.501582356722622</c:v>
                </c:pt>
                <c:pt idx="8">
                  <c:v>42.424219947584525</c:v>
                </c:pt>
                <c:pt idx="9">
                  <c:v>44.297599268159999</c:v>
                </c:pt>
                <c:pt idx="10">
                  <c:v>46.91383573159262</c:v>
                </c:pt>
                <c:pt idx="11">
                  <c:v>49.764753102902624</c:v>
                </c:pt>
                <c:pt idx="12">
                  <c:v>50.107056321976195</c:v>
                </c:pt>
                <c:pt idx="13">
                  <c:v>50.73159274093809</c:v>
                </c:pt>
                <c:pt idx="14">
                  <c:v>50.774019680561196</c:v>
                </c:pt>
                <c:pt idx="15">
                  <c:v>50.833333333333329</c:v>
                </c:pt>
                <c:pt idx="16">
                  <c:v>41.357142857142854</c:v>
                </c:pt>
                <c:pt idx="17">
                  <c:v>42.806062404192382</c:v>
                </c:pt>
                <c:pt idx="18">
                  <c:v>44.396108391434524</c:v>
                </c:pt>
                <c:pt idx="19">
                  <c:v>42.761904761904766</c:v>
                </c:pt>
              </c:numCache>
            </c:numRef>
          </c:yVal>
          <c:smooth val="0"/>
        </c:ser>
        <c:ser>
          <c:idx val="1"/>
          <c:order val="1"/>
          <c:tx>
            <c:v>Water cut 60%</c:v>
          </c:tx>
          <c:spPr>
            <a:ln w="12700">
              <a:noFill/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marker>
            <c:symbol val="triangle"/>
            <c:size val="5"/>
            <c:spPr>
              <a:solidFill>
                <a:srgbClr val="A50021"/>
              </a:solidFill>
              <a:ln w="12700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</c:marker>
          <c:xVal>
            <c:numRef>
              <c:f>不同含水率!$A$11:$A$31</c:f>
              <c:numCache>
                <c:formatCode>0.0000_);[Red]\(0.0000\)</c:formatCode>
                <c:ptCount val="21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  <c:pt idx="6">
                  <c:v>3</c:v>
                </c:pt>
                <c:pt idx="7">
                  <c:v>3.5</c:v>
                </c:pt>
                <c:pt idx="8">
                  <c:v>4</c:v>
                </c:pt>
                <c:pt idx="9">
                  <c:v>4.5</c:v>
                </c:pt>
                <c:pt idx="10">
                  <c:v>5</c:v>
                </c:pt>
                <c:pt idx="11">
                  <c:v>5.5</c:v>
                </c:pt>
                <c:pt idx="12">
                  <c:v>6</c:v>
                </c:pt>
                <c:pt idx="13">
                  <c:v>6.5</c:v>
                </c:pt>
                <c:pt idx="14">
                  <c:v>7</c:v>
                </c:pt>
                <c:pt idx="15">
                  <c:v>7.5</c:v>
                </c:pt>
                <c:pt idx="16">
                  <c:v>8</c:v>
                </c:pt>
                <c:pt idx="17">
                  <c:v>8.5</c:v>
                </c:pt>
                <c:pt idx="18">
                  <c:v>9</c:v>
                </c:pt>
                <c:pt idx="19">
                  <c:v>9.5</c:v>
                </c:pt>
                <c:pt idx="20">
                  <c:v>10</c:v>
                </c:pt>
              </c:numCache>
            </c:numRef>
          </c:xVal>
          <c:yVal>
            <c:numRef>
              <c:f>不同含水率!$G$11:$G$31</c:f>
              <c:numCache>
                <c:formatCode>0.0000_);[Red]\(0.0000\)</c:formatCode>
                <c:ptCount val="21"/>
                <c:pt idx="0">
                  <c:v>1</c:v>
                </c:pt>
                <c:pt idx="1">
                  <c:v>13.80952380952381</c:v>
                </c:pt>
                <c:pt idx="2">
                  <c:v>24.404761904761905</c:v>
                </c:pt>
                <c:pt idx="3">
                  <c:v>37.833333333333336</c:v>
                </c:pt>
                <c:pt idx="4">
                  <c:v>47.619047619047628</c:v>
                </c:pt>
                <c:pt idx="5">
                  <c:v>55.571428571428562</c:v>
                </c:pt>
                <c:pt idx="6">
                  <c:v>59.428571428571423</c:v>
                </c:pt>
                <c:pt idx="7">
                  <c:v>65.692058547198812</c:v>
                </c:pt>
                <c:pt idx="8">
                  <c:v>70.995648519013102</c:v>
                </c:pt>
                <c:pt idx="9">
                  <c:v>72.297599268159999</c:v>
                </c:pt>
                <c:pt idx="10">
                  <c:v>73.104311922068803</c:v>
                </c:pt>
                <c:pt idx="11">
                  <c:v>73.575310290263332</c:v>
                </c:pt>
                <c:pt idx="12">
                  <c:v>74.272610394102372</c:v>
                </c:pt>
                <c:pt idx="13">
                  <c:v>74.541116550461908</c:v>
                </c:pt>
                <c:pt idx="14">
                  <c:v>74.583543490084992</c:v>
                </c:pt>
                <c:pt idx="15">
                  <c:v>61.173589477327134</c:v>
                </c:pt>
                <c:pt idx="16">
                  <c:v>65.573159274093086</c:v>
                </c:pt>
                <c:pt idx="17">
                  <c:v>68.996538594668579</c:v>
                </c:pt>
                <c:pt idx="18">
                  <c:v>63.443727439053575</c:v>
                </c:pt>
                <c:pt idx="19">
                  <c:v>71.714285714285722</c:v>
                </c:pt>
                <c:pt idx="20">
                  <c:v>73.714285714285708</c:v>
                </c:pt>
              </c:numCache>
            </c:numRef>
          </c:yVal>
          <c:smooth val="0"/>
        </c:ser>
        <c:ser>
          <c:idx val="2"/>
          <c:order val="2"/>
          <c:tx>
            <c:v>Water cut 50%</c:v>
          </c:tx>
          <c:spPr>
            <a:ln w="12700">
              <a:noFill/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marker>
            <c:symbol val="triangle"/>
            <c:size val="5"/>
            <c:spPr>
              <a:solidFill>
                <a:srgbClr val="336600"/>
              </a:solidFill>
              <a:ln w="12700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</c:marker>
          <c:xVal>
            <c:numRef>
              <c:f>不同含水率!$A$11:$A$31</c:f>
              <c:numCache>
                <c:formatCode>0.0000_);[Red]\(0.0000\)</c:formatCode>
                <c:ptCount val="21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  <c:pt idx="6">
                  <c:v>3</c:v>
                </c:pt>
                <c:pt idx="7">
                  <c:v>3.5</c:v>
                </c:pt>
                <c:pt idx="8">
                  <c:v>4</c:v>
                </c:pt>
                <c:pt idx="9">
                  <c:v>4.5</c:v>
                </c:pt>
                <c:pt idx="10">
                  <c:v>5</c:v>
                </c:pt>
                <c:pt idx="11">
                  <c:v>5.5</c:v>
                </c:pt>
                <c:pt idx="12">
                  <c:v>6</c:v>
                </c:pt>
                <c:pt idx="13">
                  <c:v>6.5</c:v>
                </c:pt>
                <c:pt idx="14">
                  <c:v>7</c:v>
                </c:pt>
                <c:pt idx="15">
                  <c:v>7.5</c:v>
                </c:pt>
                <c:pt idx="16">
                  <c:v>8</c:v>
                </c:pt>
                <c:pt idx="17">
                  <c:v>8.5</c:v>
                </c:pt>
                <c:pt idx="18">
                  <c:v>9</c:v>
                </c:pt>
                <c:pt idx="19">
                  <c:v>9.5</c:v>
                </c:pt>
                <c:pt idx="20">
                  <c:v>10</c:v>
                </c:pt>
              </c:numCache>
            </c:numRef>
          </c:xVal>
          <c:yVal>
            <c:numRef>
              <c:f>不同含水率!$D$11:$D$31</c:f>
              <c:numCache>
                <c:formatCode>0.0000_);[Red]\(0.0000\)</c:formatCode>
                <c:ptCount val="21"/>
                <c:pt idx="0">
                  <c:v>0.99749999999999994</c:v>
                </c:pt>
                <c:pt idx="1">
                  <c:v>18.524999999999999</c:v>
                </c:pt>
                <c:pt idx="2">
                  <c:v>33.843750000000007</c:v>
                </c:pt>
                <c:pt idx="3">
                  <c:v>47.238749999999996</c:v>
                </c:pt>
                <c:pt idx="4">
                  <c:v>57</c:v>
                </c:pt>
                <c:pt idx="5">
                  <c:v>64.93249999999999</c:v>
                </c:pt>
                <c:pt idx="6">
                  <c:v>71.155000000000001</c:v>
                </c:pt>
                <c:pt idx="7">
                  <c:v>77.402828400830813</c:v>
                </c:pt>
                <c:pt idx="8">
                  <c:v>80.318159397715561</c:v>
                </c:pt>
                <c:pt idx="9">
                  <c:v>81.6168552699896</c:v>
                </c:pt>
                <c:pt idx="10">
                  <c:v>82.421551142263638</c:v>
                </c:pt>
                <c:pt idx="11">
                  <c:v>82.891372014537666</c:v>
                </c:pt>
                <c:pt idx="12">
                  <c:v>83.586928868117113</c:v>
                </c:pt>
                <c:pt idx="13">
                  <c:v>63.863749999999996</c:v>
                </c:pt>
                <c:pt idx="14">
                  <c:v>65.454999999999998</c:v>
                </c:pt>
                <c:pt idx="15">
                  <c:v>68.145655503633819</c:v>
                </c:pt>
                <c:pt idx="16">
                  <c:v>65.409226375907849</c:v>
                </c:pt>
                <c:pt idx="17">
                  <c:v>73.574047248181898</c:v>
                </c:pt>
                <c:pt idx="18">
                  <c:v>75.160118120455934</c:v>
                </c:pt>
                <c:pt idx="19">
                  <c:v>72.223749999999995</c:v>
                </c:pt>
                <c:pt idx="20">
                  <c:v>79.752499999999998</c:v>
                </c:pt>
              </c:numCache>
            </c:numRef>
          </c:yVal>
          <c:smooth val="0"/>
        </c:ser>
        <c:ser>
          <c:idx val="3"/>
          <c:order val="3"/>
          <c:tx>
            <c:v>Water cut 40%</c:v>
          </c:tx>
          <c:spPr>
            <a:ln w="6350">
              <a:noFill/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marker>
            <c:symbol val="triangle"/>
            <c:size val="5"/>
            <c:spPr>
              <a:solidFill>
                <a:srgbClr val="7030A0"/>
              </a:solidFill>
              <a:ln w="12700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</c:marker>
          <c:dPt>
            <c:idx val="8"/>
            <c:marker>
              <c:spPr>
                <a:solidFill>
                  <a:srgbClr val="6600CC"/>
                </a:solidFill>
                <a:ln w="12700">
                  <a:noFill/>
                </a:ln>
                <a:effectLst>
                  <a:outerShdw blurRad="50800" dist="38100" algn="l" rotWithShape="0">
                    <a:prstClr val="black">
                      <a:alpha val="40000"/>
                    </a:prstClr>
                  </a:outerShdw>
                </a:effectLst>
              </c:spPr>
            </c:marker>
            <c:bubble3D val="0"/>
          </c:dPt>
          <c:xVal>
            <c:numRef>
              <c:f>不同含水率!$A$11:$A$31</c:f>
              <c:numCache>
                <c:formatCode>0.0000_);[Red]\(0.0000\)</c:formatCode>
                <c:ptCount val="21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  <c:pt idx="6">
                  <c:v>3</c:v>
                </c:pt>
                <c:pt idx="7">
                  <c:v>3.5</c:v>
                </c:pt>
                <c:pt idx="8">
                  <c:v>4</c:v>
                </c:pt>
                <c:pt idx="9">
                  <c:v>4.5</c:v>
                </c:pt>
                <c:pt idx="10">
                  <c:v>5</c:v>
                </c:pt>
                <c:pt idx="11">
                  <c:v>5.5</c:v>
                </c:pt>
                <c:pt idx="12">
                  <c:v>6</c:v>
                </c:pt>
                <c:pt idx="13">
                  <c:v>6.5</c:v>
                </c:pt>
                <c:pt idx="14">
                  <c:v>7</c:v>
                </c:pt>
                <c:pt idx="15">
                  <c:v>7.5</c:v>
                </c:pt>
                <c:pt idx="16">
                  <c:v>8</c:v>
                </c:pt>
                <c:pt idx="17">
                  <c:v>8.5</c:v>
                </c:pt>
                <c:pt idx="18">
                  <c:v>9</c:v>
                </c:pt>
                <c:pt idx="19">
                  <c:v>9.5</c:v>
                </c:pt>
                <c:pt idx="20">
                  <c:v>10</c:v>
                </c:pt>
              </c:numCache>
            </c:numRef>
          </c:xVal>
          <c:yVal>
            <c:numRef>
              <c:f>不同含水率!$M$11:$M$31</c:f>
              <c:numCache>
                <c:formatCode>0.0000_);[Red]\(0.0000\)</c:formatCode>
                <c:ptCount val="21"/>
                <c:pt idx="0">
                  <c:v>1</c:v>
                </c:pt>
                <c:pt idx="1">
                  <c:v>23.809523809523814</c:v>
                </c:pt>
                <c:pt idx="2">
                  <c:v>45.476190476190474</c:v>
                </c:pt>
                <c:pt idx="3">
                  <c:v>61.19047619047619</c:v>
                </c:pt>
                <c:pt idx="4">
                  <c:v>71.428571428571416</c:v>
                </c:pt>
                <c:pt idx="5">
                  <c:v>82.142857142857139</c:v>
                </c:pt>
                <c:pt idx="6">
                  <c:v>89.999999999999986</c:v>
                </c:pt>
                <c:pt idx="7">
                  <c:v>91.882534737674987</c:v>
                </c:pt>
                <c:pt idx="8">
                  <c:v>93.138505661870241</c:v>
                </c:pt>
                <c:pt idx="9">
                  <c:v>93.728551649112376</c:v>
                </c:pt>
                <c:pt idx="10">
                  <c:v>94.270978588735474</c:v>
                </c:pt>
                <c:pt idx="11">
                  <c:v>94.452380952380949</c:v>
                </c:pt>
                <c:pt idx="12">
                  <c:v>63.935494239231893</c:v>
                </c:pt>
                <c:pt idx="13">
                  <c:v>61.430302131235962</c:v>
                </c:pt>
                <c:pt idx="14">
                  <c:v>58.44891954704952</c:v>
                </c:pt>
                <c:pt idx="15">
                  <c:v>65.705632200958334</c:v>
                </c:pt>
                <c:pt idx="16">
                  <c:v>67.904761904761912</c:v>
                </c:pt>
                <c:pt idx="17">
                  <c:v>78.309523809523824</c:v>
                </c:pt>
                <c:pt idx="18">
                  <c:v>75.38095238095238</c:v>
                </c:pt>
                <c:pt idx="19">
                  <c:v>80.071428571428569</c:v>
                </c:pt>
                <c:pt idx="20">
                  <c:v>85.61904761904762</c:v>
                </c:pt>
              </c:numCache>
            </c:numRef>
          </c:yVal>
          <c:smooth val="0"/>
        </c:ser>
        <c:ser>
          <c:idx val="4"/>
          <c:order val="4"/>
          <c:tx>
            <c:v>Water cut 30%</c:v>
          </c:tx>
          <c:spPr>
            <a:ln w="12700">
              <a:noFill/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marker>
            <c:symbol val="triangle"/>
            <c:size val="5"/>
            <c:spPr>
              <a:solidFill>
                <a:srgbClr val="CC00CC"/>
              </a:solidFill>
              <a:ln w="12700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</c:marker>
          <c:xVal>
            <c:numRef>
              <c:f>不同含水率!$A$11:$A$31</c:f>
              <c:numCache>
                <c:formatCode>0.0000_);[Red]\(0.0000\)</c:formatCode>
                <c:ptCount val="21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  <c:pt idx="6">
                  <c:v>3</c:v>
                </c:pt>
                <c:pt idx="7">
                  <c:v>3.5</c:v>
                </c:pt>
                <c:pt idx="8">
                  <c:v>4</c:v>
                </c:pt>
                <c:pt idx="9">
                  <c:v>4.5</c:v>
                </c:pt>
                <c:pt idx="10">
                  <c:v>5</c:v>
                </c:pt>
                <c:pt idx="11">
                  <c:v>5.5</c:v>
                </c:pt>
                <c:pt idx="12">
                  <c:v>6</c:v>
                </c:pt>
                <c:pt idx="13">
                  <c:v>6.5</c:v>
                </c:pt>
                <c:pt idx="14">
                  <c:v>7</c:v>
                </c:pt>
                <c:pt idx="15">
                  <c:v>7.5</c:v>
                </c:pt>
                <c:pt idx="16">
                  <c:v>8</c:v>
                </c:pt>
                <c:pt idx="17">
                  <c:v>8.5</c:v>
                </c:pt>
                <c:pt idx="18">
                  <c:v>9</c:v>
                </c:pt>
                <c:pt idx="19">
                  <c:v>9.5</c:v>
                </c:pt>
                <c:pt idx="20">
                  <c:v>10</c:v>
                </c:pt>
              </c:numCache>
            </c:numRef>
          </c:xVal>
          <c:yVal>
            <c:numRef>
              <c:f>不同含水率!$J$11:$J$31</c:f>
              <c:numCache>
                <c:formatCode>0.0000_);[Red]\(0.0000\)</c:formatCode>
                <c:ptCount val="21"/>
                <c:pt idx="0">
                  <c:v>0.3</c:v>
                </c:pt>
                <c:pt idx="1">
                  <c:v>7.1190476190476186</c:v>
                </c:pt>
                <c:pt idx="2">
                  <c:v>18.107142857142861</c:v>
                </c:pt>
                <c:pt idx="3">
                  <c:v>26.588095238095242</c:v>
                </c:pt>
                <c:pt idx="4">
                  <c:v>34.047619047619044</c:v>
                </c:pt>
                <c:pt idx="5">
                  <c:v>40.361904761904761</c:v>
                </c:pt>
                <c:pt idx="6">
                  <c:v>46.614285714285721</c:v>
                </c:pt>
                <c:pt idx="7">
                  <c:v>51.352057063739409</c:v>
                </c:pt>
                <c:pt idx="8">
                  <c:v>55.151485931859881</c:v>
                </c:pt>
                <c:pt idx="9">
                  <c:v>57.586879048607997</c:v>
                </c:pt>
                <c:pt idx="10">
                  <c:v>60.987986451070405</c:v>
                </c:pt>
                <c:pt idx="11">
                  <c:v>64.694179033773409</c:v>
                </c:pt>
                <c:pt idx="12">
                  <c:v>65.139173218569056</c:v>
                </c:pt>
                <c:pt idx="13">
                  <c:v>65.951070563219517</c:v>
                </c:pt>
                <c:pt idx="14">
                  <c:v>66.006225584729549</c:v>
                </c:pt>
                <c:pt idx="15">
                  <c:v>66.083333333333329</c:v>
                </c:pt>
                <c:pt idx="16">
                  <c:v>53.764285714285712</c:v>
                </c:pt>
                <c:pt idx="17">
                  <c:v>55.647881125450098</c:v>
                </c:pt>
                <c:pt idx="18">
                  <c:v>57.714940908864882</c:v>
                </c:pt>
                <c:pt idx="19">
                  <c:v>55.590476190476195</c:v>
                </c:pt>
                <c:pt idx="20">
                  <c:v>59.180952380952384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23086208"/>
        <c:axId val="623085816"/>
      </c:scatterChart>
      <c:valAx>
        <c:axId val="623086208"/>
        <c:scaling>
          <c:orientation val="minMax"/>
          <c:max val="10"/>
        </c:scaling>
        <c:delete val="0"/>
        <c:axPos val="b"/>
        <c:title>
          <c:tx>
            <c:rich>
              <a:bodyPr/>
              <a:lstStyle/>
              <a:p>
                <a:pPr>
                  <a:defRPr sz="800" baseline="0">
                    <a:latin typeface="Palatino Linotype" pitchFamily="18" charset="0"/>
                    <a:ea typeface="宋体" pitchFamily="2" charset="-122"/>
                  </a:defRPr>
                </a:pPr>
                <a:r>
                  <a:rPr lang="en-US" altLang="zh-CN" sz="800" b="0" baseline="0" dirty="0">
                    <a:latin typeface="Palatino Linotype" pitchFamily="18" charset="0"/>
                    <a:ea typeface="宋体" pitchFamily="2" charset="-122"/>
                    <a:cs typeface="Times New Roman" pitchFamily="18" charset="0"/>
                  </a:rPr>
                  <a:t>PV</a:t>
                </a:r>
                <a:endParaRPr lang="zh-CN" altLang="en-US" sz="800" b="0" baseline="0" dirty="0">
                  <a:latin typeface="Palatino Linotype" pitchFamily="18" charset="0"/>
                  <a:ea typeface="宋体" pitchFamily="2" charset="-122"/>
                </a:endParaRPr>
              </a:p>
            </c:rich>
          </c:tx>
          <c:layout>
            <c:manualLayout>
              <c:xMode val="edge"/>
              <c:yMode val="edge"/>
              <c:x val="0.54960942451102102"/>
              <c:y val="0.87829696188726303"/>
            </c:manualLayout>
          </c:layout>
          <c:overlay val="0"/>
        </c:title>
        <c:numFmt formatCode="General" sourceLinked="0"/>
        <c:majorTickMark val="in"/>
        <c:minorTickMark val="none"/>
        <c:tickLblPos val="nextTo"/>
        <c:spPr>
          <a:ln w="3175">
            <a:solidFill>
              <a:sysClr val="windowText" lastClr="000000"/>
            </a:solidFill>
          </a:ln>
        </c:spPr>
        <c:txPr>
          <a:bodyPr/>
          <a:lstStyle/>
          <a:p>
            <a:pPr>
              <a:defRPr sz="800">
                <a:latin typeface="Palatino Linotype" pitchFamily="18" charset="0"/>
                <a:cs typeface="Times New Roman" pitchFamily="18" charset="0"/>
              </a:defRPr>
            </a:pPr>
            <a:endParaRPr lang="zh-CN"/>
          </a:p>
        </c:txPr>
        <c:crossAx val="623085816"/>
        <c:crosses val="autoZero"/>
        <c:crossBetween val="midCat"/>
        <c:majorUnit val="2"/>
      </c:valAx>
      <c:valAx>
        <c:axId val="623085816"/>
        <c:scaling>
          <c:orientation val="minMax"/>
          <c:max val="10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800" b="0" baseline="0">
                    <a:latin typeface="Palatino Linotype" pitchFamily="18" charset="0"/>
                    <a:ea typeface="宋体" pitchFamily="2" charset="-122"/>
                    <a:cs typeface="Times New Roman" pitchFamily="18" charset="0"/>
                  </a:defRPr>
                </a:pPr>
                <a:r>
                  <a:rPr lang="en-US" altLang="zh-CN" sz="800" b="0" i="0" u="none" strike="noStrike" baseline="0">
                    <a:effectLst/>
                    <a:latin typeface="Palatino Linotype" pitchFamily="18" charset="0"/>
                    <a:cs typeface="Times New Roman" pitchFamily="18" charset="0"/>
                  </a:rPr>
                  <a:t>Resistance coefficient (F</a:t>
                </a:r>
                <a:r>
                  <a:rPr lang="en-US" altLang="zh-CN" sz="800" b="0" i="0" u="none" strike="noStrike" baseline="-25000">
                    <a:effectLst/>
                    <a:latin typeface="Palatino Linotype" pitchFamily="18" charset="0"/>
                    <a:cs typeface="Times New Roman" pitchFamily="18" charset="0"/>
                  </a:rPr>
                  <a:t>R</a:t>
                </a:r>
                <a:r>
                  <a:rPr lang="en-US" altLang="zh-CN" sz="800" b="0" i="0" u="none" strike="noStrike" baseline="0">
                    <a:effectLst/>
                    <a:latin typeface="Palatino Linotype" pitchFamily="18" charset="0"/>
                    <a:cs typeface="Times New Roman" pitchFamily="18" charset="0"/>
                  </a:rPr>
                  <a:t>)</a:t>
                </a:r>
                <a:endParaRPr lang="zh-CN" altLang="en-US" sz="800" b="0" baseline="0">
                  <a:latin typeface="Palatino Linotype" pitchFamily="18" charset="0"/>
                  <a:ea typeface="宋体" pitchFamily="2" charset="-122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2.0233581913371938E-3"/>
              <c:y val="0.15157561347172091"/>
            </c:manualLayout>
          </c:layout>
          <c:overlay val="0"/>
        </c:title>
        <c:numFmt formatCode="General" sourceLinked="0"/>
        <c:majorTickMark val="in"/>
        <c:minorTickMark val="none"/>
        <c:tickLblPos val="nextTo"/>
        <c:spPr>
          <a:ln w="3175">
            <a:solidFill>
              <a:sysClr val="windowText" lastClr="000000"/>
            </a:solidFill>
          </a:ln>
        </c:spPr>
        <c:txPr>
          <a:bodyPr/>
          <a:lstStyle/>
          <a:p>
            <a:pPr>
              <a:defRPr sz="800">
                <a:latin typeface="Palatino Linotype" pitchFamily="18" charset="0"/>
                <a:cs typeface="Times New Roman" pitchFamily="18" charset="0"/>
              </a:defRPr>
            </a:pPr>
            <a:endParaRPr lang="zh-CN"/>
          </a:p>
        </c:txPr>
        <c:crossAx val="623086208"/>
        <c:crosses val="autoZero"/>
        <c:crossBetween val="midCat"/>
        <c:majorUnit val="20"/>
      </c:valAx>
      <c:spPr>
        <a:noFill/>
        <a:ln w="3175">
          <a:solidFill>
            <a:sysClr val="windowText" lastClr="000000"/>
          </a:solidFill>
        </a:ln>
      </c:spPr>
    </c:plotArea>
    <c:legend>
      <c:legendPos val="t"/>
      <c:layout>
        <c:manualLayout>
          <c:xMode val="edge"/>
          <c:yMode val="edge"/>
          <c:x val="0.32993813797506444"/>
          <c:y val="0.65619110386532076"/>
          <c:w val="0.60421586397692828"/>
          <c:h val="0.19436756674160216"/>
        </c:manualLayout>
      </c:layout>
      <c:overlay val="0"/>
      <c:txPr>
        <a:bodyPr/>
        <a:lstStyle/>
        <a:p>
          <a:pPr>
            <a:defRPr sz="800" baseline="0">
              <a:latin typeface="Palatino Linotype" pitchFamily="18" charset="0"/>
              <a:ea typeface="宋体" pitchFamily="2" charset="-122"/>
            </a:defRPr>
          </a:pPr>
          <a:endParaRPr lang="zh-CN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0811952530189515"/>
          <c:y val="3.1740548750136016E-2"/>
          <c:w val="0.74777904140152274"/>
          <c:h val="0.82794408408200071"/>
        </c:manualLayout>
      </c:layout>
      <c:scatterChart>
        <c:scatterStyle val="lineMarker"/>
        <c:varyColors val="0"/>
        <c:ser>
          <c:idx val="0"/>
          <c:order val="0"/>
          <c:tx>
            <c:v>Water cut 70%</c:v>
          </c:tx>
          <c:spPr>
            <a:ln w="12700">
              <a:noFill/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marker>
            <c:symbol val="triangle"/>
            <c:size val="5"/>
            <c:spPr>
              <a:solidFill>
                <a:srgbClr val="000066"/>
              </a:solidFill>
              <a:ln w="12700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</c:marker>
          <c:xVal>
            <c:numRef>
              <c:f>不同含水率!$A$11:$A$31</c:f>
              <c:numCache>
                <c:formatCode>0.0000_);[Red]\(0.0000\)</c:formatCode>
                <c:ptCount val="21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  <c:pt idx="6">
                  <c:v>3</c:v>
                </c:pt>
                <c:pt idx="7">
                  <c:v>3.5</c:v>
                </c:pt>
                <c:pt idx="8">
                  <c:v>4</c:v>
                </c:pt>
                <c:pt idx="9">
                  <c:v>4.5</c:v>
                </c:pt>
                <c:pt idx="10">
                  <c:v>5</c:v>
                </c:pt>
                <c:pt idx="11">
                  <c:v>5.5</c:v>
                </c:pt>
                <c:pt idx="12">
                  <c:v>6</c:v>
                </c:pt>
                <c:pt idx="13">
                  <c:v>6.5</c:v>
                </c:pt>
                <c:pt idx="14">
                  <c:v>7</c:v>
                </c:pt>
                <c:pt idx="15">
                  <c:v>7.5</c:v>
                </c:pt>
                <c:pt idx="16">
                  <c:v>8</c:v>
                </c:pt>
                <c:pt idx="17">
                  <c:v>8.5</c:v>
                </c:pt>
                <c:pt idx="18">
                  <c:v>9</c:v>
                </c:pt>
                <c:pt idx="19">
                  <c:v>9.5</c:v>
                </c:pt>
                <c:pt idx="20">
                  <c:v>10</c:v>
                </c:pt>
              </c:numCache>
            </c:numRef>
          </c:xVal>
          <c:yVal>
            <c:numRef>
              <c:f>不同含水率!$P$38:$P$58</c:f>
              <c:numCache>
                <c:formatCode>0.0000_);[Red]\(0.0000\)</c:formatCode>
                <c:ptCount val="21"/>
                <c:pt idx="0">
                  <c:v>1</c:v>
                </c:pt>
                <c:pt idx="1">
                  <c:v>6.1904761904761907</c:v>
                </c:pt>
                <c:pt idx="2">
                  <c:v>9.6428571428571423</c:v>
                </c:pt>
                <c:pt idx="3">
                  <c:v>13.785714285714285</c:v>
                </c:pt>
                <c:pt idx="4">
                  <c:v>18.30952380952381</c:v>
                </c:pt>
                <c:pt idx="5">
                  <c:v>22.952380952380953</c:v>
                </c:pt>
                <c:pt idx="6">
                  <c:v>25.857142857142854</c:v>
                </c:pt>
                <c:pt idx="7">
                  <c:v>27.596820451960713</c:v>
                </c:pt>
                <c:pt idx="8">
                  <c:v>30.995648519013095</c:v>
                </c:pt>
                <c:pt idx="9">
                  <c:v>33.107123077683809</c:v>
                </c:pt>
                <c:pt idx="10">
                  <c:v>35.009073826830715</c:v>
                </c:pt>
                <c:pt idx="11">
                  <c:v>35.480072195025237</c:v>
                </c:pt>
                <c:pt idx="12">
                  <c:v>36.177372298864285</c:v>
                </c:pt>
                <c:pt idx="13">
                  <c:v>36.445878455223813</c:v>
                </c:pt>
                <c:pt idx="14">
                  <c:v>36.488305394846904</c:v>
                </c:pt>
                <c:pt idx="15">
                  <c:v>36.547619047619051</c:v>
                </c:pt>
                <c:pt idx="16">
                  <c:v>36.595238095238095</c:v>
                </c:pt>
                <c:pt idx="17">
                  <c:v>30.976190476190474</c:v>
                </c:pt>
                <c:pt idx="18">
                  <c:v>33.205632200958327</c:v>
                </c:pt>
                <c:pt idx="19">
                  <c:v>33.880952380952387</c:v>
                </c:pt>
                <c:pt idx="20">
                  <c:v>37.761904761904759</c:v>
                </c:pt>
              </c:numCache>
            </c:numRef>
          </c:yVal>
          <c:smooth val="0"/>
        </c:ser>
        <c:ser>
          <c:idx val="1"/>
          <c:order val="1"/>
          <c:tx>
            <c:v>Water cut 60%</c:v>
          </c:tx>
          <c:spPr>
            <a:ln w="12700">
              <a:noFill/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marker>
            <c:symbol val="triangle"/>
            <c:size val="5"/>
            <c:spPr>
              <a:solidFill>
                <a:srgbClr val="A50021"/>
              </a:solidFill>
              <a:ln w="12700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</c:marker>
          <c:xVal>
            <c:numRef>
              <c:f>不同含水率!$A$11:$A$31</c:f>
              <c:numCache>
                <c:formatCode>0.0000_);[Red]\(0.0000\)</c:formatCode>
                <c:ptCount val="21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  <c:pt idx="6">
                  <c:v>3</c:v>
                </c:pt>
                <c:pt idx="7">
                  <c:v>3.5</c:v>
                </c:pt>
                <c:pt idx="8">
                  <c:v>4</c:v>
                </c:pt>
                <c:pt idx="9">
                  <c:v>4.5</c:v>
                </c:pt>
                <c:pt idx="10">
                  <c:v>5</c:v>
                </c:pt>
                <c:pt idx="11">
                  <c:v>5.5</c:v>
                </c:pt>
                <c:pt idx="12">
                  <c:v>6</c:v>
                </c:pt>
                <c:pt idx="13">
                  <c:v>6.5</c:v>
                </c:pt>
                <c:pt idx="14">
                  <c:v>7</c:v>
                </c:pt>
                <c:pt idx="15">
                  <c:v>7.5</c:v>
                </c:pt>
                <c:pt idx="16">
                  <c:v>8</c:v>
                </c:pt>
                <c:pt idx="17">
                  <c:v>8.5</c:v>
                </c:pt>
                <c:pt idx="18">
                  <c:v>9</c:v>
                </c:pt>
                <c:pt idx="19">
                  <c:v>9.5</c:v>
                </c:pt>
                <c:pt idx="20">
                  <c:v>10</c:v>
                </c:pt>
              </c:numCache>
            </c:numRef>
          </c:xVal>
          <c:yVal>
            <c:numRef>
              <c:f>不同含水率!$D$38:$D$58</c:f>
              <c:numCache>
                <c:formatCode>0.0000_);[Red]\(0.0000\)</c:formatCode>
                <c:ptCount val="21"/>
                <c:pt idx="0">
                  <c:v>0.88824999999999998</c:v>
                </c:pt>
                <c:pt idx="1">
                  <c:v>16.49607142857143</c:v>
                </c:pt>
                <c:pt idx="2">
                  <c:v>30.137053571428574</c:v>
                </c:pt>
                <c:pt idx="3">
                  <c:v>42.06498214285714</c:v>
                </c:pt>
                <c:pt idx="4">
                  <c:v>50.75714285714286</c:v>
                </c:pt>
                <c:pt idx="5">
                  <c:v>57.820845238095231</c:v>
                </c:pt>
                <c:pt idx="6">
                  <c:v>63.361833333333337</c:v>
                </c:pt>
                <c:pt idx="7">
                  <c:v>68.92537576645411</c:v>
                </c:pt>
                <c:pt idx="8">
                  <c:v>71.521408606537193</c:v>
                </c:pt>
                <c:pt idx="9">
                  <c:v>72.677866359466933</c:v>
                </c:pt>
                <c:pt idx="10">
                  <c:v>73.39442887430144</c:v>
                </c:pt>
                <c:pt idx="11">
                  <c:v>73.812793174850214</c:v>
                </c:pt>
                <c:pt idx="12">
                  <c:v>74.43216999208525</c:v>
                </c:pt>
                <c:pt idx="13">
                  <c:v>75.010928571428593</c:v>
                </c:pt>
                <c:pt idx="14">
                  <c:v>74.941476190476195</c:v>
                </c:pt>
                <c:pt idx="15">
                  <c:v>59.452321805616798</c:v>
                </c:pt>
                <c:pt idx="16">
                  <c:v>60.360239677594123</c:v>
                </c:pt>
                <c:pt idx="17">
                  <c:v>59.171294454333413</c:v>
                </c:pt>
                <c:pt idx="18">
                  <c:v>66.928295659644078</c:v>
                </c:pt>
                <c:pt idx="19">
                  <c:v>68.543291666666661</c:v>
                </c:pt>
                <c:pt idx="20">
                  <c:v>68.902821428571414</c:v>
                </c:pt>
              </c:numCache>
            </c:numRef>
          </c:yVal>
          <c:smooth val="0"/>
        </c:ser>
        <c:ser>
          <c:idx val="2"/>
          <c:order val="2"/>
          <c:tx>
            <c:v>Water cut 50%</c:v>
          </c:tx>
          <c:spPr>
            <a:ln w="6350">
              <a:noFill/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marker>
            <c:symbol val="triangle"/>
            <c:size val="5"/>
            <c:spPr>
              <a:solidFill>
                <a:srgbClr val="336600"/>
              </a:solidFill>
              <a:ln w="12700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</c:marker>
          <c:xVal>
            <c:numRef>
              <c:f>不同含水率!$A$11:$A$31</c:f>
              <c:numCache>
                <c:formatCode>0.0000_);[Red]\(0.0000\)</c:formatCode>
                <c:ptCount val="21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  <c:pt idx="6">
                  <c:v>3</c:v>
                </c:pt>
                <c:pt idx="7">
                  <c:v>3.5</c:v>
                </c:pt>
                <c:pt idx="8">
                  <c:v>4</c:v>
                </c:pt>
                <c:pt idx="9">
                  <c:v>4.5</c:v>
                </c:pt>
                <c:pt idx="10">
                  <c:v>5</c:v>
                </c:pt>
                <c:pt idx="11">
                  <c:v>5.5</c:v>
                </c:pt>
                <c:pt idx="12">
                  <c:v>6</c:v>
                </c:pt>
                <c:pt idx="13">
                  <c:v>6.5</c:v>
                </c:pt>
                <c:pt idx="14">
                  <c:v>7</c:v>
                </c:pt>
                <c:pt idx="15">
                  <c:v>7.5</c:v>
                </c:pt>
                <c:pt idx="16">
                  <c:v>8</c:v>
                </c:pt>
                <c:pt idx="17">
                  <c:v>8.5</c:v>
                </c:pt>
                <c:pt idx="18">
                  <c:v>9</c:v>
                </c:pt>
                <c:pt idx="19">
                  <c:v>9.5</c:v>
                </c:pt>
                <c:pt idx="20">
                  <c:v>10</c:v>
                </c:pt>
              </c:numCache>
            </c:numRef>
          </c:xVal>
          <c:yVal>
            <c:numRef>
              <c:f>不同含水率!$J$38:$J$58</c:f>
              <c:numCache>
                <c:formatCode>0.0000_);[Red]\(0.0000\)</c:formatCode>
                <c:ptCount val="21"/>
                <c:pt idx="0">
                  <c:v>1.69</c:v>
                </c:pt>
                <c:pt idx="1">
                  <c:v>9.2547619047619047</c:v>
                </c:pt>
                <c:pt idx="2">
                  <c:v>23.539285714285718</c:v>
                </c:pt>
                <c:pt idx="3">
                  <c:v>34.564523809523813</c:v>
                </c:pt>
                <c:pt idx="4">
                  <c:v>44.261904761904759</c:v>
                </c:pt>
                <c:pt idx="5">
                  <c:v>52.470476190476191</c:v>
                </c:pt>
                <c:pt idx="6">
                  <c:v>60.598571428571439</c:v>
                </c:pt>
                <c:pt idx="7">
                  <c:v>66.757674182861223</c:v>
                </c:pt>
                <c:pt idx="8">
                  <c:v>71.696931711417847</c:v>
                </c:pt>
                <c:pt idx="9">
                  <c:v>74.862942763190404</c:v>
                </c:pt>
                <c:pt idx="10">
                  <c:v>79.284382386391528</c:v>
                </c:pt>
                <c:pt idx="11">
                  <c:v>80.078623220095892</c:v>
                </c:pt>
                <c:pt idx="12">
                  <c:v>80.657115660330234</c:v>
                </c:pt>
                <c:pt idx="13">
                  <c:v>81.712582208375849</c:v>
                </c:pt>
                <c:pt idx="14">
                  <c:v>81.784283736338878</c:v>
                </c:pt>
                <c:pt idx="15">
                  <c:v>81.884523809523799</c:v>
                </c:pt>
                <c:pt idx="16">
                  <c:v>73.917380952380967</c:v>
                </c:pt>
                <c:pt idx="17">
                  <c:v>76.366054986894625</c:v>
                </c:pt>
                <c:pt idx="18">
                  <c:v>75.029423181524351</c:v>
                </c:pt>
                <c:pt idx="19">
                  <c:v>76.975476190476172</c:v>
                </c:pt>
                <c:pt idx="20">
                  <c:v>75.687857142857141</c:v>
                </c:pt>
              </c:numCache>
            </c:numRef>
          </c:yVal>
          <c:smooth val="0"/>
        </c:ser>
        <c:ser>
          <c:idx val="3"/>
          <c:order val="3"/>
          <c:tx>
            <c:v>Water cut 40%</c:v>
          </c:tx>
          <c:spPr>
            <a:ln w="12700">
              <a:noFill/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marker>
            <c:symbol val="triangle"/>
            <c:size val="5"/>
            <c:spPr>
              <a:solidFill>
                <a:srgbClr val="6600CC"/>
              </a:solidFill>
              <a:ln w="12700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</c:marker>
          <c:xVal>
            <c:numRef>
              <c:f>不同含水率!$A$11:$A$31</c:f>
              <c:numCache>
                <c:formatCode>0.0000_);[Red]\(0.0000\)</c:formatCode>
                <c:ptCount val="21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  <c:pt idx="6">
                  <c:v>3</c:v>
                </c:pt>
                <c:pt idx="7">
                  <c:v>3.5</c:v>
                </c:pt>
                <c:pt idx="8">
                  <c:v>4</c:v>
                </c:pt>
                <c:pt idx="9">
                  <c:v>4.5</c:v>
                </c:pt>
                <c:pt idx="10">
                  <c:v>5</c:v>
                </c:pt>
                <c:pt idx="11">
                  <c:v>5.5</c:v>
                </c:pt>
                <c:pt idx="12">
                  <c:v>6</c:v>
                </c:pt>
                <c:pt idx="13">
                  <c:v>6.5</c:v>
                </c:pt>
                <c:pt idx="14">
                  <c:v>7</c:v>
                </c:pt>
                <c:pt idx="15">
                  <c:v>7.5</c:v>
                </c:pt>
                <c:pt idx="16">
                  <c:v>8</c:v>
                </c:pt>
                <c:pt idx="17">
                  <c:v>8.5</c:v>
                </c:pt>
                <c:pt idx="18">
                  <c:v>9</c:v>
                </c:pt>
                <c:pt idx="19">
                  <c:v>9.5</c:v>
                </c:pt>
                <c:pt idx="20">
                  <c:v>10</c:v>
                </c:pt>
              </c:numCache>
            </c:numRef>
          </c:xVal>
          <c:yVal>
            <c:numRef>
              <c:f>不同含水率!$M$38:$M$58</c:f>
              <c:numCache>
                <c:formatCode>0.0000_);[Red]\(0.0000\)</c:formatCode>
                <c:ptCount val="21"/>
                <c:pt idx="0">
                  <c:v>0.21</c:v>
                </c:pt>
                <c:pt idx="1">
                  <c:v>6.6261904761904766</c:v>
                </c:pt>
                <c:pt idx="2">
                  <c:v>16.853571428571431</c:v>
                </c:pt>
                <c:pt idx="3">
                  <c:v>24.747380952380954</c:v>
                </c:pt>
                <c:pt idx="4">
                  <c:v>31.69047619047619</c:v>
                </c:pt>
                <c:pt idx="5">
                  <c:v>37.567619047619047</c:v>
                </c:pt>
                <c:pt idx="6">
                  <c:v>43.387142857142862</c:v>
                </c:pt>
                <c:pt idx="7">
                  <c:v>47.796914651634374</c:v>
                </c:pt>
                <c:pt idx="8">
                  <c:v>51.333306136577278</c:v>
                </c:pt>
                <c:pt idx="9">
                  <c:v>53.600095114473596</c:v>
                </c:pt>
                <c:pt idx="10">
                  <c:v>56.765741235227075</c:v>
                </c:pt>
                <c:pt idx="11">
                  <c:v>60.215351254512171</c:v>
                </c:pt>
                <c:pt idx="12">
                  <c:v>60.629538149591198</c:v>
                </c:pt>
                <c:pt idx="13">
                  <c:v>61.385227216535093</c:v>
                </c:pt>
                <c:pt idx="14">
                  <c:v>61.436563813479054</c:v>
                </c:pt>
                <c:pt idx="15">
                  <c:v>61.508333333333333</c:v>
                </c:pt>
                <c:pt idx="16">
                  <c:v>61.9230952380952</c:v>
                </c:pt>
                <c:pt idx="17">
                  <c:v>52.557240270977502</c:v>
                </c:pt>
                <c:pt idx="18">
                  <c:v>53.71929115363578</c:v>
                </c:pt>
                <c:pt idx="19">
                  <c:v>53.095952380952383</c:v>
                </c:pt>
                <c:pt idx="20">
                  <c:v>54.766904761904769</c:v>
                </c:pt>
              </c:numCache>
            </c:numRef>
          </c:yVal>
          <c:smooth val="0"/>
        </c:ser>
        <c:ser>
          <c:idx val="4"/>
          <c:order val="4"/>
          <c:tx>
            <c:v>Water cut 30%</c:v>
          </c:tx>
          <c:spPr>
            <a:ln w="12700">
              <a:noFill/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marker>
            <c:symbol val="triangle"/>
            <c:size val="5"/>
            <c:spPr>
              <a:solidFill>
                <a:srgbClr val="CC00CC"/>
              </a:solidFill>
              <a:ln w="12700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</c:marker>
          <c:xVal>
            <c:numRef>
              <c:f>不同含水率!$A$11:$A$31</c:f>
              <c:numCache>
                <c:formatCode>0.0000_);[Red]\(0.0000\)</c:formatCode>
                <c:ptCount val="21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  <c:pt idx="6">
                  <c:v>3</c:v>
                </c:pt>
                <c:pt idx="7">
                  <c:v>3.5</c:v>
                </c:pt>
                <c:pt idx="8">
                  <c:v>4</c:v>
                </c:pt>
                <c:pt idx="9">
                  <c:v>4.5</c:v>
                </c:pt>
                <c:pt idx="10">
                  <c:v>5</c:v>
                </c:pt>
                <c:pt idx="11">
                  <c:v>5.5</c:v>
                </c:pt>
                <c:pt idx="12">
                  <c:v>6</c:v>
                </c:pt>
                <c:pt idx="13">
                  <c:v>6.5</c:v>
                </c:pt>
                <c:pt idx="14">
                  <c:v>7</c:v>
                </c:pt>
                <c:pt idx="15">
                  <c:v>7.5</c:v>
                </c:pt>
                <c:pt idx="16">
                  <c:v>8</c:v>
                </c:pt>
                <c:pt idx="17">
                  <c:v>8.5</c:v>
                </c:pt>
                <c:pt idx="18">
                  <c:v>9</c:v>
                </c:pt>
                <c:pt idx="19">
                  <c:v>9.5</c:v>
                </c:pt>
                <c:pt idx="20">
                  <c:v>10</c:v>
                </c:pt>
              </c:numCache>
            </c:numRef>
          </c:xVal>
          <c:yVal>
            <c:numRef>
              <c:f>不同含水率!$G$38:$G$58</c:f>
              <c:numCache>
                <c:formatCode>0.0000_);[Red]\(0.0000\)</c:formatCode>
                <c:ptCount val="21"/>
                <c:pt idx="0">
                  <c:v>0.57600000000000007</c:v>
                </c:pt>
                <c:pt idx="1">
                  <c:v>7.9542857142857146</c:v>
                </c:pt>
                <c:pt idx="2">
                  <c:v>14.057142857142859</c:v>
                </c:pt>
                <c:pt idx="3">
                  <c:v>21.792000000000002</c:v>
                </c:pt>
                <c:pt idx="4">
                  <c:v>27.428571428571434</c:v>
                </c:pt>
                <c:pt idx="5">
                  <c:v>32.009142857142848</c:v>
                </c:pt>
                <c:pt idx="6">
                  <c:v>34.23085714285714</c:v>
                </c:pt>
                <c:pt idx="7">
                  <c:v>37.83862572318651</c:v>
                </c:pt>
                <c:pt idx="8">
                  <c:v>40.893493546951547</c:v>
                </c:pt>
                <c:pt idx="9">
                  <c:v>41.643417178460155</c:v>
                </c:pt>
                <c:pt idx="10">
                  <c:v>42.108083667111629</c:v>
                </c:pt>
                <c:pt idx="11">
                  <c:v>42.379378727191678</c:v>
                </c:pt>
                <c:pt idx="12">
                  <c:v>42.78102358700297</c:v>
                </c:pt>
                <c:pt idx="13">
                  <c:v>42.935683133066057</c:v>
                </c:pt>
                <c:pt idx="14">
                  <c:v>42.960121050288954</c:v>
                </c:pt>
                <c:pt idx="15">
                  <c:v>43.864558967511897</c:v>
                </c:pt>
                <c:pt idx="16">
                  <c:v>43.7701397418776</c:v>
                </c:pt>
                <c:pt idx="17">
                  <c:v>43.7420062305291</c:v>
                </c:pt>
                <c:pt idx="18">
                  <c:v>40.657872719180602</c:v>
                </c:pt>
                <c:pt idx="19">
                  <c:v>42.67885714285714</c:v>
                </c:pt>
                <c:pt idx="20">
                  <c:v>41.910857142857139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54127872"/>
        <c:axId val="454128264"/>
      </c:scatterChart>
      <c:valAx>
        <c:axId val="454127872"/>
        <c:scaling>
          <c:orientation val="minMax"/>
          <c:max val="10"/>
        </c:scaling>
        <c:delete val="0"/>
        <c:axPos val="b"/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sz="800" b="0"/>
                  <a:t>PV</a:t>
                </a:r>
                <a:endParaRPr lang="zh-CN" sz="800" b="0"/>
              </a:p>
            </c:rich>
          </c:tx>
          <c:layout>
            <c:manualLayout>
              <c:xMode val="edge"/>
              <c:yMode val="edge"/>
              <c:x val="0.54609242201946362"/>
              <c:y val="0.87829696188726303"/>
            </c:manualLayout>
          </c:layout>
          <c:overlay val="0"/>
        </c:title>
        <c:numFmt formatCode="General" sourceLinked="0"/>
        <c:majorTickMark val="in"/>
        <c:minorTickMark val="none"/>
        <c:tickLblPos val="nextTo"/>
        <c:spPr>
          <a:ln w="3175">
            <a:solidFill>
              <a:sysClr val="windowText" lastClr="000000"/>
            </a:solidFill>
          </a:ln>
        </c:spPr>
        <c:txPr>
          <a:bodyPr/>
          <a:lstStyle/>
          <a:p>
            <a:pPr>
              <a:defRPr sz="800"/>
            </a:pPr>
            <a:endParaRPr lang="zh-CN"/>
          </a:p>
        </c:txPr>
        <c:crossAx val="454128264"/>
        <c:crosses val="autoZero"/>
        <c:crossBetween val="midCat"/>
        <c:majorUnit val="2"/>
      </c:valAx>
      <c:valAx>
        <c:axId val="454128264"/>
        <c:scaling>
          <c:orientation val="minMax"/>
          <c:max val="10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sz="800" b="0"/>
                  <a:t>Resistance coefficient (F</a:t>
                </a:r>
                <a:r>
                  <a:rPr lang="en-US" sz="800" b="0" baseline="-25000"/>
                  <a:t>R</a:t>
                </a:r>
                <a:r>
                  <a:rPr lang="en-US" sz="800" b="0"/>
                  <a:t>)</a:t>
                </a:r>
              </a:p>
            </c:rich>
          </c:tx>
          <c:layout>
            <c:manualLayout>
              <c:xMode val="edge"/>
              <c:yMode val="edge"/>
              <c:x val="2.0233581913371938E-3"/>
              <c:y val="0.1547002155456825"/>
            </c:manualLayout>
          </c:layout>
          <c:overlay val="0"/>
        </c:title>
        <c:numFmt formatCode="General" sourceLinked="0"/>
        <c:majorTickMark val="in"/>
        <c:minorTickMark val="none"/>
        <c:tickLblPos val="nextTo"/>
        <c:spPr>
          <a:ln w="3175">
            <a:solidFill>
              <a:sysClr val="windowText" lastClr="000000"/>
            </a:solidFill>
          </a:ln>
        </c:spPr>
        <c:txPr>
          <a:bodyPr/>
          <a:lstStyle/>
          <a:p>
            <a:pPr>
              <a:defRPr sz="800"/>
            </a:pPr>
            <a:endParaRPr lang="zh-CN"/>
          </a:p>
        </c:txPr>
        <c:crossAx val="454127872"/>
        <c:crosses val="autoZero"/>
        <c:crossBetween val="midCat"/>
        <c:majorUnit val="20"/>
      </c:valAx>
      <c:spPr>
        <a:ln w="3175">
          <a:solidFill>
            <a:sysClr val="windowText" lastClr="000000"/>
          </a:solidFill>
        </a:ln>
      </c:spPr>
    </c:plotArea>
    <c:legend>
      <c:legendPos val="t"/>
      <c:layout>
        <c:manualLayout>
          <c:xMode val="edge"/>
          <c:yMode val="edge"/>
          <c:x val="0.32815057555085803"/>
          <c:y val="0.65532462661514557"/>
          <c:w val="0.60931293904791795"/>
          <c:h val="0.18911235214540917"/>
        </c:manualLayout>
      </c:layout>
      <c:overlay val="0"/>
      <c:txPr>
        <a:bodyPr/>
        <a:lstStyle/>
        <a:p>
          <a:pPr>
            <a:defRPr sz="800"/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Palatino Linotype" pitchFamily="18" charset="0"/>
        </a:defRPr>
      </a:pPr>
      <a:endParaRPr lang="zh-CN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9857173862087527"/>
          <c:y val="3.1703261761883289E-2"/>
          <c:w val="0.75697193308388822"/>
          <c:h val="0.82437314278446461"/>
        </c:manualLayout>
      </c:layout>
      <c:scatterChart>
        <c:scatterStyle val="lineMarker"/>
        <c:varyColors val="0"/>
        <c:ser>
          <c:idx val="0"/>
          <c:order val="0"/>
          <c:tx>
            <c:v>Water cut 70%</c:v>
          </c:tx>
          <c:spPr>
            <a:ln w="12700">
              <a:noFill/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marker>
            <c:symbol val="triangle"/>
            <c:size val="5"/>
            <c:spPr>
              <a:solidFill>
                <a:srgbClr val="000066"/>
              </a:solidFill>
              <a:ln w="12700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</c:marker>
          <c:xVal>
            <c:numRef>
              <c:f>不同含水率!$A$11:$A$31</c:f>
              <c:numCache>
                <c:formatCode>0.0000_);[Red]\(0.0000\)</c:formatCode>
                <c:ptCount val="21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  <c:pt idx="6">
                  <c:v>3</c:v>
                </c:pt>
                <c:pt idx="7">
                  <c:v>3.5</c:v>
                </c:pt>
                <c:pt idx="8">
                  <c:v>4</c:v>
                </c:pt>
                <c:pt idx="9">
                  <c:v>4.5</c:v>
                </c:pt>
                <c:pt idx="10">
                  <c:v>5</c:v>
                </c:pt>
                <c:pt idx="11">
                  <c:v>5.5</c:v>
                </c:pt>
                <c:pt idx="12">
                  <c:v>6</c:v>
                </c:pt>
                <c:pt idx="13">
                  <c:v>6.5</c:v>
                </c:pt>
                <c:pt idx="14">
                  <c:v>7</c:v>
                </c:pt>
                <c:pt idx="15">
                  <c:v>7.5</c:v>
                </c:pt>
                <c:pt idx="16">
                  <c:v>8</c:v>
                </c:pt>
                <c:pt idx="17">
                  <c:v>8.5</c:v>
                </c:pt>
                <c:pt idx="18">
                  <c:v>9</c:v>
                </c:pt>
                <c:pt idx="19">
                  <c:v>9.5</c:v>
                </c:pt>
                <c:pt idx="20">
                  <c:v>10</c:v>
                </c:pt>
              </c:numCache>
            </c:numRef>
          </c:xVal>
          <c:yVal>
            <c:numRef>
              <c:f>不同含水率!$P$64:$P$84</c:f>
              <c:numCache>
                <c:formatCode>0.0000_);[Red]\(0.0000\)</c:formatCode>
                <c:ptCount val="21"/>
                <c:pt idx="0">
                  <c:v>1</c:v>
                </c:pt>
                <c:pt idx="1">
                  <c:v>6.1904761904761907</c:v>
                </c:pt>
                <c:pt idx="2">
                  <c:v>9.6428571428571423</c:v>
                </c:pt>
                <c:pt idx="3">
                  <c:v>13.785714285714285</c:v>
                </c:pt>
                <c:pt idx="4">
                  <c:v>18.30952380952381</c:v>
                </c:pt>
                <c:pt idx="5">
                  <c:v>22.952380952380953</c:v>
                </c:pt>
                <c:pt idx="6">
                  <c:v>25.857142857142854</c:v>
                </c:pt>
                <c:pt idx="7">
                  <c:v>27.596820451960713</c:v>
                </c:pt>
                <c:pt idx="8">
                  <c:v>30.995648519013095</c:v>
                </c:pt>
                <c:pt idx="9">
                  <c:v>33.107123077683809</c:v>
                </c:pt>
                <c:pt idx="10">
                  <c:v>35.009073826830715</c:v>
                </c:pt>
                <c:pt idx="11">
                  <c:v>35.480072195025237</c:v>
                </c:pt>
                <c:pt idx="12">
                  <c:v>36.177372298864285</c:v>
                </c:pt>
                <c:pt idx="13">
                  <c:v>36.445878455223813</c:v>
                </c:pt>
                <c:pt idx="14">
                  <c:v>30.642857142857142</c:v>
                </c:pt>
                <c:pt idx="15">
                  <c:v>31.785714285714288</c:v>
                </c:pt>
                <c:pt idx="16">
                  <c:v>31.500000000000004</c:v>
                </c:pt>
                <c:pt idx="17">
                  <c:v>31.238095238095244</c:v>
                </c:pt>
                <c:pt idx="18">
                  <c:v>33.205632200958327</c:v>
                </c:pt>
                <c:pt idx="19">
                  <c:v>31.500000000000004</c:v>
                </c:pt>
                <c:pt idx="20">
                  <c:v>34.428571428571431</c:v>
                </c:pt>
              </c:numCache>
            </c:numRef>
          </c:yVal>
          <c:smooth val="0"/>
        </c:ser>
        <c:ser>
          <c:idx val="1"/>
          <c:order val="1"/>
          <c:tx>
            <c:v>Water cut 60%</c:v>
          </c:tx>
          <c:spPr>
            <a:ln w="12700">
              <a:noFill/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marker>
            <c:symbol val="triangle"/>
            <c:size val="5"/>
            <c:spPr>
              <a:solidFill>
                <a:srgbClr val="A50021"/>
              </a:solidFill>
              <a:ln w="12700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</c:marker>
          <c:xVal>
            <c:numRef>
              <c:f>不同含水率!$A$11:$A$31</c:f>
              <c:numCache>
                <c:formatCode>0.0000_);[Red]\(0.0000\)</c:formatCode>
                <c:ptCount val="21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  <c:pt idx="6">
                  <c:v>3</c:v>
                </c:pt>
                <c:pt idx="7">
                  <c:v>3.5</c:v>
                </c:pt>
                <c:pt idx="8">
                  <c:v>4</c:v>
                </c:pt>
                <c:pt idx="9">
                  <c:v>4.5</c:v>
                </c:pt>
                <c:pt idx="10">
                  <c:v>5</c:v>
                </c:pt>
                <c:pt idx="11">
                  <c:v>5.5</c:v>
                </c:pt>
                <c:pt idx="12">
                  <c:v>6</c:v>
                </c:pt>
                <c:pt idx="13">
                  <c:v>6.5</c:v>
                </c:pt>
                <c:pt idx="14">
                  <c:v>7</c:v>
                </c:pt>
                <c:pt idx="15">
                  <c:v>7.5</c:v>
                </c:pt>
                <c:pt idx="16">
                  <c:v>8</c:v>
                </c:pt>
                <c:pt idx="17">
                  <c:v>8.5</c:v>
                </c:pt>
                <c:pt idx="18">
                  <c:v>9</c:v>
                </c:pt>
                <c:pt idx="19">
                  <c:v>9.5</c:v>
                </c:pt>
                <c:pt idx="20">
                  <c:v>10</c:v>
                </c:pt>
              </c:numCache>
            </c:numRef>
          </c:xVal>
          <c:yVal>
            <c:numRef>
              <c:f>不同含水率!$D$64:$D$84</c:f>
              <c:numCache>
                <c:formatCode>0.0000_);[Red]\(0.0000\)</c:formatCode>
                <c:ptCount val="21"/>
                <c:pt idx="0">
                  <c:v>0.89250000000000007</c:v>
                </c:pt>
                <c:pt idx="1">
                  <c:v>16.574999999999996</c:v>
                </c:pt>
                <c:pt idx="2">
                  <c:v>30.28125</c:v>
                </c:pt>
                <c:pt idx="3">
                  <c:v>42.266249999999999</c:v>
                </c:pt>
                <c:pt idx="4">
                  <c:v>50.999999999999993</c:v>
                </c:pt>
                <c:pt idx="5">
                  <c:v>58.097499999999997</c:v>
                </c:pt>
                <c:pt idx="6">
                  <c:v>63.664999999999992</c:v>
                </c:pt>
                <c:pt idx="7">
                  <c:v>67.130162253374948</c:v>
                </c:pt>
                <c:pt idx="8">
                  <c:v>69.738616303219189</c:v>
                </c:pt>
                <c:pt idx="9">
                  <c:v>70.9006073468328</c:v>
                </c:pt>
                <c:pt idx="10">
                  <c:v>70.983098390446429</c:v>
                </c:pt>
                <c:pt idx="11">
                  <c:v>71.190964434060035</c:v>
                </c:pt>
                <c:pt idx="12">
                  <c:v>70.171250000000001</c:v>
                </c:pt>
                <c:pt idx="13">
                  <c:v>71.254999999999995</c:v>
                </c:pt>
                <c:pt idx="14">
                  <c:v>55.127499999999998</c:v>
                </c:pt>
                <c:pt idx="15">
                  <c:v>54.597428608514463</c:v>
                </c:pt>
                <c:pt idx="16">
                  <c:v>56.399044652128083</c:v>
                </c:pt>
                <c:pt idx="17">
                  <c:v>55.2044106957417</c:v>
                </c:pt>
                <c:pt idx="18">
                  <c:v>57.873526739355299</c:v>
                </c:pt>
                <c:pt idx="19">
                  <c:v>56.621250000000003</c:v>
                </c:pt>
                <c:pt idx="20">
                  <c:v>56.982500000000002</c:v>
                </c:pt>
              </c:numCache>
            </c:numRef>
          </c:yVal>
          <c:smooth val="0"/>
        </c:ser>
        <c:ser>
          <c:idx val="2"/>
          <c:order val="2"/>
          <c:tx>
            <c:v>Water cut 50%</c:v>
          </c:tx>
          <c:spPr>
            <a:ln w="6350">
              <a:noFill/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marker>
            <c:symbol val="triangle"/>
            <c:size val="5"/>
            <c:spPr>
              <a:solidFill>
                <a:srgbClr val="336600"/>
              </a:solidFill>
              <a:ln w="12700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</c:marker>
          <c:xVal>
            <c:numRef>
              <c:f>不同含水率!$A$11:$A$31</c:f>
              <c:numCache>
                <c:formatCode>0.0000_);[Red]\(0.0000\)</c:formatCode>
                <c:ptCount val="21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  <c:pt idx="6">
                  <c:v>3</c:v>
                </c:pt>
                <c:pt idx="7">
                  <c:v>3.5</c:v>
                </c:pt>
                <c:pt idx="8">
                  <c:v>4</c:v>
                </c:pt>
                <c:pt idx="9">
                  <c:v>4.5</c:v>
                </c:pt>
                <c:pt idx="10">
                  <c:v>5</c:v>
                </c:pt>
                <c:pt idx="11">
                  <c:v>5.5</c:v>
                </c:pt>
                <c:pt idx="12">
                  <c:v>6</c:v>
                </c:pt>
                <c:pt idx="13">
                  <c:v>6.5</c:v>
                </c:pt>
                <c:pt idx="14">
                  <c:v>7</c:v>
                </c:pt>
                <c:pt idx="15">
                  <c:v>7.5</c:v>
                </c:pt>
                <c:pt idx="16">
                  <c:v>8</c:v>
                </c:pt>
                <c:pt idx="17">
                  <c:v>8.5</c:v>
                </c:pt>
                <c:pt idx="18">
                  <c:v>9</c:v>
                </c:pt>
                <c:pt idx="19">
                  <c:v>9.5</c:v>
                </c:pt>
                <c:pt idx="20">
                  <c:v>10</c:v>
                </c:pt>
              </c:numCache>
            </c:numRef>
          </c:xVal>
          <c:yVal>
            <c:numRef>
              <c:f>不同含水率!$G$64:$G$84</c:f>
              <c:numCache>
                <c:formatCode>0.0000_);[Red]\(0.0000\)</c:formatCode>
                <c:ptCount val="21"/>
                <c:pt idx="0">
                  <c:v>0.96389999999999998</c:v>
                </c:pt>
                <c:pt idx="1">
                  <c:v>23.085000000000051</c:v>
                </c:pt>
                <c:pt idx="2">
                  <c:v>37.084500000000055</c:v>
                </c:pt>
                <c:pt idx="3">
                  <c:v>38.596500000000013</c:v>
                </c:pt>
                <c:pt idx="4">
                  <c:v>48.464999999999954</c:v>
                </c:pt>
                <c:pt idx="5">
                  <c:v>54.202500000000065</c:v>
                </c:pt>
                <c:pt idx="6">
                  <c:v>59.480999999999945</c:v>
                </c:pt>
                <c:pt idx="7">
                  <c:v>66.965575233644941</c:v>
                </c:pt>
                <c:pt idx="8">
                  <c:v>69.080705607476716</c:v>
                </c:pt>
                <c:pt idx="9">
                  <c:v>73.955950934579462</c:v>
                </c:pt>
                <c:pt idx="10">
                  <c:v>74.665799999999948</c:v>
                </c:pt>
                <c:pt idx="11">
                  <c:v>75.803850000000025</c:v>
                </c:pt>
                <c:pt idx="12">
                  <c:v>76.099422897195666</c:v>
                </c:pt>
                <c:pt idx="13">
                  <c:v>76.813816822429828</c:v>
                </c:pt>
                <c:pt idx="14">
                  <c:v>74.563913551401043</c:v>
                </c:pt>
                <c:pt idx="15">
                  <c:v>63.927658878503721</c:v>
                </c:pt>
                <c:pt idx="16">
                  <c:v>64.400400000000005</c:v>
                </c:pt>
                <c:pt idx="17">
                  <c:v>66.437550000000044</c:v>
                </c:pt>
                <c:pt idx="18">
                  <c:v>65.909700000000029</c:v>
                </c:pt>
                <c:pt idx="19">
                  <c:v>67.028849999999963</c:v>
                </c:pt>
                <c:pt idx="20">
                  <c:v>67.878000000000043</c:v>
                </c:pt>
              </c:numCache>
            </c:numRef>
          </c:yVal>
          <c:smooth val="0"/>
        </c:ser>
        <c:ser>
          <c:idx val="3"/>
          <c:order val="3"/>
          <c:tx>
            <c:v>Water cut 40%</c:v>
          </c:tx>
          <c:spPr>
            <a:ln w="12700">
              <a:noFill/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marker>
            <c:symbol val="triangle"/>
            <c:size val="5"/>
            <c:spPr>
              <a:solidFill>
                <a:srgbClr val="6600CC"/>
              </a:solidFill>
              <a:ln w="12700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</c:marker>
          <c:xVal>
            <c:numRef>
              <c:f>不同含水率!$A$11:$A$31</c:f>
              <c:numCache>
                <c:formatCode>0.0000_);[Red]\(0.0000\)</c:formatCode>
                <c:ptCount val="21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  <c:pt idx="6">
                  <c:v>3</c:v>
                </c:pt>
                <c:pt idx="7">
                  <c:v>3.5</c:v>
                </c:pt>
                <c:pt idx="8">
                  <c:v>4</c:v>
                </c:pt>
                <c:pt idx="9">
                  <c:v>4.5</c:v>
                </c:pt>
                <c:pt idx="10">
                  <c:v>5</c:v>
                </c:pt>
                <c:pt idx="11">
                  <c:v>5.5</c:v>
                </c:pt>
                <c:pt idx="12">
                  <c:v>6</c:v>
                </c:pt>
                <c:pt idx="13">
                  <c:v>6.5</c:v>
                </c:pt>
                <c:pt idx="14">
                  <c:v>7</c:v>
                </c:pt>
                <c:pt idx="15">
                  <c:v>7.5</c:v>
                </c:pt>
                <c:pt idx="16">
                  <c:v>8</c:v>
                </c:pt>
                <c:pt idx="17">
                  <c:v>8.5</c:v>
                </c:pt>
                <c:pt idx="18">
                  <c:v>9</c:v>
                </c:pt>
                <c:pt idx="19">
                  <c:v>9.5</c:v>
                </c:pt>
                <c:pt idx="20">
                  <c:v>10</c:v>
                </c:pt>
              </c:numCache>
            </c:numRef>
          </c:xVal>
          <c:yVal>
            <c:numRef>
              <c:f>不同含水率!$J$64:$J$84</c:f>
              <c:numCache>
                <c:formatCode>0.0000_);[Red]\(0.0000\)</c:formatCode>
                <c:ptCount val="21"/>
                <c:pt idx="0">
                  <c:v>0.8</c:v>
                </c:pt>
                <c:pt idx="1">
                  <c:v>11.047619047619047</c:v>
                </c:pt>
                <c:pt idx="2">
                  <c:v>19.523809523809526</c:v>
                </c:pt>
                <c:pt idx="3">
                  <c:v>30.266666666666669</c:v>
                </c:pt>
                <c:pt idx="4">
                  <c:v>38.095238095238102</c:v>
                </c:pt>
                <c:pt idx="5">
                  <c:v>44.457142857142848</c:v>
                </c:pt>
                <c:pt idx="6">
                  <c:v>47.542857142857137</c:v>
                </c:pt>
                <c:pt idx="7">
                  <c:v>52.553646837759047</c:v>
                </c:pt>
                <c:pt idx="8">
                  <c:v>56.796518815210483</c:v>
                </c:pt>
                <c:pt idx="9">
                  <c:v>57.838079414527996</c:v>
                </c:pt>
                <c:pt idx="10">
                  <c:v>58.483449537655041</c:v>
                </c:pt>
                <c:pt idx="11">
                  <c:v>58.860248232210665</c:v>
                </c:pt>
                <c:pt idx="12">
                  <c:v>59.418088315281899</c:v>
                </c:pt>
                <c:pt idx="13">
                  <c:v>59.632893240369526</c:v>
                </c:pt>
                <c:pt idx="14">
                  <c:v>59.676190476190484</c:v>
                </c:pt>
                <c:pt idx="15">
                  <c:v>47.034109677099806</c:v>
                </c:pt>
                <c:pt idx="16">
                  <c:v>44.839479800226854</c:v>
                </c:pt>
                <c:pt idx="17">
                  <c:v>51.387707066211043</c:v>
                </c:pt>
                <c:pt idx="18">
                  <c:v>54.564505760766664</c:v>
                </c:pt>
                <c:pt idx="19">
                  <c:v>55.466666666666676</c:v>
                </c:pt>
                <c:pt idx="20">
                  <c:v>56.304761904761904</c:v>
                </c:pt>
              </c:numCache>
            </c:numRef>
          </c:yVal>
          <c:smooth val="0"/>
        </c:ser>
        <c:ser>
          <c:idx val="4"/>
          <c:order val="4"/>
          <c:tx>
            <c:v>Water cut 30%</c:v>
          </c:tx>
          <c:spPr>
            <a:ln w="12700">
              <a:noFill/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marker>
            <c:symbol val="triangle"/>
            <c:size val="5"/>
            <c:spPr>
              <a:solidFill>
                <a:srgbClr val="CC00CC"/>
              </a:solidFill>
              <a:ln w="12700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</c:marker>
          <c:xVal>
            <c:numRef>
              <c:f>不同含水率!$A$11:$A$31</c:f>
              <c:numCache>
                <c:formatCode>0.0000_);[Red]\(0.0000\)</c:formatCode>
                <c:ptCount val="21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  <c:pt idx="6">
                  <c:v>3</c:v>
                </c:pt>
                <c:pt idx="7">
                  <c:v>3.5</c:v>
                </c:pt>
                <c:pt idx="8">
                  <c:v>4</c:v>
                </c:pt>
                <c:pt idx="9">
                  <c:v>4.5</c:v>
                </c:pt>
                <c:pt idx="10">
                  <c:v>5</c:v>
                </c:pt>
                <c:pt idx="11">
                  <c:v>5.5</c:v>
                </c:pt>
                <c:pt idx="12">
                  <c:v>6</c:v>
                </c:pt>
                <c:pt idx="13">
                  <c:v>6.5</c:v>
                </c:pt>
                <c:pt idx="14">
                  <c:v>7</c:v>
                </c:pt>
                <c:pt idx="15">
                  <c:v>7.5</c:v>
                </c:pt>
                <c:pt idx="16">
                  <c:v>8</c:v>
                </c:pt>
                <c:pt idx="17">
                  <c:v>8.5</c:v>
                </c:pt>
                <c:pt idx="18">
                  <c:v>9</c:v>
                </c:pt>
                <c:pt idx="19">
                  <c:v>9.5</c:v>
                </c:pt>
                <c:pt idx="20">
                  <c:v>10</c:v>
                </c:pt>
              </c:numCache>
            </c:numRef>
          </c:xVal>
          <c:yVal>
            <c:numRef>
              <c:f>不同含水率!$M$64:$M$84</c:f>
              <c:numCache>
                <c:formatCode>0.0000_);[Red]\(0.0000\)</c:formatCode>
                <c:ptCount val="21"/>
                <c:pt idx="0">
                  <c:v>1</c:v>
                </c:pt>
                <c:pt idx="1">
                  <c:v>5.4761904761904763</c:v>
                </c:pt>
                <c:pt idx="2">
                  <c:v>13.928571428571431</c:v>
                </c:pt>
                <c:pt idx="3">
                  <c:v>20.452380952380956</c:v>
                </c:pt>
                <c:pt idx="4">
                  <c:v>26.19047619047619</c:v>
                </c:pt>
                <c:pt idx="5">
                  <c:v>31.047619047619047</c:v>
                </c:pt>
                <c:pt idx="6">
                  <c:v>35.857142857142861</c:v>
                </c:pt>
                <c:pt idx="7">
                  <c:v>39.501582356722622</c:v>
                </c:pt>
                <c:pt idx="8">
                  <c:v>42.424219947584525</c:v>
                </c:pt>
                <c:pt idx="9">
                  <c:v>44.297599268159999</c:v>
                </c:pt>
                <c:pt idx="10">
                  <c:v>46.91383573159262</c:v>
                </c:pt>
                <c:pt idx="11">
                  <c:v>49.764753102902624</c:v>
                </c:pt>
                <c:pt idx="12">
                  <c:v>50.107056321976195</c:v>
                </c:pt>
                <c:pt idx="13">
                  <c:v>50.73159274093809</c:v>
                </c:pt>
                <c:pt idx="14">
                  <c:v>42.761904761904766</c:v>
                </c:pt>
                <c:pt idx="15">
                  <c:v>43.69047619047619</c:v>
                </c:pt>
                <c:pt idx="16">
                  <c:v>43.714285714285722</c:v>
                </c:pt>
                <c:pt idx="17">
                  <c:v>47.567967166097141</c:v>
                </c:pt>
                <c:pt idx="18">
                  <c:v>46.777060772386911</c:v>
                </c:pt>
                <c:pt idx="19">
                  <c:v>49.904761904761905</c:v>
                </c:pt>
                <c:pt idx="20">
                  <c:v>50.285714285714278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03926864"/>
        <c:axId val="451784136"/>
      </c:scatterChart>
      <c:valAx>
        <c:axId val="703926864"/>
        <c:scaling>
          <c:orientation val="minMax"/>
          <c:max val="10"/>
        </c:scaling>
        <c:delete val="0"/>
        <c:axPos val="b"/>
        <c:title>
          <c:tx>
            <c:rich>
              <a:bodyPr/>
              <a:lstStyle/>
              <a:p>
                <a:pPr>
                  <a:defRPr sz="800" baseline="0">
                    <a:latin typeface="Palatino Linotype" pitchFamily="18" charset="0"/>
                    <a:ea typeface="宋体" pitchFamily="2" charset="-122"/>
                  </a:defRPr>
                </a:pPr>
                <a:r>
                  <a:rPr lang="en-US" altLang="zh-CN" sz="800" b="0" baseline="0" dirty="0">
                    <a:latin typeface="Palatino Linotype" pitchFamily="18" charset="0"/>
                    <a:ea typeface="宋体" pitchFamily="2" charset="-122"/>
                  </a:rPr>
                  <a:t>PV</a:t>
                </a:r>
                <a:endParaRPr lang="zh-CN" altLang="en-US" sz="800" b="0" baseline="0" dirty="0">
                  <a:latin typeface="Palatino Linotype" pitchFamily="18" charset="0"/>
                  <a:ea typeface="宋体" pitchFamily="2" charset="-122"/>
                </a:endParaRPr>
              </a:p>
            </c:rich>
          </c:tx>
          <c:layout>
            <c:manualLayout>
              <c:xMode val="edge"/>
              <c:yMode val="edge"/>
              <c:x val="0.5408033753222965"/>
              <c:y val="0.87829696188726303"/>
            </c:manualLayout>
          </c:layout>
          <c:overlay val="0"/>
        </c:title>
        <c:numFmt formatCode="General" sourceLinked="0"/>
        <c:majorTickMark val="in"/>
        <c:minorTickMark val="none"/>
        <c:tickLblPos val="nextTo"/>
        <c:spPr>
          <a:ln w="3175">
            <a:solidFill>
              <a:sysClr val="windowText" lastClr="000000"/>
            </a:solidFill>
          </a:ln>
        </c:spPr>
        <c:txPr>
          <a:bodyPr/>
          <a:lstStyle/>
          <a:p>
            <a:pPr>
              <a:defRPr sz="800">
                <a:latin typeface="Palatino Linotype" pitchFamily="18" charset="0"/>
                <a:cs typeface="Times New Roman" pitchFamily="18" charset="0"/>
              </a:defRPr>
            </a:pPr>
            <a:endParaRPr lang="zh-CN"/>
          </a:p>
        </c:txPr>
        <c:crossAx val="451784136"/>
        <c:crosses val="autoZero"/>
        <c:crossBetween val="midCat"/>
        <c:majorUnit val="2"/>
      </c:valAx>
      <c:valAx>
        <c:axId val="451784136"/>
        <c:scaling>
          <c:orientation val="minMax"/>
          <c:max val="10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800" b="0">
                    <a:latin typeface="Palatino Linotype" pitchFamily="18" charset="0"/>
                    <a:ea typeface="+mn-ea"/>
                  </a:defRPr>
                </a:pPr>
                <a:r>
                  <a:rPr lang="en-US" altLang="zh-CN" sz="800" b="0">
                    <a:latin typeface="Palatino Linotype" pitchFamily="18" charset="0"/>
                    <a:ea typeface="+mn-ea"/>
                  </a:rPr>
                  <a:t>Resistance coefficient (F</a:t>
                </a:r>
                <a:r>
                  <a:rPr lang="en-US" altLang="zh-CN" sz="800" b="0" baseline="-25000">
                    <a:latin typeface="Palatino Linotype" pitchFamily="18" charset="0"/>
                    <a:ea typeface="+mn-ea"/>
                  </a:rPr>
                  <a:t>R</a:t>
                </a:r>
                <a:r>
                  <a:rPr lang="en-US" altLang="zh-CN" sz="800" b="0">
                    <a:latin typeface="Palatino Linotype" pitchFamily="18" charset="0"/>
                    <a:ea typeface="+mn-ea"/>
                  </a:rPr>
                  <a:t>)</a:t>
                </a:r>
              </a:p>
            </c:rich>
          </c:tx>
          <c:layout>
            <c:manualLayout>
              <c:xMode val="edge"/>
              <c:yMode val="edge"/>
              <c:x val="2.0241914205168803E-3"/>
              <c:y val="0.14437591776798825"/>
            </c:manualLayout>
          </c:layout>
          <c:overlay val="0"/>
        </c:title>
        <c:numFmt formatCode="General" sourceLinked="0"/>
        <c:majorTickMark val="in"/>
        <c:minorTickMark val="none"/>
        <c:tickLblPos val="nextTo"/>
        <c:spPr>
          <a:ln w="3175">
            <a:solidFill>
              <a:sysClr val="windowText" lastClr="000000"/>
            </a:solidFill>
          </a:ln>
        </c:spPr>
        <c:txPr>
          <a:bodyPr/>
          <a:lstStyle/>
          <a:p>
            <a:pPr>
              <a:defRPr sz="800">
                <a:latin typeface="Palatino Linotype" pitchFamily="18" charset="0"/>
                <a:cs typeface="Times New Roman" pitchFamily="18" charset="0"/>
              </a:defRPr>
            </a:pPr>
            <a:endParaRPr lang="zh-CN"/>
          </a:p>
        </c:txPr>
        <c:crossAx val="703926864"/>
        <c:crosses val="autoZero"/>
        <c:crossBetween val="midCat"/>
        <c:majorUnit val="20"/>
      </c:valAx>
      <c:spPr>
        <a:ln w="3175">
          <a:solidFill>
            <a:sysClr val="windowText" lastClr="000000"/>
          </a:solidFill>
        </a:ln>
      </c:spPr>
    </c:plotArea>
    <c:legend>
      <c:legendPos val="t"/>
      <c:layout>
        <c:manualLayout>
          <c:xMode val="edge"/>
          <c:yMode val="edge"/>
          <c:x val="0.33634587343248767"/>
          <c:y val="0.6619889694404939"/>
          <c:w val="0.5940627734033247"/>
          <c:h val="0.17820712939516922"/>
        </c:manualLayout>
      </c:layout>
      <c:overlay val="0"/>
      <c:txPr>
        <a:bodyPr/>
        <a:lstStyle/>
        <a:p>
          <a:pPr>
            <a:defRPr sz="800" baseline="0">
              <a:latin typeface="Palatino Linotype" pitchFamily="18" charset="0"/>
              <a:ea typeface="宋体" pitchFamily="2" charset="-122"/>
            </a:defRPr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2835615276156154"/>
          <c:y val="2.7861536175902542E-2"/>
          <c:w val="0.72033548397522662"/>
          <c:h val="0.8302468579092811"/>
        </c:manualLayout>
      </c:layout>
      <c:scatterChart>
        <c:scatterStyle val="lineMarker"/>
        <c:varyColors val="0"/>
        <c:ser>
          <c:idx val="0"/>
          <c:order val="0"/>
          <c:tx>
            <c:v>Water cut 70%</c:v>
          </c:tx>
          <c:spPr>
            <a:ln w="12700">
              <a:noFill/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marker>
            <c:symbol val="triangle"/>
            <c:size val="5"/>
            <c:spPr>
              <a:solidFill>
                <a:srgbClr val="000066"/>
              </a:solidFill>
              <a:ln w="12700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</c:marker>
          <c:xVal>
            <c:numRef>
              <c:f>不同含水率!$A$11:$A$31</c:f>
              <c:numCache>
                <c:formatCode>0.0000_);[Red]\(0.0000\)</c:formatCode>
                <c:ptCount val="21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  <c:pt idx="6">
                  <c:v>3</c:v>
                </c:pt>
                <c:pt idx="7">
                  <c:v>3.5</c:v>
                </c:pt>
                <c:pt idx="8">
                  <c:v>4</c:v>
                </c:pt>
                <c:pt idx="9">
                  <c:v>4.5</c:v>
                </c:pt>
                <c:pt idx="10">
                  <c:v>5</c:v>
                </c:pt>
                <c:pt idx="11">
                  <c:v>5.5</c:v>
                </c:pt>
                <c:pt idx="12">
                  <c:v>6</c:v>
                </c:pt>
                <c:pt idx="13">
                  <c:v>6.5</c:v>
                </c:pt>
                <c:pt idx="14">
                  <c:v>7</c:v>
                </c:pt>
                <c:pt idx="15">
                  <c:v>7.5</c:v>
                </c:pt>
                <c:pt idx="16">
                  <c:v>8</c:v>
                </c:pt>
                <c:pt idx="17">
                  <c:v>8.5</c:v>
                </c:pt>
                <c:pt idx="18">
                  <c:v>9</c:v>
                </c:pt>
                <c:pt idx="19">
                  <c:v>9.5</c:v>
                </c:pt>
                <c:pt idx="20">
                  <c:v>10</c:v>
                </c:pt>
              </c:numCache>
            </c:numRef>
          </c:xVal>
          <c:yVal>
            <c:numRef>
              <c:f>不同含水率!$P$90:$P$110</c:f>
              <c:numCache>
                <c:formatCode>0.0000_);[Red]\(0.0000\)</c:formatCode>
                <c:ptCount val="21"/>
                <c:pt idx="0">
                  <c:v>1</c:v>
                </c:pt>
                <c:pt idx="1">
                  <c:v>6.1904761904761907</c:v>
                </c:pt>
                <c:pt idx="2">
                  <c:v>9.6428571428571423</c:v>
                </c:pt>
                <c:pt idx="3">
                  <c:v>13.785714285714285</c:v>
                </c:pt>
                <c:pt idx="4">
                  <c:v>18.30952380952381</c:v>
                </c:pt>
                <c:pt idx="5">
                  <c:v>22.952380952380953</c:v>
                </c:pt>
                <c:pt idx="6">
                  <c:v>25.857142857142854</c:v>
                </c:pt>
                <c:pt idx="7">
                  <c:v>27.596820451960713</c:v>
                </c:pt>
                <c:pt idx="8">
                  <c:v>30.995648519013095</c:v>
                </c:pt>
                <c:pt idx="9">
                  <c:v>33.107123077683809</c:v>
                </c:pt>
                <c:pt idx="10">
                  <c:v>35.009073826830715</c:v>
                </c:pt>
                <c:pt idx="11">
                  <c:v>35.480072195025237</c:v>
                </c:pt>
                <c:pt idx="12">
                  <c:v>36.177372298864285</c:v>
                </c:pt>
                <c:pt idx="13">
                  <c:v>36.445878455223813</c:v>
                </c:pt>
                <c:pt idx="14">
                  <c:v>36.488305394846904</c:v>
                </c:pt>
                <c:pt idx="15">
                  <c:v>36.547619047619051</c:v>
                </c:pt>
                <c:pt idx="16">
                  <c:v>30.452380952380956</c:v>
                </c:pt>
                <c:pt idx="17">
                  <c:v>30.976190476190474</c:v>
                </c:pt>
                <c:pt idx="18">
                  <c:v>31.062775058101188</c:v>
                </c:pt>
                <c:pt idx="19">
                  <c:v>36.261904761904759</c:v>
                </c:pt>
                <c:pt idx="20">
                  <c:v>37.761904761904759</c:v>
                </c:pt>
              </c:numCache>
            </c:numRef>
          </c:yVal>
          <c:smooth val="0"/>
        </c:ser>
        <c:ser>
          <c:idx val="1"/>
          <c:order val="1"/>
          <c:tx>
            <c:v>Water cut 60%</c:v>
          </c:tx>
          <c:spPr>
            <a:ln w="6350">
              <a:noFill/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marker>
            <c:symbol val="triangle"/>
            <c:size val="5"/>
            <c:spPr>
              <a:solidFill>
                <a:srgbClr val="A50021"/>
              </a:solidFill>
              <a:ln w="12700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</c:marker>
          <c:xVal>
            <c:numRef>
              <c:f>不同含水率!$A$11:$A$31</c:f>
              <c:numCache>
                <c:formatCode>0.0000_);[Red]\(0.0000\)</c:formatCode>
                <c:ptCount val="21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  <c:pt idx="6">
                  <c:v>3</c:v>
                </c:pt>
                <c:pt idx="7">
                  <c:v>3.5</c:v>
                </c:pt>
                <c:pt idx="8">
                  <c:v>4</c:v>
                </c:pt>
                <c:pt idx="9">
                  <c:v>4.5</c:v>
                </c:pt>
                <c:pt idx="10">
                  <c:v>5</c:v>
                </c:pt>
                <c:pt idx="11">
                  <c:v>5.5</c:v>
                </c:pt>
                <c:pt idx="12">
                  <c:v>6</c:v>
                </c:pt>
                <c:pt idx="13">
                  <c:v>6.5</c:v>
                </c:pt>
                <c:pt idx="14">
                  <c:v>7</c:v>
                </c:pt>
                <c:pt idx="15">
                  <c:v>7.5</c:v>
                </c:pt>
                <c:pt idx="16">
                  <c:v>8</c:v>
                </c:pt>
                <c:pt idx="17">
                  <c:v>8.5</c:v>
                </c:pt>
                <c:pt idx="18">
                  <c:v>9</c:v>
                </c:pt>
                <c:pt idx="19">
                  <c:v>9.5</c:v>
                </c:pt>
                <c:pt idx="20">
                  <c:v>10</c:v>
                </c:pt>
              </c:numCache>
            </c:numRef>
          </c:xVal>
          <c:yVal>
            <c:numRef>
              <c:f>不同含水率!$G$90:$G$110</c:f>
              <c:numCache>
                <c:formatCode>0.0000_);[Red]\(0.0000\)</c:formatCode>
                <c:ptCount val="21"/>
                <c:pt idx="0">
                  <c:v>0.8</c:v>
                </c:pt>
                <c:pt idx="1">
                  <c:v>14.857142857142856</c:v>
                </c:pt>
                <c:pt idx="2">
                  <c:v>27.142857142857146</c:v>
                </c:pt>
                <c:pt idx="3">
                  <c:v>37.885714285714286</c:v>
                </c:pt>
                <c:pt idx="4">
                  <c:v>45.714285714285708</c:v>
                </c:pt>
                <c:pt idx="5">
                  <c:v>52.076190476190469</c:v>
                </c:pt>
                <c:pt idx="6">
                  <c:v>58.971428571428568</c:v>
                </c:pt>
                <c:pt idx="7">
                  <c:v>63.029837313949521</c:v>
                </c:pt>
                <c:pt idx="8">
                  <c:v>66.320328339019994</c:v>
                </c:pt>
                <c:pt idx="9">
                  <c:v>66.361888938337501</c:v>
                </c:pt>
                <c:pt idx="10">
                  <c:v>67.007259061464595</c:v>
                </c:pt>
                <c:pt idx="11">
                  <c:v>67.590476190476195</c:v>
                </c:pt>
                <c:pt idx="12">
                  <c:v>67.866666666666703</c:v>
                </c:pt>
                <c:pt idx="13">
                  <c:v>67.038095238095195</c:v>
                </c:pt>
                <c:pt idx="14">
                  <c:v>54.876190476190501</c:v>
                </c:pt>
                <c:pt idx="15">
                  <c:v>57.034109677099799</c:v>
                </c:pt>
                <c:pt idx="16">
                  <c:v>60.553765514512598</c:v>
                </c:pt>
                <c:pt idx="17">
                  <c:v>60.292468970972998</c:v>
                </c:pt>
                <c:pt idx="18">
                  <c:v>59.659743856004802</c:v>
                </c:pt>
                <c:pt idx="19">
                  <c:v>59.1142857142857</c:v>
                </c:pt>
                <c:pt idx="20">
                  <c:v>59.438095238095201</c:v>
                </c:pt>
              </c:numCache>
            </c:numRef>
          </c:yVal>
          <c:smooth val="0"/>
        </c:ser>
        <c:ser>
          <c:idx val="2"/>
          <c:order val="2"/>
          <c:tx>
            <c:v>Water cut 50%</c:v>
          </c:tx>
          <c:spPr>
            <a:ln w="12700">
              <a:noFill/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marker>
            <c:symbol val="triangle"/>
            <c:size val="5"/>
            <c:spPr>
              <a:solidFill>
                <a:srgbClr val="336600"/>
              </a:solidFill>
              <a:ln w="12700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</c:marker>
          <c:xVal>
            <c:numRef>
              <c:f>不同含水率!$A$11:$A$31</c:f>
              <c:numCache>
                <c:formatCode>0.0000_);[Red]\(0.0000\)</c:formatCode>
                <c:ptCount val="21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  <c:pt idx="6">
                  <c:v>3</c:v>
                </c:pt>
                <c:pt idx="7">
                  <c:v>3.5</c:v>
                </c:pt>
                <c:pt idx="8">
                  <c:v>4</c:v>
                </c:pt>
                <c:pt idx="9">
                  <c:v>4.5</c:v>
                </c:pt>
                <c:pt idx="10">
                  <c:v>5</c:v>
                </c:pt>
                <c:pt idx="11">
                  <c:v>5.5</c:v>
                </c:pt>
                <c:pt idx="12">
                  <c:v>6</c:v>
                </c:pt>
                <c:pt idx="13">
                  <c:v>6.5</c:v>
                </c:pt>
                <c:pt idx="14">
                  <c:v>7</c:v>
                </c:pt>
                <c:pt idx="15">
                  <c:v>7.5</c:v>
                </c:pt>
                <c:pt idx="16">
                  <c:v>8</c:v>
                </c:pt>
                <c:pt idx="17">
                  <c:v>8.5</c:v>
                </c:pt>
                <c:pt idx="18">
                  <c:v>9</c:v>
                </c:pt>
                <c:pt idx="19">
                  <c:v>9.5</c:v>
                </c:pt>
                <c:pt idx="20">
                  <c:v>10</c:v>
                </c:pt>
              </c:numCache>
            </c:numRef>
          </c:xVal>
          <c:yVal>
            <c:numRef>
              <c:f>不同含水率!$D$90:$D$110</c:f>
              <c:numCache>
                <c:formatCode>0.0000_);[Red]\(0.0000\)</c:formatCode>
                <c:ptCount val="21"/>
                <c:pt idx="0">
                  <c:v>0.8</c:v>
                </c:pt>
                <c:pt idx="1">
                  <c:v>14.285714285714301</c:v>
                </c:pt>
                <c:pt idx="2">
                  <c:v>27.8095238095238</c:v>
                </c:pt>
                <c:pt idx="3">
                  <c:v>38.476190476190503</c:v>
                </c:pt>
                <c:pt idx="4">
                  <c:v>43.619047619047599</c:v>
                </c:pt>
                <c:pt idx="5">
                  <c:v>47.619047619047599</c:v>
                </c:pt>
                <c:pt idx="6">
                  <c:v>50.095238095238102</c:v>
                </c:pt>
                <c:pt idx="7">
                  <c:v>60.458408742521001</c:v>
                </c:pt>
                <c:pt idx="8">
                  <c:v>62.542857142857102</c:v>
                </c:pt>
                <c:pt idx="9">
                  <c:v>64.790476190476198</c:v>
                </c:pt>
                <c:pt idx="10">
                  <c:v>66.066666666666706</c:v>
                </c:pt>
                <c:pt idx="11">
                  <c:v>67.847619047619006</c:v>
                </c:pt>
                <c:pt idx="12">
                  <c:v>67.543410967709903</c:v>
                </c:pt>
                <c:pt idx="13">
                  <c:v>67.239479800226903</c:v>
                </c:pt>
                <c:pt idx="14">
                  <c:v>61.473421351925303</c:v>
                </c:pt>
                <c:pt idx="15">
                  <c:v>56.374029570290503</c:v>
                </c:pt>
                <c:pt idx="16">
                  <c:v>57.323809523809501</c:v>
                </c:pt>
                <c:pt idx="17">
                  <c:v>58.8380952380952</c:v>
                </c:pt>
                <c:pt idx="18">
                  <c:v>56.019047619047598</c:v>
                </c:pt>
                <c:pt idx="19">
                  <c:v>57.866666666666703</c:v>
                </c:pt>
                <c:pt idx="20">
                  <c:v>58.571428571428598</c:v>
                </c:pt>
              </c:numCache>
            </c:numRef>
          </c:yVal>
          <c:smooth val="0"/>
        </c:ser>
        <c:ser>
          <c:idx val="3"/>
          <c:order val="3"/>
          <c:tx>
            <c:v>Water cut 40%</c:v>
          </c:tx>
          <c:spPr>
            <a:ln w="12700">
              <a:noFill/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marker>
            <c:symbol val="triangle"/>
            <c:size val="5"/>
            <c:spPr>
              <a:solidFill>
                <a:srgbClr val="6600CC"/>
              </a:solidFill>
              <a:ln w="12700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</c:marker>
          <c:xVal>
            <c:numRef>
              <c:f>不同含水率!$A$11:$A$31</c:f>
              <c:numCache>
                <c:formatCode>0.0000_);[Red]\(0.0000\)</c:formatCode>
                <c:ptCount val="21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  <c:pt idx="6">
                  <c:v>3</c:v>
                </c:pt>
                <c:pt idx="7">
                  <c:v>3.5</c:v>
                </c:pt>
                <c:pt idx="8">
                  <c:v>4</c:v>
                </c:pt>
                <c:pt idx="9">
                  <c:v>4.5</c:v>
                </c:pt>
                <c:pt idx="10">
                  <c:v>5</c:v>
                </c:pt>
                <c:pt idx="11">
                  <c:v>5.5</c:v>
                </c:pt>
                <c:pt idx="12">
                  <c:v>6</c:v>
                </c:pt>
                <c:pt idx="13">
                  <c:v>6.5</c:v>
                </c:pt>
                <c:pt idx="14">
                  <c:v>7</c:v>
                </c:pt>
                <c:pt idx="15">
                  <c:v>7.5</c:v>
                </c:pt>
                <c:pt idx="16">
                  <c:v>8</c:v>
                </c:pt>
                <c:pt idx="17">
                  <c:v>8.5</c:v>
                </c:pt>
                <c:pt idx="18">
                  <c:v>9</c:v>
                </c:pt>
                <c:pt idx="19">
                  <c:v>9.5</c:v>
                </c:pt>
                <c:pt idx="20">
                  <c:v>10</c:v>
                </c:pt>
              </c:numCache>
            </c:numRef>
          </c:xVal>
          <c:yVal>
            <c:numRef>
              <c:f>不同含水率!$J$90:$J$110</c:f>
              <c:numCache>
                <c:formatCode>0.0000_);[Red]\(0.0000\)</c:formatCode>
                <c:ptCount val="21"/>
                <c:pt idx="0">
                  <c:v>0.7</c:v>
                </c:pt>
                <c:pt idx="1">
                  <c:v>9.6666666666666679</c:v>
                </c:pt>
                <c:pt idx="2">
                  <c:v>17.083333333333336</c:v>
                </c:pt>
                <c:pt idx="3">
                  <c:v>26.483333333333334</c:v>
                </c:pt>
                <c:pt idx="4">
                  <c:v>33.333333333333343</c:v>
                </c:pt>
                <c:pt idx="5">
                  <c:v>38.899999999999991</c:v>
                </c:pt>
                <c:pt idx="6">
                  <c:v>44.933333333333337</c:v>
                </c:pt>
                <c:pt idx="7">
                  <c:v>49.3177743163725</c:v>
                </c:pt>
                <c:pt idx="8">
                  <c:v>53.030287296642499</c:v>
                </c:pt>
                <c:pt idx="9">
                  <c:v>53.941652821045331</c:v>
                </c:pt>
                <c:pt idx="10">
                  <c:v>54.506351678781499</c:v>
                </c:pt>
                <c:pt idx="11">
                  <c:v>54.836050536517675</c:v>
                </c:pt>
                <c:pt idx="12">
                  <c:v>55.324160609205002</c:v>
                </c:pt>
                <c:pt idx="13">
                  <c:v>55.512114918656664</c:v>
                </c:pt>
                <c:pt idx="14">
                  <c:v>55.35</c:v>
                </c:pt>
                <c:pt idx="15">
                  <c:v>42.821512634128993</c:v>
                </c:pt>
                <c:pt idx="16">
                  <c:v>42.567878158531826</c:v>
                </c:pt>
                <c:pt idx="17">
                  <c:v>48.297577016268008</c:v>
                </c:pt>
                <c:pt idx="18">
                  <c:v>49.410609207337515</c:v>
                </c:pt>
                <c:pt idx="19">
                  <c:v>50.2</c:v>
                </c:pt>
                <c:pt idx="20">
                  <c:v>51.599999999999994</c:v>
                </c:pt>
              </c:numCache>
            </c:numRef>
          </c:yVal>
          <c:smooth val="0"/>
        </c:ser>
        <c:ser>
          <c:idx val="4"/>
          <c:order val="4"/>
          <c:tx>
            <c:v>Water cut 30%</c:v>
          </c:tx>
          <c:spPr>
            <a:ln w="12700">
              <a:noFill/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marker>
            <c:symbol val="triangle"/>
            <c:size val="5"/>
            <c:spPr>
              <a:solidFill>
                <a:srgbClr val="CC00CC"/>
              </a:solidFill>
              <a:ln w="12700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</c:marker>
          <c:xVal>
            <c:numRef>
              <c:f>不同含水率!$A$11:$A$31</c:f>
              <c:numCache>
                <c:formatCode>0.0000_);[Red]\(0.0000\)</c:formatCode>
                <c:ptCount val="21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  <c:pt idx="6">
                  <c:v>3</c:v>
                </c:pt>
                <c:pt idx="7">
                  <c:v>3.5</c:v>
                </c:pt>
                <c:pt idx="8">
                  <c:v>4</c:v>
                </c:pt>
                <c:pt idx="9">
                  <c:v>4.5</c:v>
                </c:pt>
                <c:pt idx="10">
                  <c:v>5</c:v>
                </c:pt>
                <c:pt idx="11">
                  <c:v>5.5</c:v>
                </c:pt>
                <c:pt idx="12">
                  <c:v>6</c:v>
                </c:pt>
                <c:pt idx="13">
                  <c:v>6.5</c:v>
                </c:pt>
                <c:pt idx="14">
                  <c:v>7</c:v>
                </c:pt>
                <c:pt idx="15">
                  <c:v>7.5</c:v>
                </c:pt>
                <c:pt idx="16">
                  <c:v>8</c:v>
                </c:pt>
                <c:pt idx="17">
                  <c:v>8.5</c:v>
                </c:pt>
                <c:pt idx="18">
                  <c:v>9</c:v>
                </c:pt>
                <c:pt idx="19">
                  <c:v>9.5</c:v>
                </c:pt>
                <c:pt idx="20">
                  <c:v>10</c:v>
                </c:pt>
              </c:numCache>
            </c:numRef>
          </c:xVal>
          <c:yVal>
            <c:numRef>
              <c:f>不同含水率!$M$90:$M$110</c:f>
              <c:numCache>
                <c:formatCode>0.0000_);[Red]\(0.0000\)</c:formatCode>
                <c:ptCount val="21"/>
                <c:pt idx="0">
                  <c:v>1.04</c:v>
                </c:pt>
                <c:pt idx="1">
                  <c:v>6.4380952380952383</c:v>
                </c:pt>
                <c:pt idx="2">
                  <c:v>14.485714285714289</c:v>
                </c:pt>
                <c:pt idx="3">
                  <c:v>21.270476190476195</c:v>
                </c:pt>
                <c:pt idx="4">
                  <c:v>27.807619047619045</c:v>
                </c:pt>
                <c:pt idx="5">
                  <c:v>32.289523809523807</c:v>
                </c:pt>
                <c:pt idx="6">
                  <c:v>37.291428571428575</c:v>
                </c:pt>
                <c:pt idx="7">
                  <c:v>41.081645650991526</c:v>
                </c:pt>
                <c:pt idx="8">
                  <c:v>44.121188745487906</c:v>
                </c:pt>
                <c:pt idx="9">
                  <c:v>46.069503238886398</c:v>
                </c:pt>
                <c:pt idx="10">
                  <c:v>48.790389160856321</c:v>
                </c:pt>
                <c:pt idx="11">
                  <c:v>49.280227463778616</c:v>
                </c:pt>
                <c:pt idx="12">
                  <c:v>50.005419571771235</c:v>
                </c:pt>
                <c:pt idx="13">
                  <c:v>50.284665974385135</c:v>
                </c:pt>
                <c:pt idx="14">
                  <c:v>45.485714285714302</c:v>
                </c:pt>
                <c:pt idx="15">
                  <c:v>39.074285714285715</c:v>
                </c:pt>
                <c:pt idx="16">
                  <c:v>40.5352380952381</c:v>
                </c:pt>
                <c:pt idx="17">
                  <c:v>44.518304900360079</c:v>
                </c:pt>
                <c:pt idx="18">
                  <c:v>46.171952727091906</c:v>
                </c:pt>
                <c:pt idx="19">
                  <c:v>44.472380952380959</c:v>
                </c:pt>
                <c:pt idx="20">
                  <c:v>47.34476190476191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51784920"/>
        <c:axId val="451785312"/>
      </c:scatterChart>
      <c:valAx>
        <c:axId val="451784920"/>
        <c:scaling>
          <c:orientation val="minMax"/>
          <c:max val="10"/>
        </c:scaling>
        <c:delete val="0"/>
        <c:axPos val="b"/>
        <c:title>
          <c:tx>
            <c:rich>
              <a:bodyPr/>
              <a:lstStyle/>
              <a:p>
                <a:pPr>
                  <a:defRPr sz="800" baseline="0">
                    <a:latin typeface="Palatino Linotype" pitchFamily="18" charset="0"/>
                    <a:ea typeface="宋体" pitchFamily="2" charset="-122"/>
                  </a:defRPr>
                </a:pPr>
                <a:r>
                  <a:rPr lang="en-US" altLang="zh-CN" sz="800" b="0" baseline="0" dirty="0">
                    <a:latin typeface="Palatino Linotype" pitchFamily="18" charset="0"/>
                    <a:ea typeface="宋体" pitchFamily="2" charset="-122"/>
                  </a:rPr>
                  <a:t>PV</a:t>
                </a:r>
                <a:endParaRPr lang="zh-CN" altLang="en-US" sz="800" b="0" baseline="0" dirty="0">
                  <a:latin typeface="Palatino Linotype" pitchFamily="18" charset="0"/>
                  <a:ea typeface="宋体" pitchFamily="2" charset="-122"/>
                </a:endParaRPr>
              </a:p>
            </c:rich>
          </c:tx>
          <c:layout>
            <c:manualLayout>
              <c:xMode val="edge"/>
              <c:yMode val="edge"/>
              <c:x val="0.5408033753222965"/>
              <c:y val="0.87829696188726303"/>
            </c:manualLayout>
          </c:layout>
          <c:overlay val="0"/>
        </c:title>
        <c:numFmt formatCode="General" sourceLinked="0"/>
        <c:majorTickMark val="in"/>
        <c:minorTickMark val="none"/>
        <c:tickLblPos val="nextTo"/>
        <c:spPr>
          <a:ln w="3175">
            <a:solidFill>
              <a:sysClr val="windowText" lastClr="000000"/>
            </a:solidFill>
          </a:ln>
        </c:spPr>
        <c:txPr>
          <a:bodyPr/>
          <a:lstStyle/>
          <a:p>
            <a:pPr>
              <a:defRPr sz="800">
                <a:latin typeface="Palatino Linotype" pitchFamily="18" charset="0"/>
                <a:cs typeface="Times New Roman" pitchFamily="18" charset="0"/>
              </a:defRPr>
            </a:pPr>
            <a:endParaRPr lang="zh-CN"/>
          </a:p>
        </c:txPr>
        <c:crossAx val="451785312"/>
        <c:crosses val="autoZero"/>
        <c:crossBetween val="midCat"/>
        <c:majorUnit val="2"/>
      </c:valAx>
      <c:valAx>
        <c:axId val="451785312"/>
        <c:scaling>
          <c:orientation val="minMax"/>
          <c:max val="10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800" b="0">
                    <a:latin typeface="Palatino Linotype" pitchFamily="18" charset="0"/>
                    <a:ea typeface="+mn-ea"/>
                  </a:defRPr>
                </a:pPr>
                <a:r>
                  <a:rPr lang="en-US" altLang="zh-CN" sz="800" b="0">
                    <a:latin typeface="Palatino Linotype" pitchFamily="18" charset="0"/>
                    <a:ea typeface="+mn-ea"/>
                  </a:rPr>
                  <a:t>Resistance coefficient (F</a:t>
                </a:r>
                <a:r>
                  <a:rPr lang="en-US" altLang="zh-CN" sz="800" b="0" baseline="-25000">
                    <a:latin typeface="Palatino Linotype" pitchFamily="18" charset="0"/>
                    <a:ea typeface="+mn-ea"/>
                  </a:rPr>
                  <a:t>R</a:t>
                </a:r>
                <a:r>
                  <a:rPr lang="en-US" altLang="zh-CN" sz="800" b="0">
                    <a:latin typeface="Palatino Linotype" pitchFamily="18" charset="0"/>
                    <a:ea typeface="+mn-ea"/>
                  </a:rPr>
                  <a:t>)</a:t>
                </a:r>
              </a:p>
            </c:rich>
          </c:tx>
          <c:layout>
            <c:manualLayout>
              <c:xMode val="edge"/>
              <c:yMode val="edge"/>
              <c:x val="2.0241914205168803E-3"/>
              <c:y val="0.17180616740088106"/>
            </c:manualLayout>
          </c:layout>
          <c:overlay val="0"/>
        </c:title>
        <c:numFmt formatCode="General" sourceLinked="0"/>
        <c:majorTickMark val="in"/>
        <c:minorTickMark val="none"/>
        <c:tickLblPos val="nextTo"/>
        <c:spPr>
          <a:ln w="3175">
            <a:solidFill>
              <a:sysClr val="windowText" lastClr="000000"/>
            </a:solidFill>
          </a:ln>
        </c:spPr>
        <c:txPr>
          <a:bodyPr/>
          <a:lstStyle/>
          <a:p>
            <a:pPr>
              <a:defRPr sz="800">
                <a:latin typeface="Palatino Linotype" pitchFamily="18" charset="0"/>
                <a:cs typeface="Times New Roman" pitchFamily="18" charset="0"/>
              </a:defRPr>
            </a:pPr>
            <a:endParaRPr lang="zh-CN"/>
          </a:p>
        </c:txPr>
        <c:crossAx val="451784920"/>
        <c:crosses val="autoZero"/>
        <c:crossBetween val="midCat"/>
        <c:majorUnit val="20"/>
      </c:valAx>
      <c:spPr>
        <a:ln w="3175">
          <a:solidFill>
            <a:sysClr val="windowText" lastClr="000000"/>
          </a:solidFill>
        </a:ln>
      </c:spPr>
    </c:plotArea>
    <c:legend>
      <c:legendPos val="t"/>
      <c:layout>
        <c:manualLayout>
          <c:xMode val="edge"/>
          <c:yMode val="edge"/>
          <c:x val="0.36125498094436098"/>
          <c:y val="0.65611525431567752"/>
          <c:w val="0.56562657892680723"/>
          <c:h val="0.18408084451998566"/>
        </c:manualLayout>
      </c:layout>
      <c:overlay val="0"/>
      <c:txPr>
        <a:bodyPr/>
        <a:lstStyle/>
        <a:p>
          <a:pPr>
            <a:defRPr sz="800" baseline="0">
              <a:latin typeface="Palatino Linotype" pitchFamily="18" charset="0"/>
              <a:ea typeface="宋体" pitchFamily="2" charset="-122"/>
            </a:defRPr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1353555101118835"/>
          <c:y val="2.6020558002936858E-2"/>
          <c:w val="0.73569014078876094"/>
          <c:h val="0.81795164460661174"/>
        </c:manualLayout>
      </c:layout>
      <c:scatterChart>
        <c:scatterStyle val="lineMarker"/>
        <c:varyColors val="0"/>
        <c:ser>
          <c:idx val="0"/>
          <c:order val="0"/>
          <c:tx>
            <c:v>Surfactant concentration 2%</c:v>
          </c:tx>
          <c:spPr>
            <a:ln w="6350">
              <a:noFill/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marker>
            <c:symbol val="triangle"/>
            <c:size val="5"/>
            <c:spPr>
              <a:solidFill>
                <a:srgbClr val="000066"/>
              </a:solidFill>
              <a:ln w="12700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</c:marker>
          <c:xVal>
            <c:numRef>
              <c:f>不同表活剂浓度!$A$9:$A$29</c:f>
              <c:numCache>
                <c:formatCode>0.0000_);[Red]\(0.0000\)</c:formatCode>
                <c:ptCount val="21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  <c:pt idx="6">
                  <c:v>3</c:v>
                </c:pt>
                <c:pt idx="7">
                  <c:v>3.5</c:v>
                </c:pt>
                <c:pt idx="8">
                  <c:v>4</c:v>
                </c:pt>
                <c:pt idx="9">
                  <c:v>4.5</c:v>
                </c:pt>
                <c:pt idx="10">
                  <c:v>5</c:v>
                </c:pt>
                <c:pt idx="11">
                  <c:v>5.5</c:v>
                </c:pt>
                <c:pt idx="12">
                  <c:v>6</c:v>
                </c:pt>
                <c:pt idx="13">
                  <c:v>6.5</c:v>
                </c:pt>
                <c:pt idx="14">
                  <c:v>7</c:v>
                </c:pt>
                <c:pt idx="15">
                  <c:v>7.5</c:v>
                </c:pt>
                <c:pt idx="16">
                  <c:v>8</c:v>
                </c:pt>
                <c:pt idx="17">
                  <c:v>8.5</c:v>
                </c:pt>
                <c:pt idx="18">
                  <c:v>9</c:v>
                </c:pt>
                <c:pt idx="19">
                  <c:v>9.5</c:v>
                </c:pt>
                <c:pt idx="20">
                  <c:v>10</c:v>
                </c:pt>
              </c:numCache>
            </c:numRef>
          </c:xVal>
          <c:yVal>
            <c:numRef>
              <c:f>不同表活剂浓度!$G$9:$G$29</c:f>
              <c:numCache>
                <c:formatCode>0.0000_);[Red]\(0.0000\)</c:formatCode>
                <c:ptCount val="21"/>
                <c:pt idx="0">
                  <c:v>1</c:v>
                </c:pt>
                <c:pt idx="1">
                  <c:v>23.809523809523814</c:v>
                </c:pt>
                <c:pt idx="2">
                  <c:v>45.476190476190474</c:v>
                </c:pt>
                <c:pt idx="3">
                  <c:v>61.19047619047619</c:v>
                </c:pt>
                <c:pt idx="4">
                  <c:v>71.428571428571416</c:v>
                </c:pt>
                <c:pt idx="5">
                  <c:v>82.142857142857139</c:v>
                </c:pt>
                <c:pt idx="6">
                  <c:v>89.999999999999986</c:v>
                </c:pt>
                <c:pt idx="7">
                  <c:v>91.882534737674987</c:v>
                </c:pt>
                <c:pt idx="8">
                  <c:v>93.138505661870241</c:v>
                </c:pt>
                <c:pt idx="9">
                  <c:v>93.728551649112376</c:v>
                </c:pt>
                <c:pt idx="10">
                  <c:v>94.270978588735474</c:v>
                </c:pt>
                <c:pt idx="11">
                  <c:v>94.452380952380949</c:v>
                </c:pt>
                <c:pt idx="12">
                  <c:v>63.935494239231893</c:v>
                </c:pt>
                <c:pt idx="13">
                  <c:v>61.430302131235962</c:v>
                </c:pt>
                <c:pt idx="14">
                  <c:v>58.44891954704952</c:v>
                </c:pt>
                <c:pt idx="15">
                  <c:v>65.705632200958334</c:v>
                </c:pt>
                <c:pt idx="16">
                  <c:v>67.904761904761912</c:v>
                </c:pt>
                <c:pt idx="17">
                  <c:v>78.309523809523824</c:v>
                </c:pt>
                <c:pt idx="18">
                  <c:v>75.38095238095238</c:v>
                </c:pt>
                <c:pt idx="19">
                  <c:v>80.071428571428569</c:v>
                </c:pt>
                <c:pt idx="20">
                  <c:v>85.61904761904762</c:v>
                </c:pt>
              </c:numCache>
            </c:numRef>
          </c:yVal>
          <c:smooth val="0"/>
        </c:ser>
        <c:ser>
          <c:idx val="1"/>
          <c:order val="1"/>
          <c:tx>
            <c:v>Surfactant concentration 1.5%</c:v>
          </c:tx>
          <c:spPr>
            <a:ln w="12700">
              <a:noFill/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marker>
            <c:symbol val="triangle"/>
            <c:size val="5"/>
            <c:spPr>
              <a:solidFill>
                <a:srgbClr val="A50021"/>
              </a:solidFill>
              <a:ln w="12700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</c:marker>
          <c:xVal>
            <c:numRef>
              <c:f>不同表活剂浓度!$A$9:$A$29</c:f>
              <c:numCache>
                <c:formatCode>0.0000_);[Red]\(0.0000\)</c:formatCode>
                <c:ptCount val="21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  <c:pt idx="6">
                  <c:v>3</c:v>
                </c:pt>
                <c:pt idx="7">
                  <c:v>3.5</c:v>
                </c:pt>
                <c:pt idx="8">
                  <c:v>4</c:v>
                </c:pt>
                <c:pt idx="9">
                  <c:v>4.5</c:v>
                </c:pt>
                <c:pt idx="10">
                  <c:v>5</c:v>
                </c:pt>
                <c:pt idx="11">
                  <c:v>5.5</c:v>
                </c:pt>
                <c:pt idx="12">
                  <c:v>6</c:v>
                </c:pt>
                <c:pt idx="13">
                  <c:v>6.5</c:v>
                </c:pt>
                <c:pt idx="14">
                  <c:v>7</c:v>
                </c:pt>
                <c:pt idx="15">
                  <c:v>7.5</c:v>
                </c:pt>
                <c:pt idx="16">
                  <c:v>8</c:v>
                </c:pt>
                <c:pt idx="17">
                  <c:v>8.5</c:v>
                </c:pt>
                <c:pt idx="18">
                  <c:v>9</c:v>
                </c:pt>
                <c:pt idx="19">
                  <c:v>9.5</c:v>
                </c:pt>
                <c:pt idx="20">
                  <c:v>10</c:v>
                </c:pt>
              </c:numCache>
            </c:numRef>
          </c:xVal>
          <c:yVal>
            <c:numRef>
              <c:f>不同表活剂浓度!$H$9:$H$29</c:f>
              <c:numCache>
                <c:formatCode>0.0000_);[Red]\(0.0000\)</c:formatCode>
                <c:ptCount val="21"/>
                <c:pt idx="0">
                  <c:v>1.1584920000000001</c:v>
                </c:pt>
                <c:pt idx="1">
                  <c:v>18.971428571428561</c:v>
                </c:pt>
                <c:pt idx="2">
                  <c:v>36.571428571428598</c:v>
                </c:pt>
                <c:pt idx="3">
                  <c:v>50.628571428571441</c:v>
                </c:pt>
                <c:pt idx="4">
                  <c:v>66.514285714285677</c:v>
                </c:pt>
                <c:pt idx="5">
                  <c:v>78.171428571428521</c:v>
                </c:pt>
                <c:pt idx="6">
                  <c:v>85.199999999999989</c:v>
                </c:pt>
                <c:pt idx="7">
                  <c:v>87.459041685209996</c:v>
                </c:pt>
                <c:pt idx="8">
                  <c:v>87.766206794244226</c:v>
                </c:pt>
                <c:pt idx="9">
                  <c:v>88.474261978934891</c:v>
                </c:pt>
                <c:pt idx="10">
                  <c:v>89.125174306482592</c:v>
                </c:pt>
                <c:pt idx="11">
                  <c:v>89.342857142857099</c:v>
                </c:pt>
                <c:pt idx="12">
                  <c:v>88.72259308707828</c:v>
                </c:pt>
                <c:pt idx="13">
                  <c:v>73.716362557483194</c:v>
                </c:pt>
                <c:pt idx="14">
                  <c:v>72.538703456459388</c:v>
                </c:pt>
                <c:pt idx="15">
                  <c:v>66.846758641149961</c:v>
                </c:pt>
                <c:pt idx="16">
                  <c:v>73.085714285714289</c:v>
                </c:pt>
                <c:pt idx="17">
                  <c:v>74.771428571428558</c:v>
                </c:pt>
                <c:pt idx="18">
                  <c:v>78.457142857142884</c:v>
                </c:pt>
                <c:pt idx="19">
                  <c:v>72.085714285714317</c:v>
                </c:pt>
                <c:pt idx="20">
                  <c:v>76.342857142857113</c:v>
                </c:pt>
              </c:numCache>
            </c:numRef>
          </c:yVal>
          <c:smooth val="0"/>
        </c:ser>
        <c:ser>
          <c:idx val="2"/>
          <c:order val="2"/>
          <c:tx>
            <c:v>Surfactant concentration 1%</c:v>
          </c:tx>
          <c:spPr>
            <a:ln w="12700">
              <a:noFill/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marker>
            <c:symbol val="triangle"/>
            <c:size val="5"/>
            <c:spPr>
              <a:solidFill>
                <a:srgbClr val="336600"/>
              </a:solidFill>
              <a:ln w="12700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</c:marker>
          <c:xVal>
            <c:numRef>
              <c:f>不同表活剂浓度!$A$9:$A$29</c:f>
              <c:numCache>
                <c:formatCode>0.0000_);[Red]\(0.0000\)</c:formatCode>
                <c:ptCount val="21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  <c:pt idx="6">
                  <c:v>3</c:v>
                </c:pt>
                <c:pt idx="7">
                  <c:v>3.5</c:v>
                </c:pt>
                <c:pt idx="8">
                  <c:v>4</c:v>
                </c:pt>
                <c:pt idx="9">
                  <c:v>4.5</c:v>
                </c:pt>
                <c:pt idx="10">
                  <c:v>5</c:v>
                </c:pt>
                <c:pt idx="11">
                  <c:v>5.5</c:v>
                </c:pt>
                <c:pt idx="12">
                  <c:v>6</c:v>
                </c:pt>
                <c:pt idx="13">
                  <c:v>6.5</c:v>
                </c:pt>
                <c:pt idx="14">
                  <c:v>7</c:v>
                </c:pt>
                <c:pt idx="15">
                  <c:v>7.5</c:v>
                </c:pt>
                <c:pt idx="16">
                  <c:v>8</c:v>
                </c:pt>
                <c:pt idx="17">
                  <c:v>8.5</c:v>
                </c:pt>
                <c:pt idx="18">
                  <c:v>9</c:v>
                </c:pt>
                <c:pt idx="19">
                  <c:v>9.5</c:v>
                </c:pt>
                <c:pt idx="20">
                  <c:v>10</c:v>
                </c:pt>
              </c:numCache>
            </c:numRef>
          </c:xVal>
          <c:yVal>
            <c:numRef>
              <c:f>不同表活剂浓度!$D$9:$D$29</c:f>
              <c:numCache>
                <c:formatCode>0.0000_);[Red]\(0.0000\)</c:formatCode>
                <c:ptCount val="21"/>
                <c:pt idx="0">
                  <c:v>0.99749999999999994</c:v>
                </c:pt>
                <c:pt idx="1">
                  <c:v>18.524999999999999</c:v>
                </c:pt>
                <c:pt idx="2">
                  <c:v>33.843750000000007</c:v>
                </c:pt>
                <c:pt idx="3">
                  <c:v>47.238749999999996</c:v>
                </c:pt>
                <c:pt idx="4">
                  <c:v>57</c:v>
                </c:pt>
                <c:pt idx="5">
                  <c:v>64.93249999999999</c:v>
                </c:pt>
                <c:pt idx="6">
                  <c:v>71.155000000000001</c:v>
                </c:pt>
                <c:pt idx="7">
                  <c:v>77.402828400830813</c:v>
                </c:pt>
                <c:pt idx="8">
                  <c:v>80.318159397715561</c:v>
                </c:pt>
                <c:pt idx="9">
                  <c:v>81.6168552699896</c:v>
                </c:pt>
                <c:pt idx="10">
                  <c:v>82.421551142263638</c:v>
                </c:pt>
                <c:pt idx="11">
                  <c:v>82.891372014537666</c:v>
                </c:pt>
                <c:pt idx="12">
                  <c:v>83.586928868117113</c:v>
                </c:pt>
                <c:pt idx="13">
                  <c:v>63.863749999999996</c:v>
                </c:pt>
                <c:pt idx="14">
                  <c:v>65.454999999999998</c:v>
                </c:pt>
                <c:pt idx="15">
                  <c:v>68.145655503633819</c:v>
                </c:pt>
                <c:pt idx="16">
                  <c:v>65.409226375907849</c:v>
                </c:pt>
                <c:pt idx="17">
                  <c:v>73.574047248181898</c:v>
                </c:pt>
                <c:pt idx="18">
                  <c:v>75.160118120455934</c:v>
                </c:pt>
                <c:pt idx="19">
                  <c:v>72.223749999999995</c:v>
                </c:pt>
                <c:pt idx="20">
                  <c:v>79.752499999999998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49170096"/>
        <c:axId val="749170488"/>
      </c:scatterChart>
      <c:valAx>
        <c:axId val="749170096"/>
        <c:scaling>
          <c:orientation val="minMax"/>
          <c:max val="10"/>
        </c:scaling>
        <c:delete val="0"/>
        <c:axPos val="b"/>
        <c:title>
          <c:tx>
            <c:rich>
              <a:bodyPr/>
              <a:lstStyle/>
              <a:p>
                <a:pPr>
                  <a:defRPr sz="800" baseline="0">
                    <a:latin typeface="Palatino Linotype" pitchFamily="18" charset="0"/>
                    <a:ea typeface="宋体" pitchFamily="2" charset="-122"/>
                  </a:defRPr>
                </a:pPr>
                <a:r>
                  <a:rPr lang="en-US" altLang="zh-CN" sz="800" b="0" baseline="0" dirty="0">
                    <a:latin typeface="Palatino Linotype" pitchFamily="18" charset="0"/>
                    <a:ea typeface="宋体" pitchFamily="2" charset="-122"/>
                    <a:cs typeface="Times New Roman" pitchFamily="18" charset="0"/>
                  </a:rPr>
                  <a:t>PV</a:t>
                </a:r>
                <a:endParaRPr lang="zh-CN" altLang="en-US" sz="800" b="0" baseline="0" dirty="0">
                  <a:latin typeface="Palatino Linotype" pitchFamily="18" charset="0"/>
                  <a:ea typeface="宋体" pitchFamily="2" charset="-122"/>
                </a:endParaRPr>
              </a:p>
            </c:rich>
          </c:tx>
          <c:layout>
            <c:manualLayout>
              <c:xMode val="edge"/>
              <c:yMode val="edge"/>
              <c:x val="0.52314856453307168"/>
              <c:y val="0.87829696188726303"/>
            </c:manualLayout>
          </c:layout>
          <c:overlay val="0"/>
        </c:title>
        <c:numFmt formatCode="General" sourceLinked="0"/>
        <c:majorTickMark val="in"/>
        <c:minorTickMark val="none"/>
        <c:tickLblPos val="nextTo"/>
        <c:spPr>
          <a:ln w="3175">
            <a:solidFill>
              <a:sysClr val="windowText" lastClr="000000"/>
            </a:solidFill>
          </a:ln>
        </c:spPr>
        <c:txPr>
          <a:bodyPr/>
          <a:lstStyle/>
          <a:p>
            <a:pPr>
              <a:defRPr sz="800">
                <a:latin typeface="Palatino Linotype" pitchFamily="18" charset="0"/>
                <a:cs typeface="Times New Roman" pitchFamily="18" charset="0"/>
              </a:defRPr>
            </a:pPr>
            <a:endParaRPr lang="zh-CN"/>
          </a:p>
        </c:txPr>
        <c:crossAx val="749170488"/>
        <c:crosses val="autoZero"/>
        <c:crossBetween val="midCat"/>
        <c:majorUnit val="2"/>
      </c:valAx>
      <c:valAx>
        <c:axId val="749170488"/>
        <c:scaling>
          <c:orientation val="minMax"/>
          <c:max val="10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800" b="0" baseline="0">
                    <a:latin typeface="Palatino Linotype" pitchFamily="18" charset="0"/>
                    <a:ea typeface="宋体" pitchFamily="2" charset="-122"/>
                    <a:cs typeface="Times New Roman" pitchFamily="18" charset="0"/>
                  </a:defRPr>
                </a:pPr>
                <a:r>
                  <a:rPr lang="en-US" altLang="zh-CN" sz="800" b="0" i="0" u="none" strike="noStrike" baseline="0">
                    <a:effectLst/>
                    <a:latin typeface="Palatino Linotype" pitchFamily="18" charset="0"/>
                    <a:cs typeface="Times New Roman" pitchFamily="18" charset="0"/>
                  </a:rPr>
                  <a:t>Resistance coefficient (F</a:t>
                </a:r>
                <a:r>
                  <a:rPr lang="en-US" altLang="zh-CN" sz="800" b="0" i="0" u="none" strike="noStrike" baseline="-25000">
                    <a:effectLst/>
                    <a:latin typeface="Palatino Linotype" pitchFamily="18" charset="0"/>
                    <a:cs typeface="Times New Roman" pitchFamily="18" charset="0"/>
                  </a:rPr>
                  <a:t>R</a:t>
                </a:r>
                <a:r>
                  <a:rPr lang="en-US" altLang="zh-CN" sz="800" b="0" i="0" u="none" strike="noStrike" baseline="0">
                    <a:effectLst/>
                    <a:latin typeface="Palatino Linotype" pitchFamily="18" charset="0"/>
                    <a:cs typeface="Times New Roman" pitchFamily="18" charset="0"/>
                  </a:rPr>
                  <a:t>)</a:t>
                </a:r>
                <a:endParaRPr lang="zh-CN" altLang="en-US" sz="800" b="0" baseline="0">
                  <a:latin typeface="Palatino Linotype" pitchFamily="18" charset="0"/>
                  <a:ea typeface="宋体" pitchFamily="2" charset="-122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2.0233581913371938E-3"/>
              <c:y val="0.15157561347172091"/>
            </c:manualLayout>
          </c:layout>
          <c:overlay val="0"/>
        </c:title>
        <c:numFmt formatCode="General" sourceLinked="0"/>
        <c:majorTickMark val="in"/>
        <c:minorTickMark val="none"/>
        <c:tickLblPos val="nextTo"/>
        <c:spPr>
          <a:ln w="3175">
            <a:solidFill>
              <a:sysClr val="windowText" lastClr="000000"/>
            </a:solidFill>
          </a:ln>
        </c:spPr>
        <c:txPr>
          <a:bodyPr/>
          <a:lstStyle/>
          <a:p>
            <a:pPr>
              <a:defRPr sz="800">
                <a:latin typeface="Palatino Linotype" pitchFamily="18" charset="0"/>
                <a:cs typeface="Times New Roman" pitchFamily="18" charset="0"/>
              </a:defRPr>
            </a:pPr>
            <a:endParaRPr lang="zh-CN"/>
          </a:p>
        </c:txPr>
        <c:crossAx val="749170096"/>
        <c:crosses val="autoZero"/>
        <c:crossBetween val="midCat"/>
        <c:majorUnit val="20"/>
      </c:valAx>
      <c:spPr>
        <a:noFill/>
        <a:ln w="3175">
          <a:solidFill>
            <a:sysClr val="windowText" lastClr="000000"/>
          </a:solidFill>
        </a:ln>
      </c:spPr>
    </c:plotArea>
    <c:legend>
      <c:legendPos val="t"/>
      <c:layout>
        <c:manualLayout>
          <c:xMode val="edge"/>
          <c:yMode val="edge"/>
          <c:x val="0.40891682365503651"/>
          <c:y val="0.61497845700778142"/>
          <c:w val="0.53229318771757717"/>
          <c:h val="0.19418744371155311"/>
        </c:manualLayout>
      </c:layout>
      <c:overlay val="0"/>
      <c:txPr>
        <a:bodyPr/>
        <a:lstStyle/>
        <a:p>
          <a:pPr>
            <a:defRPr sz="800" baseline="0">
              <a:latin typeface="Palatino Linotype" pitchFamily="18" charset="0"/>
              <a:ea typeface="宋体" pitchFamily="2" charset="-122"/>
            </a:defRPr>
          </a:pPr>
          <a:endParaRPr lang="zh-CN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0738438566182538"/>
          <c:y val="2.6020558002936858E-2"/>
          <c:w val="0.74851418104159251"/>
          <c:h val="0.81795164460661174"/>
        </c:manualLayout>
      </c:layout>
      <c:scatterChart>
        <c:scatterStyle val="lineMarker"/>
        <c:varyColors val="0"/>
        <c:ser>
          <c:idx val="0"/>
          <c:order val="0"/>
          <c:tx>
            <c:v>Surfactant concentration 2%</c:v>
          </c:tx>
          <c:spPr>
            <a:ln w="6350">
              <a:noFill/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marker>
            <c:symbol val="triangle"/>
            <c:size val="5"/>
            <c:spPr>
              <a:solidFill>
                <a:srgbClr val="000066"/>
              </a:solidFill>
              <a:ln w="12700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</c:marker>
          <c:xVal>
            <c:numRef>
              <c:f>不同表活剂浓度!$A$36:$A$56</c:f>
              <c:numCache>
                <c:formatCode>0.0000_);[Red]\(0.0000\)</c:formatCode>
                <c:ptCount val="21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  <c:pt idx="6">
                  <c:v>3</c:v>
                </c:pt>
                <c:pt idx="7">
                  <c:v>3.5</c:v>
                </c:pt>
                <c:pt idx="8">
                  <c:v>4</c:v>
                </c:pt>
                <c:pt idx="9">
                  <c:v>4.5</c:v>
                </c:pt>
                <c:pt idx="10">
                  <c:v>5</c:v>
                </c:pt>
                <c:pt idx="11">
                  <c:v>5.5</c:v>
                </c:pt>
                <c:pt idx="12">
                  <c:v>6</c:v>
                </c:pt>
                <c:pt idx="13">
                  <c:v>6.5</c:v>
                </c:pt>
                <c:pt idx="14">
                  <c:v>7</c:v>
                </c:pt>
                <c:pt idx="15">
                  <c:v>7.5</c:v>
                </c:pt>
                <c:pt idx="16">
                  <c:v>8</c:v>
                </c:pt>
                <c:pt idx="17">
                  <c:v>8.5</c:v>
                </c:pt>
                <c:pt idx="18">
                  <c:v>9</c:v>
                </c:pt>
                <c:pt idx="19">
                  <c:v>9.5</c:v>
                </c:pt>
                <c:pt idx="20">
                  <c:v>10</c:v>
                </c:pt>
              </c:numCache>
            </c:numRef>
          </c:xVal>
          <c:yVal>
            <c:numRef>
              <c:f>不同表活剂浓度!$G$36:$G$56</c:f>
              <c:numCache>
                <c:formatCode>0.0000_);[Red]\(0.0000\)</c:formatCode>
                <c:ptCount val="21"/>
                <c:pt idx="0">
                  <c:v>1</c:v>
                </c:pt>
                <c:pt idx="1">
                  <c:v>23.809523809523814</c:v>
                </c:pt>
                <c:pt idx="2">
                  <c:v>40.714285714285715</c:v>
                </c:pt>
                <c:pt idx="3">
                  <c:v>56.428571428571438</c:v>
                </c:pt>
                <c:pt idx="4">
                  <c:v>69.047619047619037</c:v>
                </c:pt>
                <c:pt idx="5">
                  <c:v>79.761904761904773</c:v>
                </c:pt>
                <c:pt idx="6">
                  <c:v>89.999999999999986</c:v>
                </c:pt>
                <c:pt idx="7">
                  <c:v>94.263487118627381</c:v>
                </c:pt>
                <c:pt idx="8">
                  <c:v>95.28136280472738</c:v>
                </c:pt>
                <c:pt idx="9">
                  <c:v>95.633313553874288</c:v>
                </c:pt>
                <c:pt idx="10">
                  <c:v>95.937645255402131</c:v>
                </c:pt>
                <c:pt idx="11">
                  <c:v>96.11904761904762</c:v>
                </c:pt>
                <c:pt idx="12">
                  <c:v>61.554541858279528</c:v>
                </c:pt>
                <c:pt idx="13">
                  <c:v>61.430302131235962</c:v>
                </c:pt>
                <c:pt idx="14">
                  <c:v>65.591776689906666</c:v>
                </c:pt>
                <c:pt idx="15">
                  <c:v>63.324679820005947</c:v>
                </c:pt>
                <c:pt idx="16">
                  <c:v>75.047619047619051</c:v>
                </c:pt>
                <c:pt idx="17">
                  <c:v>80.69047619047619</c:v>
                </c:pt>
                <c:pt idx="18">
                  <c:v>80.142857142857139</c:v>
                </c:pt>
                <c:pt idx="19">
                  <c:v>84.833333333333329</c:v>
                </c:pt>
                <c:pt idx="20">
                  <c:v>85.714285714285722</c:v>
                </c:pt>
              </c:numCache>
            </c:numRef>
          </c:yVal>
          <c:smooth val="0"/>
        </c:ser>
        <c:ser>
          <c:idx val="1"/>
          <c:order val="1"/>
          <c:tx>
            <c:v>Surfactant concentration 1.5%</c:v>
          </c:tx>
          <c:spPr>
            <a:ln w="12700">
              <a:noFill/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marker>
            <c:symbol val="triangle"/>
            <c:size val="5"/>
            <c:spPr>
              <a:solidFill>
                <a:srgbClr val="A50021"/>
              </a:solidFill>
              <a:ln w="12700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</c:marker>
          <c:xVal>
            <c:numRef>
              <c:f>不同表活剂浓度!$A$36:$A$56</c:f>
              <c:numCache>
                <c:formatCode>0.0000_);[Red]\(0.0000\)</c:formatCode>
                <c:ptCount val="21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  <c:pt idx="6">
                  <c:v>3</c:v>
                </c:pt>
                <c:pt idx="7">
                  <c:v>3.5</c:v>
                </c:pt>
                <c:pt idx="8">
                  <c:v>4</c:v>
                </c:pt>
                <c:pt idx="9">
                  <c:v>4.5</c:v>
                </c:pt>
                <c:pt idx="10">
                  <c:v>5</c:v>
                </c:pt>
                <c:pt idx="11">
                  <c:v>5.5</c:v>
                </c:pt>
                <c:pt idx="12">
                  <c:v>6</c:v>
                </c:pt>
                <c:pt idx="13">
                  <c:v>6.5</c:v>
                </c:pt>
                <c:pt idx="14">
                  <c:v>7</c:v>
                </c:pt>
                <c:pt idx="15">
                  <c:v>7.5</c:v>
                </c:pt>
                <c:pt idx="16">
                  <c:v>8</c:v>
                </c:pt>
                <c:pt idx="17">
                  <c:v>8.5</c:v>
                </c:pt>
                <c:pt idx="18">
                  <c:v>9</c:v>
                </c:pt>
                <c:pt idx="19">
                  <c:v>9.5</c:v>
                </c:pt>
                <c:pt idx="20">
                  <c:v>10</c:v>
                </c:pt>
              </c:numCache>
            </c:numRef>
          </c:xVal>
          <c:yVal>
            <c:numRef>
              <c:f>不同表活剂浓度!$H$36:$H$56</c:f>
              <c:numCache>
                <c:formatCode>0.0000_);[Red]\(0.0000\)</c:formatCode>
                <c:ptCount val="21"/>
                <c:pt idx="0">
                  <c:v>1.1118600000000001</c:v>
                </c:pt>
                <c:pt idx="1">
                  <c:v>14.592857142857127</c:v>
                </c:pt>
                <c:pt idx="2">
                  <c:v>27.642857142857174</c:v>
                </c:pt>
                <c:pt idx="3">
                  <c:v>42.107142857142875</c:v>
                </c:pt>
                <c:pt idx="4">
                  <c:v>55.928571428571402</c:v>
                </c:pt>
                <c:pt idx="5">
                  <c:v>67.692857142857093</c:v>
                </c:pt>
                <c:pt idx="6">
                  <c:v>78.3</c:v>
                </c:pt>
                <c:pt idx="7">
                  <c:v>83.541421895861248</c:v>
                </c:pt>
                <c:pt idx="8">
                  <c:v>85.236982643524769</c:v>
                </c:pt>
                <c:pt idx="9">
                  <c:v>86.033544726301741</c:v>
                </c:pt>
                <c:pt idx="10">
                  <c:v>86.765821094792926</c:v>
                </c:pt>
                <c:pt idx="11">
                  <c:v>87.010714285714229</c:v>
                </c:pt>
                <c:pt idx="12">
                  <c:v>87.662917222963074</c:v>
                </c:pt>
                <c:pt idx="13">
                  <c:v>85.630907877168596</c:v>
                </c:pt>
                <c:pt idx="14">
                  <c:v>74.856041388516829</c:v>
                </c:pt>
                <c:pt idx="15">
                  <c:v>75.202603471293713</c:v>
                </c:pt>
                <c:pt idx="16">
                  <c:v>74.121428571428567</c:v>
                </c:pt>
                <c:pt idx="17">
                  <c:v>71.967857142857127</c:v>
                </c:pt>
                <c:pt idx="18">
                  <c:v>74.764285714285734</c:v>
                </c:pt>
                <c:pt idx="19">
                  <c:v>72.996428571428609</c:v>
                </c:pt>
                <c:pt idx="20">
                  <c:v>75.085714285714261</c:v>
                </c:pt>
              </c:numCache>
            </c:numRef>
          </c:yVal>
          <c:smooth val="0"/>
        </c:ser>
        <c:ser>
          <c:idx val="2"/>
          <c:order val="2"/>
          <c:tx>
            <c:v>Surfactant concentration 1%</c:v>
          </c:tx>
          <c:spPr>
            <a:ln w="12700">
              <a:noFill/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marker>
            <c:symbol val="triangle"/>
            <c:size val="5"/>
            <c:spPr>
              <a:solidFill>
                <a:srgbClr val="336600"/>
              </a:solidFill>
              <a:ln w="12700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</c:marker>
          <c:xVal>
            <c:numRef>
              <c:f>不同表活剂浓度!$A$36:$A$56</c:f>
              <c:numCache>
                <c:formatCode>0.0000_);[Red]\(0.0000\)</c:formatCode>
                <c:ptCount val="21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  <c:pt idx="6">
                  <c:v>3</c:v>
                </c:pt>
                <c:pt idx="7">
                  <c:v>3.5</c:v>
                </c:pt>
                <c:pt idx="8">
                  <c:v>4</c:v>
                </c:pt>
                <c:pt idx="9">
                  <c:v>4.5</c:v>
                </c:pt>
                <c:pt idx="10">
                  <c:v>5</c:v>
                </c:pt>
                <c:pt idx="11">
                  <c:v>5.5</c:v>
                </c:pt>
                <c:pt idx="12">
                  <c:v>6</c:v>
                </c:pt>
                <c:pt idx="13">
                  <c:v>6.5</c:v>
                </c:pt>
                <c:pt idx="14">
                  <c:v>7</c:v>
                </c:pt>
                <c:pt idx="15">
                  <c:v>7.5</c:v>
                </c:pt>
                <c:pt idx="16">
                  <c:v>8</c:v>
                </c:pt>
                <c:pt idx="17">
                  <c:v>8.5</c:v>
                </c:pt>
                <c:pt idx="18">
                  <c:v>9</c:v>
                </c:pt>
                <c:pt idx="19">
                  <c:v>9.5</c:v>
                </c:pt>
                <c:pt idx="20">
                  <c:v>10</c:v>
                </c:pt>
              </c:numCache>
            </c:numRef>
          </c:xVal>
          <c:yVal>
            <c:numRef>
              <c:f>不同表活剂浓度!$D$36:$D$56</c:f>
              <c:numCache>
                <c:formatCode>0.0000_);[Red]\(0.0000\)</c:formatCode>
                <c:ptCount val="21"/>
                <c:pt idx="0">
                  <c:v>1.69</c:v>
                </c:pt>
                <c:pt idx="1">
                  <c:v>9.2547619047619047</c:v>
                </c:pt>
                <c:pt idx="2">
                  <c:v>23.539285714285718</c:v>
                </c:pt>
                <c:pt idx="3">
                  <c:v>34.564523809523813</c:v>
                </c:pt>
                <c:pt idx="4">
                  <c:v>44.261904761904759</c:v>
                </c:pt>
                <c:pt idx="5">
                  <c:v>52.470476190476191</c:v>
                </c:pt>
                <c:pt idx="6">
                  <c:v>60.598571428571439</c:v>
                </c:pt>
                <c:pt idx="7">
                  <c:v>66.757674182861223</c:v>
                </c:pt>
                <c:pt idx="8">
                  <c:v>71.696931711417847</c:v>
                </c:pt>
                <c:pt idx="9">
                  <c:v>74.862942763190404</c:v>
                </c:pt>
                <c:pt idx="10">
                  <c:v>79.284382386391528</c:v>
                </c:pt>
                <c:pt idx="11">
                  <c:v>80.078623220095892</c:v>
                </c:pt>
                <c:pt idx="12">
                  <c:v>80.657115660330234</c:v>
                </c:pt>
                <c:pt idx="13">
                  <c:v>81.712582208375849</c:v>
                </c:pt>
                <c:pt idx="14">
                  <c:v>81.784283736338878</c:v>
                </c:pt>
                <c:pt idx="15">
                  <c:v>81.884523809523799</c:v>
                </c:pt>
                <c:pt idx="16">
                  <c:v>73.917380952380967</c:v>
                </c:pt>
                <c:pt idx="17">
                  <c:v>76.366054986894625</c:v>
                </c:pt>
                <c:pt idx="18">
                  <c:v>75.029423181524351</c:v>
                </c:pt>
                <c:pt idx="19">
                  <c:v>76.975476190476172</c:v>
                </c:pt>
                <c:pt idx="20">
                  <c:v>75.687857142857141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49171272"/>
        <c:axId val="749171664"/>
      </c:scatterChart>
      <c:valAx>
        <c:axId val="749171272"/>
        <c:scaling>
          <c:orientation val="minMax"/>
          <c:max val="10"/>
        </c:scaling>
        <c:delete val="0"/>
        <c:axPos val="b"/>
        <c:title>
          <c:tx>
            <c:rich>
              <a:bodyPr/>
              <a:lstStyle/>
              <a:p>
                <a:pPr>
                  <a:defRPr sz="800" baseline="0">
                    <a:latin typeface="Palatino Linotype" pitchFamily="18" charset="0"/>
                    <a:ea typeface="宋体" pitchFamily="2" charset="-122"/>
                  </a:defRPr>
                </a:pPr>
                <a:r>
                  <a:rPr lang="en-US" altLang="zh-CN" sz="800" b="0" baseline="0" dirty="0">
                    <a:latin typeface="Palatino Linotype" pitchFamily="18" charset="0"/>
                    <a:ea typeface="宋体" pitchFamily="2" charset="-122"/>
                    <a:cs typeface="Times New Roman" pitchFamily="18" charset="0"/>
                  </a:rPr>
                  <a:t>PV</a:t>
                </a:r>
                <a:endParaRPr lang="zh-CN" altLang="en-US" sz="800" b="0" baseline="0" dirty="0">
                  <a:latin typeface="Palatino Linotype" pitchFamily="18" charset="0"/>
                  <a:ea typeface="宋体" pitchFamily="2" charset="-122"/>
                </a:endParaRPr>
              </a:p>
            </c:rich>
          </c:tx>
          <c:layout>
            <c:manualLayout>
              <c:xMode val="edge"/>
              <c:yMode val="edge"/>
              <c:x val="0.54078913785170457"/>
              <c:y val="0.87829696188726303"/>
            </c:manualLayout>
          </c:layout>
          <c:overlay val="0"/>
        </c:title>
        <c:numFmt formatCode="General" sourceLinked="0"/>
        <c:majorTickMark val="in"/>
        <c:minorTickMark val="none"/>
        <c:tickLblPos val="nextTo"/>
        <c:spPr>
          <a:ln w="3175">
            <a:solidFill>
              <a:sysClr val="windowText" lastClr="000000"/>
            </a:solidFill>
          </a:ln>
        </c:spPr>
        <c:txPr>
          <a:bodyPr/>
          <a:lstStyle/>
          <a:p>
            <a:pPr>
              <a:defRPr sz="800">
                <a:latin typeface="Palatino Linotype" pitchFamily="18" charset="0"/>
                <a:cs typeface="Times New Roman" pitchFamily="18" charset="0"/>
              </a:defRPr>
            </a:pPr>
            <a:endParaRPr lang="zh-CN"/>
          </a:p>
        </c:txPr>
        <c:crossAx val="749171664"/>
        <c:crosses val="autoZero"/>
        <c:crossBetween val="midCat"/>
        <c:majorUnit val="2"/>
      </c:valAx>
      <c:valAx>
        <c:axId val="749171664"/>
        <c:scaling>
          <c:orientation val="minMax"/>
          <c:max val="10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800" b="0" baseline="0">
                    <a:latin typeface="Palatino Linotype" pitchFamily="18" charset="0"/>
                    <a:ea typeface="宋体" pitchFamily="2" charset="-122"/>
                    <a:cs typeface="Times New Roman" pitchFamily="18" charset="0"/>
                  </a:defRPr>
                </a:pPr>
                <a:r>
                  <a:rPr lang="en-US" altLang="zh-CN" sz="800" b="0" i="0" u="none" strike="noStrike" baseline="0">
                    <a:effectLst/>
                    <a:latin typeface="Palatino Linotype" pitchFamily="18" charset="0"/>
                    <a:cs typeface="Times New Roman" pitchFamily="18" charset="0"/>
                  </a:rPr>
                  <a:t>Resistance coefficient (F</a:t>
                </a:r>
                <a:r>
                  <a:rPr lang="en-US" altLang="zh-CN" sz="800" b="0" i="0" u="none" strike="noStrike" baseline="-25000">
                    <a:effectLst/>
                    <a:latin typeface="Palatino Linotype" pitchFamily="18" charset="0"/>
                    <a:cs typeface="Times New Roman" pitchFamily="18" charset="0"/>
                  </a:rPr>
                  <a:t>R</a:t>
                </a:r>
                <a:r>
                  <a:rPr lang="en-US" altLang="zh-CN" sz="800" b="0" i="0" u="none" strike="noStrike" baseline="0">
                    <a:effectLst/>
                    <a:latin typeface="Palatino Linotype" pitchFamily="18" charset="0"/>
                    <a:cs typeface="Times New Roman" pitchFamily="18" charset="0"/>
                  </a:rPr>
                  <a:t>)</a:t>
                </a:r>
                <a:endParaRPr lang="zh-CN" altLang="en-US" sz="800" b="0" baseline="0">
                  <a:latin typeface="Palatino Linotype" pitchFamily="18" charset="0"/>
                  <a:ea typeface="宋体" pitchFamily="2" charset="-122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2.0233581913371938E-3"/>
              <c:y val="0.15157561347172091"/>
            </c:manualLayout>
          </c:layout>
          <c:overlay val="0"/>
        </c:title>
        <c:numFmt formatCode="General" sourceLinked="0"/>
        <c:majorTickMark val="in"/>
        <c:minorTickMark val="none"/>
        <c:tickLblPos val="nextTo"/>
        <c:spPr>
          <a:ln w="3175">
            <a:solidFill>
              <a:sysClr val="windowText" lastClr="000000"/>
            </a:solidFill>
          </a:ln>
        </c:spPr>
        <c:txPr>
          <a:bodyPr/>
          <a:lstStyle/>
          <a:p>
            <a:pPr>
              <a:defRPr sz="800">
                <a:latin typeface="Palatino Linotype" pitchFamily="18" charset="0"/>
                <a:cs typeface="Times New Roman" pitchFamily="18" charset="0"/>
              </a:defRPr>
            </a:pPr>
            <a:endParaRPr lang="zh-CN"/>
          </a:p>
        </c:txPr>
        <c:crossAx val="749171272"/>
        <c:crosses val="autoZero"/>
        <c:crossBetween val="midCat"/>
        <c:majorUnit val="20"/>
      </c:valAx>
      <c:spPr>
        <a:noFill/>
        <a:ln w="3175">
          <a:solidFill>
            <a:sysClr val="windowText" lastClr="000000"/>
          </a:solidFill>
        </a:ln>
      </c:spPr>
    </c:plotArea>
    <c:legend>
      <c:legendPos val="t"/>
      <c:layout>
        <c:manualLayout>
          <c:xMode val="edge"/>
          <c:yMode val="edge"/>
          <c:x val="0.40009653699572006"/>
          <c:y val="0.61497845700778142"/>
          <c:w val="0.54111347437689361"/>
          <c:h val="0.19418744371155311"/>
        </c:manualLayout>
      </c:layout>
      <c:overlay val="0"/>
      <c:txPr>
        <a:bodyPr/>
        <a:lstStyle/>
        <a:p>
          <a:pPr>
            <a:defRPr sz="800" baseline="0">
              <a:latin typeface="Palatino Linotype" pitchFamily="18" charset="0"/>
              <a:ea typeface="宋体" pitchFamily="2" charset="-122"/>
            </a:defRPr>
          </a:pPr>
          <a:endParaRPr lang="zh-CN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0962617018476953"/>
          <c:y val="2.6020558002936858E-2"/>
          <c:w val="0.74193595139430535"/>
          <c:h val="0.81795164460661174"/>
        </c:manualLayout>
      </c:layout>
      <c:scatterChart>
        <c:scatterStyle val="lineMarker"/>
        <c:varyColors val="0"/>
        <c:ser>
          <c:idx val="0"/>
          <c:order val="0"/>
          <c:tx>
            <c:v>Surfactant concentration 2%</c:v>
          </c:tx>
          <c:spPr>
            <a:ln w="6350">
              <a:noFill/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marker>
            <c:symbol val="triangle"/>
            <c:size val="5"/>
            <c:spPr>
              <a:solidFill>
                <a:srgbClr val="000066"/>
              </a:solidFill>
              <a:ln w="12700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</c:marker>
          <c:xVal>
            <c:numRef>
              <c:f>不同表活剂浓度!$A$62:$A$82</c:f>
              <c:numCache>
                <c:formatCode>0.0000_);[Red]\(0.0000\)</c:formatCode>
                <c:ptCount val="21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  <c:pt idx="6">
                  <c:v>3</c:v>
                </c:pt>
                <c:pt idx="7">
                  <c:v>3.5</c:v>
                </c:pt>
                <c:pt idx="8">
                  <c:v>4</c:v>
                </c:pt>
                <c:pt idx="9">
                  <c:v>4.5</c:v>
                </c:pt>
                <c:pt idx="10">
                  <c:v>5</c:v>
                </c:pt>
                <c:pt idx="11">
                  <c:v>5.5</c:v>
                </c:pt>
                <c:pt idx="12">
                  <c:v>6</c:v>
                </c:pt>
                <c:pt idx="13">
                  <c:v>6.5</c:v>
                </c:pt>
                <c:pt idx="14">
                  <c:v>7</c:v>
                </c:pt>
                <c:pt idx="15">
                  <c:v>7.5</c:v>
                </c:pt>
                <c:pt idx="16">
                  <c:v>8</c:v>
                </c:pt>
                <c:pt idx="17">
                  <c:v>8.5</c:v>
                </c:pt>
                <c:pt idx="18">
                  <c:v>9</c:v>
                </c:pt>
                <c:pt idx="19">
                  <c:v>9.5</c:v>
                </c:pt>
                <c:pt idx="20">
                  <c:v>10</c:v>
                </c:pt>
              </c:numCache>
            </c:numRef>
          </c:xVal>
          <c:yVal>
            <c:numRef>
              <c:f>不同表活剂浓度!$G$62:$G$82</c:f>
              <c:numCache>
                <c:formatCode>0.0000_);[Red]\(0.0000\)</c:formatCode>
                <c:ptCount val="21"/>
                <c:pt idx="0">
                  <c:v>0.80110799999999993</c:v>
                </c:pt>
                <c:pt idx="1">
                  <c:v>13.478571428571414</c:v>
                </c:pt>
                <c:pt idx="2">
                  <c:v>26.738571428571461</c:v>
                </c:pt>
                <c:pt idx="3">
                  <c:v>37.011428571428581</c:v>
                </c:pt>
                <c:pt idx="4">
                  <c:v>48.085714285714239</c:v>
                </c:pt>
                <c:pt idx="5">
                  <c:v>61.418571428571362</c:v>
                </c:pt>
                <c:pt idx="6">
                  <c:v>69.179944499999991</c:v>
                </c:pt>
                <c:pt idx="7">
                  <c:v>79.380278148642745</c:v>
                </c:pt>
                <c:pt idx="8">
                  <c:v>81.301913662661406</c:v>
                </c:pt>
                <c:pt idx="9">
                  <c:v>85.264684023141967</c:v>
                </c:pt>
                <c:pt idx="10">
                  <c:v>87.624597240765326</c:v>
                </c:pt>
                <c:pt idx="11">
                  <c:v>87.902142857142778</c:v>
                </c:pt>
                <c:pt idx="12">
                  <c:v>88.641306186024806</c:v>
                </c:pt>
                <c:pt idx="13">
                  <c:v>89.398362260791075</c:v>
                </c:pt>
                <c:pt idx="14">
                  <c:v>75.426846906985702</c:v>
                </c:pt>
                <c:pt idx="15">
                  <c:v>76.819617267466199</c:v>
                </c:pt>
                <c:pt idx="16">
                  <c:v>79.0042857142857</c:v>
                </c:pt>
                <c:pt idx="17">
                  <c:v>80.563571428571393</c:v>
                </c:pt>
                <c:pt idx="18">
                  <c:v>79.672857142857197</c:v>
                </c:pt>
                <c:pt idx="19">
                  <c:v>78.729285714285794</c:v>
                </c:pt>
                <c:pt idx="20">
                  <c:v>79.567142857142798</c:v>
                </c:pt>
              </c:numCache>
            </c:numRef>
          </c:yVal>
          <c:smooth val="0"/>
        </c:ser>
        <c:ser>
          <c:idx val="1"/>
          <c:order val="1"/>
          <c:tx>
            <c:v>Surfactant concentration 1.5%</c:v>
          </c:tx>
          <c:spPr>
            <a:ln w="12700">
              <a:noFill/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marker>
            <c:symbol val="triangle"/>
            <c:size val="5"/>
            <c:spPr>
              <a:solidFill>
                <a:srgbClr val="A50021"/>
              </a:solidFill>
              <a:ln w="12700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</c:marker>
          <c:xVal>
            <c:numRef>
              <c:f>不同表活剂浓度!$A$62:$A$82</c:f>
              <c:numCache>
                <c:formatCode>0.0000_);[Red]\(0.0000\)</c:formatCode>
                <c:ptCount val="21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  <c:pt idx="6">
                  <c:v>3</c:v>
                </c:pt>
                <c:pt idx="7">
                  <c:v>3.5</c:v>
                </c:pt>
                <c:pt idx="8">
                  <c:v>4</c:v>
                </c:pt>
                <c:pt idx="9">
                  <c:v>4.5</c:v>
                </c:pt>
                <c:pt idx="10">
                  <c:v>5</c:v>
                </c:pt>
                <c:pt idx="11">
                  <c:v>5.5</c:v>
                </c:pt>
                <c:pt idx="12">
                  <c:v>6</c:v>
                </c:pt>
                <c:pt idx="13">
                  <c:v>6.5</c:v>
                </c:pt>
                <c:pt idx="14">
                  <c:v>7</c:v>
                </c:pt>
                <c:pt idx="15">
                  <c:v>7.5</c:v>
                </c:pt>
                <c:pt idx="16">
                  <c:v>8</c:v>
                </c:pt>
                <c:pt idx="17">
                  <c:v>8.5</c:v>
                </c:pt>
                <c:pt idx="18">
                  <c:v>9</c:v>
                </c:pt>
                <c:pt idx="19">
                  <c:v>9.5</c:v>
                </c:pt>
                <c:pt idx="20">
                  <c:v>10</c:v>
                </c:pt>
              </c:numCache>
            </c:numRef>
          </c:xVal>
          <c:yVal>
            <c:numRef>
              <c:f>不同表活剂浓度!$H$62:$H$82</c:f>
              <c:numCache>
                <c:formatCode>0.0000_);[Red]\(0.0000\)</c:formatCode>
                <c:ptCount val="21"/>
                <c:pt idx="0">
                  <c:v>1.71</c:v>
                </c:pt>
                <c:pt idx="1">
                  <c:v>9.3642857142857139</c:v>
                </c:pt>
                <c:pt idx="2">
                  <c:v>23.81785714285715</c:v>
                </c:pt>
                <c:pt idx="3">
                  <c:v>34.973571428571439</c:v>
                </c:pt>
                <c:pt idx="4">
                  <c:v>44.785714285714278</c:v>
                </c:pt>
                <c:pt idx="5">
                  <c:v>53.091428571428573</c:v>
                </c:pt>
                <c:pt idx="6">
                  <c:v>61.315714285714293</c:v>
                </c:pt>
                <c:pt idx="7">
                  <c:v>67.547705829995692</c:v>
                </c:pt>
                <c:pt idx="8">
                  <c:v>72.545416110369544</c:v>
                </c:pt>
                <c:pt idx="9">
                  <c:v>75.748894748553596</c:v>
                </c:pt>
                <c:pt idx="10">
                  <c:v>77.372659101023388</c:v>
                </c:pt>
                <c:pt idx="11">
                  <c:v>81.433442091677762</c:v>
                </c:pt>
                <c:pt idx="12">
                  <c:v>81.611637739150723</c:v>
                </c:pt>
                <c:pt idx="13">
                  <c:v>82.679595015575558</c:v>
                </c:pt>
                <c:pt idx="14">
                  <c:v>75.433442091677804</c:v>
                </c:pt>
                <c:pt idx="15">
                  <c:v>75.611637739150694</c:v>
                </c:pt>
                <c:pt idx="16">
                  <c:v>76.608166444147002</c:v>
                </c:pt>
                <c:pt idx="17">
                  <c:v>76.534080996883304</c:v>
                </c:pt>
                <c:pt idx="18">
                  <c:v>71.845916777924501</c:v>
                </c:pt>
                <c:pt idx="19">
                  <c:v>73.122857142857157</c:v>
                </c:pt>
                <c:pt idx="20">
                  <c:v>73.774285714285696</c:v>
                </c:pt>
              </c:numCache>
            </c:numRef>
          </c:yVal>
          <c:smooth val="0"/>
        </c:ser>
        <c:ser>
          <c:idx val="2"/>
          <c:order val="2"/>
          <c:tx>
            <c:v>Surfactant concentration 1%</c:v>
          </c:tx>
          <c:spPr>
            <a:ln w="12700">
              <a:noFill/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marker>
            <c:symbol val="triangle"/>
            <c:size val="5"/>
            <c:spPr>
              <a:solidFill>
                <a:srgbClr val="336600"/>
              </a:solidFill>
              <a:ln w="12700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</c:marker>
          <c:xVal>
            <c:numRef>
              <c:f>不同表活剂浓度!$A$62:$A$82</c:f>
              <c:numCache>
                <c:formatCode>0.0000_);[Red]\(0.0000\)</c:formatCode>
                <c:ptCount val="21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  <c:pt idx="6">
                  <c:v>3</c:v>
                </c:pt>
                <c:pt idx="7">
                  <c:v>3.5</c:v>
                </c:pt>
                <c:pt idx="8">
                  <c:v>4</c:v>
                </c:pt>
                <c:pt idx="9">
                  <c:v>4.5</c:v>
                </c:pt>
                <c:pt idx="10">
                  <c:v>5</c:v>
                </c:pt>
                <c:pt idx="11">
                  <c:v>5.5</c:v>
                </c:pt>
                <c:pt idx="12">
                  <c:v>6</c:v>
                </c:pt>
                <c:pt idx="13">
                  <c:v>6.5</c:v>
                </c:pt>
                <c:pt idx="14">
                  <c:v>7</c:v>
                </c:pt>
                <c:pt idx="15">
                  <c:v>7.5</c:v>
                </c:pt>
                <c:pt idx="16">
                  <c:v>8</c:v>
                </c:pt>
                <c:pt idx="17">
                  <c:v>8.5</c:v>
                </c:pt>
                <c:pt idx="18">
                  <c:v>9</c:v>
                </c:pt>
                <c:pt idx="19">
                  <c:v>9.5</c:v>
                </c:pt>
                <c:pt idx="20">
                  <c:v>10</c:v>
                </c:pt>
              </c:numCache>
            </c:numRef>
          </c:xVal>
          <c:yVal>
            <c:numRef>
              <c:f>不同表活剂浓度!$D$62:$D$82</c:f>
              <c:numCache>
                <c:formatCode>0.0000_);[Red]\(0.0000\)</c:formatCode>
                <c:ptCount val="21"/>
                <c:pt idx="0">
                  <c:v>0.96389999999999998</c:v>
                </c:pt>
                <c:pt idx="1">
                  <c:v>23.085000000000051</c:v>
                </c:pt>
                <c:pt idx="2">
                  <c:v>37.084500000000055</c:v>
                </c:pt>
                <c:pt idx="3">
                  <c:v>38.596500000000013</c:v>
                </c:pt>
                <c:pt idx="4">
                  <c:v>48.464999999999954</c:v>
                </c:pt>
                <c:pt idx="5">
                  <c:v>54.202500000000065</c:v>
                </c:pt>
                <c:pt idx="6">
                  <c:v>59.480999999999945</c:v>
                </c:pt>
                <c:pt idx="7">
                  <c:v>66.965575233644941</c:v>
                </c:pt>
                <c:pt idx="8">
                  <c:v>69.080705607476716</c:v>
                </c:pt>
                <c:pt idx="9">
                  <c:v>73.955950934579462</c:v>
                </c:pt>
                <c:pt idx="10">
                  <c:v>74.665799999999948</c:v>
                </c:pt>
                <c:pt idx="11">
                  <c:v>75.803850000000025</c:v>
                </c:pt>
                <c:pt idx="12">
                  <c:v>76.099422897195666</c:v>
                </c:pt>
                <c:pt idx="13">
                  <c:v>76.813816822429828</c:v>
                </c:pt>
                <c:pt idx="14">
                  <c:v>74.563913551401043</c:v>
                </c:pt>
                <c:pt idx="15">
                  <c:v>63.927658878503721</c:v>
                </c:pt>
                <c:pt idx="16">
                  <c:v>64.400400000000005</c:v>
                </c:pt>
                <c:pt idx="17">
                  <c:v>66.437550000000044</c:v>
                </c:pt>
                <c:pt idx="18">
                  <c:v>65.909700000000029</c:v>
                </c:pt>
                <c:pt idx="19">
                  <c:v>67.028849999999963</c:v>
                </c:pt>
                <c:pt idx="20">
                  <c:v>67.878000000000043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49188136"/>
        <c:axId val="749188528"/>
      </c:scatterChart>
      <c:valAx>
        <c:axId val="749188136"/>
        <c:scaling>
          <c:orientation val="minMax"/>
          <c:max val="10"/>
        </c:scaling>
        <c:delete val="0"/>
        <c:axPos val="b"/>
        <c:title>
          <c:tx>
            <c:rich>
              <a:bodyPr/>
              <a:lstStyle/>
              <a:p>
                <a:pPr>
                  <a:defRPr sz="800" baseline="0">
                    <a:latin typeface="Palatino Linotype" pitchFamily="18" charset="0"/>
                    <a:ea typeface="宋体" pitchFamily="2" charset="-122"/>
                  </a:defRPr>
                </a:pPr>
                <a:r>
                  <a:rPr lang="en-US" altLang="zh-CN" sz="800" b="0" baseline="0" dirty="0">
                    <a:latin typeface="Palatino Linotype" pitchFamily="18" charset="0"/>
                    <a:ea typeface="宋体" pitchFamily="2" charset="-122"/>
                    <a:cs typeface="Times New Roman" pitchFamily="18" charset="0"/>
                  </a:rPr>
                  <a:t>PV</a:t>
                </a:r>
                <a:endParaRPr lang="zh-CN" altLang="en-US" sz="800" b="0" baseline="0" dirty="0">
                  <a:latin typeface="Palatino Linotype" pitchFamily="18" charset="0"/>
                  <a:ea typeface="宋体" pitchFamily="2" charset="-122"/>
                </a:endParaRPr>
              </a:p>
            </c:rich>
          </c:tx>
          <c:layout>
            <c:manualLayout>
              <c:xMode val="edge"/>
              <c:yMode val="edge"/>
              <c:x val="0.53196885119238813"/>
              <c:y val="0.87829696188726303"/>
            </c:manualLayout>
          </c:layout>
          <c:overlay val="0"/>
        </c:title>
        <c:numFmt formatCode="General" sourceLinked="0"/>
        <c:majorTickMark val="in"/>
        <c:minorTickMark val="none"/>
        <c:tickLblPos val="nextTo"/>
        <c:spPr>
          <a:ln w="3175">
            <a:solidFill>
              <a:sysClr val="windowText" lastClr="000000"/>
            </a:solidFill>
          </a:ln>
        </c:spPr>
        <c:txPr>
          <a:bodyPr/>
          <a:lstStyle/>
          <a:p>
            <a:pPr>
              <a:defRPr sz="800">
                <a:latin typeface="Palatino Linotype" pitchFamily="18" charset="0"/>
                <a:cs typeface="Times New Roman" pitchFamily="18" charset="0"/>
              </a:defRPr>
            </a:pPr>
            <a:endParaRPr lang="zh-CN"/>
          </a:p>
        </c:txPr>
        <c:crossAx val="749188528"/>
        <c:crosses val="autoZero"/>
        <c:crossBetween val="midCat"/>
        <c:majorUnit val="2"/>
      </c:valAx>
      <c:valAx>
        <c:axId val="749188528"/>
        <c:scaling>
          <c:orientation val="minMax"/>
          <c:max val="10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800" b="0" baseline="0">
                    <a:latin typeface="Palatino Linotype" pitchFamily="18" charset="0"/>
                    <a:ea typeface="宋体" pitchFamily="2" charset="-122"/>
                    <a:cs typeface="Times New Roman" pitchFamily="18" charset="0"/>
                  </a:defRPr>
                </a:pPr>
                <a:r>
                  <a:rPr lang="en-US" altLang="zh-CN" sz="800" b="0" i="0" u="none" strike="noStrike" baseline="0">
                    <a:effectLst/>
                    <a:latin typeface="Palatino Linotype" pitchFamily="18" charset="0"/>
                    <a:cs typeface="Times New Roman" pitchFamily="18" charset="0"/>
                  </a:rPr>
                  <a:t>Resistance coefficient (F</a:t>
                </a:r>
                <a:r>
                  <a:rPr lang="en-US" altLang="zh-CN" sz="800" b="0" i="0" u="none" strike="noStrike" baseline="-25000">
                    <a:effectLst/>
                    <a:latin typeface="Palatino Linotype" pitchFamily="18" charset="0"/>
                    <a:cs typeface="Times New Roman" pitchFamily="18" charset="0"/>
                  </a:rPr>
                  <a:t>R</a:t>
                </a:r>
                <a:r>
                  <a:rPr lang="en-US" altLang="zh-CN" sz="800" b="0" i="0" u="none" strike="noStrike" baseline="0">
                    <a:effectLst/>
                    <a:latin typeface="Palatino Linotype" pitchFamily="18" charset="0"/>
                    <a:cs typeface="Times New Roman" pitchFamily="18" charset="0"/>
                  </a:rPr>
                  <a:t>)</a:t>
                </a:r>
                <a:endParaRPr lang="zh-CN" altLang="en-US" sz="800" b="0" baseline="0">
                  <a:latin typeface="Palatino Linotype" pitchFamily="18" charset="0"/>
                  <a:ea typeface="宋体" pitchFamily="2" charset="-122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2.0233581913371938E-3"/>
              <c:y val="0.15157561347172091"/>
            </c:manualLayout>
          </c:layout>
          <c:overlay val="0"/>
        </c:title>
        <c:numFmt formatCode="General" sourceLinked="0"/>
        <c:majorTickMark val="in"/>
        <c:minorTickMark val="none"/>
        <c:tickLblPos val="nextTo"/>
        <c:spPr>
          <a:ln w="3175">
            <a:solidFill>
              <a:sysClr val="windowText" lastClr="000000"/>
            </a:solidFill>
          </a:ln>
        </c:spPr>
        <c:txPr>
          <a:bodyPr/>
          <a:lstStyle/>
          <a:p>
            <a:pPr>
              <a:defRPr sz="800">
                <a:latin typeface="Palatino Linotype" pitchFamily="18" charset="0"/>
                <a:cs typeface="Times New Roman" pitchFamily="18" charset="0"/>
              </a:defRPr>
            </a:pPr>
            <a:endParaRPr lang="zh-CN"/>
          </a:p>
        </c:txPr>
        <c:crossAx val="749188136"/>
        <c:crosses val="autoZero"/>
        <c:crossBetween val="midCat"/>
        <c:majorUnit val="20"/>
      </c:valAx>
      <c:spPr>
        <a:noFill/>
        <a:ln w="3175">
          <a:solidFill>
            <a:sysClr val="windowText" lastClr="000000"/>
          </a:solidFill>
        </a:ln>
      </c:spPr>
    </c:plotArea>
    <c:legend>
      <c:legendPos val="t"/>
      <c:layout>
        <c:manualLayout>
          <c:xMode val="edge"/>
          <c:yMode val="edge"/>
          <c:x val="0.40891682365503651"/>
          <c:y val="0.61497845700778142"/>
          <c:w val="0.53229318771757717"/>
          <c:h val="0.19418744371155311"/>
        </c:manualLayout>
      </c:layout>
      <c:overlay val="0"/>
      <c:txPr>
        <a:bodyPr/>
        <a:lstStyle/>
        <a:p>
          <a:pPr>
            <a:defRPr sz="800" baseline="0">
              <a:latin typeface="Palatino Linotype" pitchFamily="18" charset="0"/>
              <a:ea typeface="宋体" pitchFamily="2" charset="-122"/>
            </a:defRPr>
          </a:pPr>
          <a:endParaRPr lang="zh-CN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1931374586895455"/>
          <c:y val="2.6020558002936858E-2"/>
          <c:w val="0.73224837571012025"/>
          <c:h val="0.81795164460661174"/>
        </c:manualLayout>
      </c:layout>
      <c:scatterChart>
        <c:scatterStyle val="lineMarker"/>
        <c:varyColors val="0"/>
        <c:ser>
          <c:idx val="0"/>
          <c:order val="0"/>
          <c:tx>
            <c:v>Surfactant concentration 2%</c:v>
          </c:tx>
          <c:spPr>
            <a:ln w="12700">
              <a:noFill/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marker>
            <c:symbol val="triangle"/>
            <c:size val="5"/>
            <c:spPr>
              <a:solidFill>
                <a:srgbClr val="000066"/>
              </a:solidFill>
              <a:ln w="12700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</c:marker>
          <c:xVal>
            <c:numRef>
              <c:f>不同表活剂浓度!$A$88:$A$108</c:f>
              <c:numCache>
                <c:formatCode>0.0000_);[Red]\(0.0000\)</c:formatCode>
                <c:ptCount val="21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  <c:pt idx="6">
                  <c:v>3</c:v>
                </c:pt>
                <c:pt idx="7">
                  <c:v>3.5</c:v>
                </c:pt>
                <c:pt idx="8">
                  <c:v>4</c:v>
                </c:pt>
                <c:pt idx="9">
                  <c:v>4.5</c:v>
                </c:pt>
                <c:pt idx="10">
                  <c:v>5</c:v>
                </c:pt>
                <c:pt idx="11">
                  <c:v>5.5</c:v>
                </c:pt>
                <c:pt idx="12">
                  <c:v>6</c:v>
                </c:pt>
                <c:pt idx="13">
                  <c:v>6.5</c:v>
                </c:pt>
                <c:pt idx="14">
                  <c:v>7</c:v>
                </c:pt>
                <c:pt idx="15">
                  <c:v>7.5</c:v>
                </c:pt>
                <c:pt idx="16">
                  <c:v>8</c:v>
                </c:pt>
                <c:pt idx="17">
                  <c:v>8.5</c:v>
                </c:pt>
                <c:pt idx="18">
                  <c:v>9</c:v>
                </c:pt>
                <c:pt idx="19">
                  <c:v>9.5</c:v>
                </c:pt>
                <c:pt idx="20">
                  <c:v>10</c:v>
                </c:pt>
              </c:numCache>
            </c:numRef>
          </c:xVal>
          <c:yVal>
            <c:numRef>
              <c:f>不同表活剂浓度!$G$88:$G$108</c:f>
              <c:numCache>
                <c:formatCode>0.0000_);[Red]\(0.0000\)</c:formatCode>
                <c:ptCount val="21"/>
                <c:pt idx="0">
                  <c:v>1.6800000000000002</c:v>
                </c:pt>
                <c:pt idx="1">
                  <c:v>10.4</c:v>
                </c:pt>
                <c:pt idx="2">
                  <c:v>23.400000000000006</c:v>
                </c:pt>
                <c:pt idx="3">
                  <c:v>34.360000000000007</c:v>
                </c:pt>
                <c:pt idx="4">
                  <c:v>44.92</c:v>
                </c:pt>
                <c:pt idx="5">
                  <c:v>52.160000000000004</c:v>
                </c:pt>
                <c:pt idx="6">
                  <c:v>60.240000000000009</c:v>
                </c:pt>
                <c:pt idx="7">
                  <c:v>66.362658359294016</c:v>
                </c:pt>
                <c:pt idx="8">
                  <c:v>71.272689511942019</c:v>
                </c:pt>
                <c:pt idx="9">
                  <c:v>74.419966770508807</c:v>
                </c:pt>
                <c:pt idx="10">
                  <c:v>78.815244029075615</c:v>
                </c:pt>
                <c:pt idx="11">
                  <c:v>79.606521287642394</c:v>
                </c:pt>
                <c:pt idx="12">
                  <c:v>80.377985462091999</c:v>
                </c:pt>
                <c:pt idx="13">
                  <c:v>81.229075804776002</c:v>
                </c:pt>
                <c:pt idx="14">
                  <c:v>81.599999999999994</c:v>
                </c:pt>
                <c:pt idx="15">
                  <c:v>82</c:v>
                </c:pt>
                <c:pt idx="16">
                  <c:v>82.240000000000009</c:v>
                </c:pt>
                <c:pt idx="17">
                  <c:v>71.914184839043202</c:v>
                </c:pt>
                <c:pt idx="18">
                  <c:v>74.585462097610005</c:v>
                </c:pt>
                <c:pt idx="19">
                  <c:v>71.840000000000018</c:v>
                </c:pt>
                <c:pt idx="20">
                  <c:v>72.47999999999999</c:v>
                </c:pt>
              </c:numCache>
            </c:numRef>
          </c:yVal>
          <c:smooth val="0"/>
        </c:ser>
        <c:ser>
          <c:idx val="1"/>
          <c:order val="1"/>
          <c:tx>
            <c:v>Surfactant concentration 1.5%</c:v>
          </c:tx>
          <c:spPr>
            <a:ln w="6350">
              <a:noFill/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marker>
            <c:symbol val="triangle"/>
            <c:size val="5"/>
            <c:spPr>
              <a:solidFill>
                <a:srgbClr val="A50021"/>
              </a:solidFill>
              <a:ln w="12700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</c:marker>
          <c:xVal>
            <c:numRef>
              <c:f>不同表活剂浓度!$A$88:$A$108</c:f>
              <c:numCache>
                <c:formatCode>0.0000_);[Red]\(0.0000\)</c:formatCode>
                <c:ptCount val="21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  <c:pt idx="6">
                  <c:v>3</c:v>
                </c:pt>
                <c:pt idx="7">
                  <c:v>3.5</c:v>
                </c:pt>
                <c:pt idx="8">
                  <c:v>4</c:v>
                </c:pt>
                <c:pt idx="9">
                  <c:v>4.5</c:v>
                </c:pt>
                <c:pt idx="10">
                  <c:v>5</c:v>
                </c:pt>
                <c:pt idx="11">
                  <c:v>5.5</c:v>
                </c:pt>
                <c:pt idx="12">
                  <c:v>6</c:v>
                </c:pt>
                <c:pt idx="13">
                  <c:v>6.5</c:v>
                </c:pt>
                <c:pt idx="14">
                  <c:v>7</c:v>
                </c:pt>
                <c:pt idx="15">
                  <c:v>7.5</c:v>
                </c:pt>
                <c:pt idx="16">
                  <c:v>8</c:v>
                </c:pt>
                <c:pt idx="17">
                  <c:v>8.5</c:v>
                </c:pt>
                <c:pt idx="18">
                  <c:v>9</c:v>
                </c:pt>
                <c:pt idx="19">
                  <c:v>9.5</c:v>
                </c:pt>
                <c:pt idx="20">
                  <c:v>10</c:v>
                </c:pt>
              </c:numCache>
            </c:numRef>
          </c:xVal>
          <c:yVal>
            <c:numRef>
              <c:f>不同表活剂浓度!$H$88:$H$108</c:f>
              <c:numCache>
                <c:formatCode>0.0000_);[Red]\(0.0000\)</c:formatCode>
                <c:ptCount val="21"/>
                <c:pt idx="0">
                  <c:v>0.643872</c:v>
                </c:pt>
                <c:pt idx="1">
                  <c:v>11.870476190476177</c:v>
                </c:pt>
                <c:pt idx="2">
                  <c:v>28.08380952380956</c:v>
                </c:pt>
                <c:pt idx="3">
                  <c:v>38.289523809523821</c:v>
                </c:pt>
                <c:pt idx="4">
                  <c:v>49.291428571428533</c:v>
                </c:pt>
                <c:pt idx="5">
                  <c:v>57.977142857142802</c:v>
                </c:pt>
                <c:pt idx="6">
                  <c:v>65.687787999999998</c:v>
                </c:pt>
                <c:pt idx="7">
                  <c:v>71.261452801266003</c:v>
                </c:pt>
                <c:pt idx="8">
                  <c:v>79.250528606042707</c:v>
                </c:pt>
                <c:pt idx="9">
                  <c:v>81.667398506650841</c:v>
                </c:pt>
                <c:pt idx="10">
                  <c:v>82.491887454877968</c:v>
                </c:pt>
                <c:pt idx="11">
                  <c:v>84.287619047618961</c:v>
                </c:pt>
                <c:pt idx="12">
                  <c:v>85.021951243632486</c:v>
                </c:pt>
                <c:pt idx="13">
                  <c:v>85.774059239478731</c:v>
                </c:pt>
                <c:pt idx="14">
                  <c:v>85.802357711515242</c:v>
                </c:pt>
                <c:pt idx="15">
                  <c:v>86.19256094545662</c:v>
                </c:pt>
                <c:pt idx="16">
                  <c:v>86.495238095238079</c:v>
                </c:pt>
                <c:pt idx="17">
                  <c:v>81.030476190476179</c:v>
                </c:pt>
                <c:pt idx="18">
                  <c:v>81.139047619047659</c:v>
                </c:pt>
                <c:pt idx="19">
                  <c:v>80.668571428571468</c:v>
                </c:pt>
                <c:pt idx="20">
                  <c:v>79.980952380952345</c:v>
                </c:pt>
              </c:numCache>
            </c:numRef>
          </c:yVal>
          <c:smooth val="0"/>
        </c:ser>
        <c:ser>
          <c:idx val="2"/>
          <c:order val="2"/>
          <c:tx>
            <c:v>Surfactant concentration 1%</c:v>
          </c:tx>
          <c:spPr>
            <a:ln w="12700">
              <a:noFill/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marker>
            <c:symbol val="triangle"/>
            <c:size val="5"/>
            <c:spPr>
              <a:solidFill>
                <a:srgbClr val="336600"/>
              </a:solidFill>
              <a:ln w="12700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</c:marker>
          <c:xVal>
            <c:numRef>
              <c:f>不同表活剂浓度!$A$88:$A$108</c:f>
              <c:numCache>
                <c:formatCode>0.0000_);[Red]\(0.0000\)</c:formatCode>
                <c:ptCount val="21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  <c:pt idx="6">
                  <c:v>3</c:v>
                </c:pt>
                <c:pt idx="7">
                  <c:v>3.5</c:v>
                </c:pt>
                <c:pt idx="8">
                  <c:v>4</c:v>
                </c:pt>
                <c:pt idx="9">
                  <c:v>4.5</c:v>
                </c:pt>
                <c:pt idx="10">
                  <c:v>5</c:v>
                </c:pt>
                <c:pt idx="11">
                  <c:v>5.5</c:v>
                </c:pt>
                <c:pt idx="12">
                  <c:v>6</c:v>
                </c:pt>
                <c:pt idx="13">
                  <c:v>6.5</c:v>
                </c:pt>
                <c:pt idx="14">
                  <c:v>7</c:v>
                </c:pt>
                <c:pt idx="15">
                  <c:v>7.5</c:v>
                </c:pt>
                <c:pt idx="16">
                  <c:v>8</c:v>
                </c:pt>
                <c:pt idx="17">
                  <c:v>8.5</c:v>
                </c:pt>
                <c:pt idx="18">
                  <c:v>9</c:v>
                </c:pt>
                <c:pt idx="19">
                  <c:v>9.5</c:v>
                </c:pt>
                <c:pt idx="20">
                  <c:v>10</c:v>
                </c:pt>
              </c:numCache>
            </c:numRef>
          </c:xVal>
          <c:yVal>
            <c:numRef>
              <c:f>不同表活剂浓度!$D$88:$D$108</c:f>
              <c:numCache>
                <c:formatCode>0.0000_);[Red]\(0.0000\)</c:formatCode>
                <c:ptCount val="21"/>
                <c:pt idx="0">
                  <c:v>0.8</c:v>
                </c:pt>
                <c:pt idx="1">
                  <c:v>14.285714285714301</c:v>
                </c:pt>
                <c:pt idx="2">
                  <c:v>27.8095238095238</c:v>
                </c:pt>
                <c:pt idx="3">
                  <c:v>38.476190476190503</c:v>
                </c:pt>
                <c:pt idx="4">
                  <c:v>43.619047619047599</c:v>
                </c:pt>
                <c:pt idx="5">
                  <c:v>47.619047619047599</c:v>
                </c:pt>
                <c:pt idx="6">
                  <c:v>50.095238095238102</c:v>
                </c:pt>
                <c:pt idx="7">
                  <c:v>60.458408742521001</c:v>
                </c:pt>
                <c:pt idx="8">
                  <c:v>62.542857142857102</c:v>
                </c:pt>
                <c:pt idx="9">
                  <c:v>64.790476190476198</c:v>
                </c:pt>
                <c:pt idx="10">
                  <c:v>66.066666666666706</c:v>
                </c:pt>
                <c:pt idx="11">
                  <c:v>67.847619047619006</c:v>
                </c:pt>
                <c:pt idx="12">
                  <c:v>67.543410967709903</c:v>
                </c:pt>
                <c:pt idx="13">
                  <c:v>67.239479800226903</c:v>
                </c:pt>
                <c:pt idx="14">
                  <c:v>61.473421351925303</c:v>
                </c:pt>
                <c:pt idx="15">
                  <c:v>56.374029570290503</c:v>
                </c:pt>
                <c:pt idx="16">
                  <c:v>57.323809523809501</c:v>
                </c:pt>
                <c:pt idx="17">
                  <c:v>58.8380952380952</c:v>
                </c:pt>
                <c:pt idx="18">
                  <c:v>56.019047619047598</c:v>
                </c:pt>
                <c:pt idx="19">
                  <c:v>57.866666666666703</c:v>
                </c:pt>
                <c:pt idx="20">
                  <c:v>58.571428571428598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49189312"/>
        <c:axId val="713407696"/>
      </c:scatterChart>
      <c:valAx>
        <c:axId val="749189312"/>
        <c:scaling>
          <c:orientation val="minMax"/>
          <c:max val="10"/>
        </c:scaling>
        <c:delete val="0"/>
        <c:axPos val="b"/>
        <c:title>
          <c:tx>
            <c:rich>
              <a:bodyPr/>
              <a:lstStyle/>
              <a:p>
                <a:pPr>
                  <a:defRPr sz="800" baseline="0">
                    <a:latin typeface="Palatino Linotype" pitchFamily="18" charset="0"/>
                    <a:ea typeface="宋体" pitchFamily="2" charset="-122"/>
                  </a:defRPr>
                </a:pPr>
                <a:r>
                  <a:rPr lang="en-US" altLang="zh-CN" sz="800" b="0" baseline="0" dirty="0">
                    <a:latin typeface="Palatino Linotype" pitchFamily="18" charset="0"/>
                    <a:ea typeface="宋体" pitchFamily="2" charset="-122"/>
                    <a:cs typeface="Times New Roman" pitchFamily="18" charset="0"/>
                  </a:rPr>
                  <a:t>PV</a:t>
                </a:r>
                <a:endParaRPr lang="zh-CN" altLang="en-US" sz="800" b="0" baseline="0" dirty="0">
                  <a:latin typeface="Palatino Linotype" pitchFamily="18" charset="0"/>
                  <a:ea typeface="宋体" pitchFamily="2" charset="-122"/>
                </a:endParaRPr>
              </a:p>
            </c:rich>
          </c:tx>
          <c:layout>
            <c:manualLayout>
              <c:xMode val="edge"/>
              <c:yMode val="edge"/>
              <c:x val="0.52755870786272996"/>
              <c:y val="0.87829696188726303"/>
            </c:manualLayout>
          </c:layout>
          <c:overlay val="0"/>
        </c:title>
        <c:numFmt formatCode="General" sourceLinked="0"/>
        <c:majorTickMark val="in"/>
        <c:minorTickMark val="none"/>
        <c:tickLblPos val="nextTo"/>
        <c:spPr>
          <a:ln w="3175">
            <a:solidFill>
              <a:sysClr val="windowText" lastClr="000000"/>
            </a:solidFill>
          </a:ln>
        </c:spPr>
        <c:txPr>
          <a:bodyPr/>
          <a:lstStyle/>
          <a:p>
            <a:pPr>
              <a:defRPr sz="800">
                <a:latin typeface="Palatino Linotype" pitchFamily="18" charset="0"/>
                <a:cs typeface="Times New Roman" pitchFamily="18" charset="0"/>
              </a:defRPr>
            </a:pPr>
            <a:endParaRPr lang="zh-CN"/>
          </a:p>
        </c:txPr>
        <c:crossAx val="713407696"/>
        <c:crosses val="autoZero"/>
        <c:crossBetween val="midCat"/>
        <c:majorUnit val="2"/>
      </c:valAx>
      <c:valAx>
        <c:axId val="713407696"/>
        <c:scaling>
          <c:orientation val="minMax"/>
          <c:max val="10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800" b="0" baseline="0">
                    <a:latin typeface="Palatino Linotype" pitchFamily="18" charset="0"/>
                    <a:ea typeface="宋体" pitchFamily="2" charset="-122"/>
                    <a:cs typeface="Times New Roman" pitchFamily="18" charset="0"/>
                  </a:defRPr>
                </a:pPr>
                <a:r>
                  <a:rPr lang="en-US" altLang="zh-CN" sz="800" b="0" i="0" u="none" strike="noStrike" baseline="0">
                    <a:effectLst/>
                    <a:latin typeface="Palatino Linotype" pitchFamily="18" charset="0"/>
                    <a:cs typeface="Times New Roman" pitchFamily="18" charset="0"/>
                  </a:rPr>
                  <a:t>Resistance coefficient (F</a:t>
                </a:r>
                <a:r>
                  <a:rPr lang="en-US" altLang="zh-CN" sz="800" b="0" i="0" u="none" strike="noStrike" baseline="-25000">
                    <a:effectLst/>
                    <a:latin typeface="Palatino Linotype" pitchFamily="18" charset="0"/>
                    <a:cs typeface="Times New Roman" pitchFamily="18" charset="0"/>
                  </a:rPr>
                  <a:t>R</a:t>
                </a:r>
                <a:r>
                  <a:rPr lang="en-US" altLang="zh-CN" sz="800" b="0" i="0" u="none" strike="noStrike" baseline="0">
                    <a:effectLst/>
                    <a:latin typeface="Palatino Linotype" pitchFamily="18" charset="0"/>
                    <a:cs typeface="Times New Roman" pitchFamily="18" charset="0"/>
                  </a:rPr>
                  <a:t>)</a:t>
                </a:r>
                <a:endParaRPr lang="zh-CN" altLang="en-US" sz="800" b="0" baseline="0">
                  <a:latin typeface="Palatino Linotype" pitchFamily="18" charset="0"/>
                  <a:ea typeface="宋体" pitchFamily="2" charset="-122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2.0233581913371938E-3"/>
              <c:y val="0.15177472119131241"/>
            </c:manualLayout>
          </c:layout>
          <c:overlay val="0"/>
        </c:title>
        <c:numFmt formatCode="General" sourceLinked="0"/>
        <c:majorTickMark val="in"/>
        <c:minorTickMark val="none"/>
        <c:tickLblPos val="nextTo"/>
        <c:spPr>
          <a:ln w="3175">
            <a:solidFill>
              <a:sysClr val="windowText" lastClr="000000"/>
            </a:solidFill>
          </a:ln>
        </c:spPr>
        <c:txPr>
          <a:bodyPr/>
          <a:lstStyle/>
          <a:p>
            <a:pPr>
              <a:defRPr sz="800">
                <a:latin typeface="Palatino Linotype" pitchFamily="18" charset="0"/>
                <a:cs typeface="Times New Roman" pitchFamily="18" charset="0"/>
              </a:defRPr>
            </a:pPr>
            <a:endParaRPr lang="zh-CN"/>
          </a:p>
        </c:txPr>
        <c:crossAx val="749189312"/>
        <c:crosses val="autoZero"/>
        <c:crossBetween val="midCat"/>
        <c:majorUnit val="20"/>
      </c:valAx>
      <c:spPr>
        <a:noFill/>
        <a:ln w="3175">
          <a:solidFill>
            <a:sysClr val="windowText" lastClr="000000"/>
          </a:solidFill>
        </a:ln>
      </c:spPr>
    </c:plotArea>
    <c:legend>
      <c:legendPos val="t"/>
      <c:layout>
        <c:manualLayout>
          <c:xMode val="edge"/>
          <c:yMode val="edge"/>
          <c:x val="0.42655739697366934"/>
          <c:y val="0.61497845700778142"/>
          <c:w val="0.51465261439894439"/>
          <c:h val="0.19418744371155311"/>
        </c:manualLayout>
      </c:layout>
      <c:overlay val="0"/>
      <c:txPr>
        <a:bodyPr/>
        <a:lstStyle/>
        <a:p>
          <a:pPr>
            <a:defRPr sz="800" baseline="0">
              <a:latin typeface="Palatino Linotype" pitchFamily="18" charset="0"/>
              <a:ea typeface="宋体" pitchFamily="2" charset="-122"/>
            </a:defRPr>
          </a:pPr>
          <a:endParaRPr lang="zh-CN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175</Words>
  <Characters>1003</Characters>
  <Application>Microsoft Office Word</Application>
  <DocSecurity>0</DocSecurity>
  <Lines>8</Lines>
  <Paragraphs>2</Paragraphs>
  <ScaleCrop>false</ScaleCrop>
  <Company>China</Company>
  <LinksUpToDate>false</LinksUpToDate>
  <CharactersWithSpaces>1176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xbany</dc:creator>
  <cp:keywords/>
  <dc:description/>
  <cp:lastModifiedBy>xbany</cp:lastModifiedBy>
  <cp:revision>2</cp:revision>
  <cp:lastPrinted>2018-10-17T01:08:00Z</cp:lastPrinted>
  <dcterms:created xsi:type="dcterms:W3CDTF">2018-10-17T01:01:00Z</dcterms:created>
  <dcterms:modified xsi:type="dcterms:W3CDTF">2018-10-17T01:11:00Z</dcterms:modified>
</cp:coreProperties>
</file>