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3A" w:rsidRDefault="00255AB3" w:rsidP="0066323A">
      <w:pPr>
        <w:spacing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ADDITIONAL</w:t>
      </w:r>
      <w:r w:rsidR="0066323A" w:rsidRPr="002B101B">
        <w:rPr>
          <w:rFonts w:ascii="Times New Roman" w:hAnsi="Times New Roman"/>
          <w:b/>
          <w:lang w:val="en-GB"/>
        </w:rPr>
        <w:t xml:space="preserve"> MATERIAL</w:t>
      </w:r>
    </w:p>
    <w:p w:rsidR="0066323A" w:rsidRPr="002B101B" w:rsidRDefault="0066323A" w:rsidP="0066323A">
      <w:pPr>
        <w:pStyle w:val="Caption"/>
        <w:keepNext/>
        <w:spacing w:before="0" w:after="0" w:line="240" w:lineRule="auto"/>
        <w:rPr>
          <w:b w:val="0"/>
          <w:lang w:val="en-US"/>
        </w:rPr>
      </w:pPr>
      <w:r w:rsidRPr="002B101B">
        <w:rPr>
          <w:b w:val="0"/>
          <w:lang w:val="en-US"/>
        </w:rPr>
        <w:t>Table S1</w:t>
      </w:r>
      <w:r>
        <w:rPr>
          <w:b w:val="0"/>
          <w:lang w:val="en-US"/>
        </w:rPr>
        <w:t>.</w:t>
      </w:r>
      <w:r w:rsidRPr="002B101B">
        <w:rPr>
          <w:b w:val="0"/>
          <w:lang w:val="en-US"/>
        </w:rPr>
        <w:t xml:space="preserve"> Growth rates (h</w:t>
      </w:r>
      <w:r w:rsidRPr="00DC6D24">
        <w:rPr>
          <w:rFonts w:ascii="Times New Roman" w:hAnsi="Times New Roman"/>
          <w:b w:val="0"/>
          <w:highlight w:val="yellow"/>
          <w:vertAlign w:val="superscript"/>
          <w:lang w:val="en-US"/>
        </w:rPr>
        <w:t>−</w:t>
      </w:r>
      <w:r w:rsidRPr="002B101B">
        <w:rPr>
          <w:b w:val="0"/>
          <w:vertAlign w:val="superscript"/>
          <w:lang w:val="en-US"/>
        </w:rPr>
        <w:t>1</w:t>
      </w:r>
      <w:r w:rsidRPr="002B101B">
        <w:rPr>
          <w:b w:val="0"/>
          <w:lang w:val="en-US"/>
        </w:rPr>
        <w:t xml:space="preserve">) of </w:t>
      </w:r>
      <w:r w:rsidRPr="002B101B">
        <w:rPr>
          <w:b w:val="0"/>
          <w:i/>
          <w:lang w:val="en-US"/>
        </w:rPr>
        <w:t>E</w:t>
      </w:r>
      <w:r>
        <w:rPr>
          <w:b w:val="0"/>
          <w:i/>
          <w:lang w:val="en-US"/>
        </w:rPr>
        <w:t>.</w:t>
      </w:r>
      <w:r w:rsidRPr="002B101B">
        <w:rPr>
          <w:b w:val="0"/>
          <w:i/>
          <w:lang w:val="en-US"/>
        </w:rPr>
        <w:t xml:space="preserve"> coli</w:t>
      </w:r>
      <w:r w:rsidRPr="002B101B">
        <w:rPr>
          <w:b w:val="0"/>
          <w:lang w:val="en-US"/>
        </w:rPr>
        <w:t xml:space="preserve"> BW25113 cells carrying pAG032</w:t>
      </w:r>
      <w:r>
        <w:rPr>
          <w:b w:val="0"/>
          <w:lang w:val="en-US"/>
        </w:rPr>
        <w:t>.</w:t>
      </w:r>
      <w:r w:rsidRPr="002B101B">
        <w:rPr>
          <w:b w:val="0"/>
          <w:lang w:val="en-US"/>
        </w:rPr>
        <w:t xml:space="preserve"> </w:t>
      </w:r>
    </w:p>
    <w:tbl>
      <w:tblPr>
        <w:tblW w:w="5000" w:type="pct"/>
        <w:tblLook w:val="04A0"/>
      </w:tblPr>
      <w:tblGrid>
        <w:gridCol w:w="2343"/>
        <w:gridCol w:w="2409"/>
        <w:gridCol w:w="2411"/>
        <w:gridCol w:w="2413"/>
      </w:tblGrid>
      <w:tr w:rsidR="0066323A" w:rsidRPr="002B101B" w:rsidTr="00E341C4">
        <w:trPr>
          <w:trHeight w:val="515"/>
        </w:trPr>
        <w:tc>
          <w:tcPr>
            <w:tcW w:w="1223" w:type="pct"/>
            <w:vMerge w:val="restart"/>
          </w:tcPr>
          <w:p w:rsidR="0066323A" w:rsidRPr="002B101B" w:rsidRDefault="0066323A" w:rsidP="00E341C4">
            <w:pPr>
              <w:spacing w:line="240" w:lineRule="auto"/>
              <w:rPr>
                <w:rFonts w:ascii="Times New Roman" w:eastAsia="Calibri" w:hAnsi="Times New Roman"/>
                <w:b/>
                <w:lang w:val="en-GB"/>
              </w:rPr>
            </w:pPr>
            <w:r w:rsidRPr="002B101B">
              <w:rPr>
                <w:rFonts w:ascii="Times New Roman" w:eastAsia="Calibri" w:hAnsi="Times New Roman"/>
                <w:b/>
                <w:lang w:val="en-GB"/>
              </w:rPr>
              <w:t>Conditions</w:t>
            </w:r>
          </w:p>
        </w:tc>
        <w:tc>
          <w:tcPr>
            <w:tcW w:w="3777" w:type="pct"/>
            <w:gridSpan w:val="3"/>
          </w:tcPr>
          <w:p w:rsidR="0066323A" w:rsidRPr="002B101B" w:rsidRDefault="0066323A" w:rsidP="00E341C4">
            <w:pPr>
              <w:spacing w:line="240" w:lineRule="auto"/>
              <w:rPr>
                <w:rFonts w:ascii="Times New Roman" w:eastAsia="Calibri" w:hAnsi="Times New Roman"/>
                <w:b/>
                <w:lang w:val="en-GB"/>
              </w:rPr>
            </w:pPr>
            <w:r w:rsidRPr="002B101B">
              <w:rPr>
                <w:rFonts w:ascii="Times New Roman" w:eastAsia="Calibri" w:hAnsi="Times New Roman"/>
                <w:b/>
                <w:lang w:val="en-GB"/>
              </w:rPr>
              <w:t>Medium composition</w:t>
            </w:r>
          </w:p>
        </w:tc>
      </w:tr>
      <w:tr w:rsidR="0066323A" w:rsidRPr="002B101B" w:rsidTr="00E341C4">
        <w:trPr>
          <w:trHeight w:val="1031"/>
        </w:trPr>
        <w:tc>
          <w:tcPr>
            <w:tcW w:w="1223" w:type="pct"/>
            <w:vMerge/>
          </w:tcPr>
          <w:p w:rsidR="0066323A" w:rsidRPr="002B101B" w:rsidRDefault="0066323A" w:rsidP="00E341C4">
            <w:pPr>
              <w:spacing w:line="240" w:lineRule="auto"/>
              <w:rPr>
                <w:rFonts w:ascii="Times New Roman" w:eastAsia="Calibri" w:hAnsi="Times New Roman"/>
                <w:b/>
                <w:lang w:val="en-GB"/>
              </w:rPr>
            </w:pPr>
          </w:p>
        </w:tc>
        <w:tc>
          <w:tcPr>
            <w:tcW w:w="1258" w:type="pct"/>
          </w:tcPr>
          <w:p w:rsidR="0066323A" w:rsidRPr="002B101B" w:rsidRDefault="0066323A" w:rsidP="00E341C4">
            <w:pPr>
              <w:spacing w:line="240" w:lineRule="auto"/>
              <w:rPr>
                <w:rFonts w:ascii="Times New Roman" w:eastAsia="Calibri" w:hAnsi="Times New Roman"/>
                <w:lang w:val="en-GB"/>
              </w:rPr>
            </w:pPr>
            <w:r w:rsidRPr="002B101B">
              <w:rPr>
                <w:rFonts w:ascii="Times New Roman" w:eastAsia="Calibri" w:hAnsi="Times New Roman"/>
                <w:lang w:val="en-GB"/>
              </w:rPr>
              <w:t>M63/glycerol</w:t>
            </w:r>
          </w:p>
        </w:tc>
        <w:tc>
          <w:tcPr>
            <w:tcW w:w="1259" w:type="pct"/>
          </w:tcPr>
          <w:p w:rsidR="0066323A" w:rsidRPr="002B101B" w:rsidRDefault="0066323A" w:rsidP="00E341C4">
            <w:pPr>
              <w:spacing w:line="240" w:lineRule="auto"/>
              <w:rPr>
                <w:rFonts w:ascii="Times New Roman" w:eastAsia="Calibri" w:hAnsi="Times New Roman"/>
                <w:lang w:val="en-GB"/>
              </w:rPr>
            </w:pPr>
            <w:r w:rsidRPr="002B101B">
              <w:rPr>
                <w:rFonts w:ascii="Times New Roman" w:eastAsia="Calibri" w:hAnsi="Times New Roman"/>
                <w:lang w:val="en-GB"/>
              </w:rPr>
              <w:t>M63/glucose</w:t>
            </w:r>
          </w:p>
        </w:tc>
        <w:tc>
          <w:tcPr>
            <w:tcW w:w="1260" w:type="pct"/>
          </w:tcPr>
          <w:p w:rsidR="0066323A" w:rsidRPr="002B101B" w:rsidRDefault="0066323A" w:rsidP="00E341C4">
            <w:pPr>
              <w:spacing w:line="240" w:lineRule="auto"/>
              <w:rPr>
                <w:rFonts w:ascii="Times New Roman" w:eastAsia="Calibri" w:hAnsi="Times New Roman"/>
                <w:lang w:val="en-GB"/>
              </w:rPr>
            </w:pPr>
            <w:r w:rsidRPr="002B101B">
              <w:rPr>
                <w:rFonts w:ascii="Times New Roman" w:eastAsia="Calibri" w:hAnsi="Times New Roman"/>
                <w:lang w:val="en-GB"/>
              </w:rPr>
              <w:t>M63/glucose + CAA</w:t>
            </w:r>
          </w:p>
        </w:tc>
      </w:tr>
      <w:tr w:rsidR="0066323A" w:rsidRPr="002B101B" w:rsidTr="00E341C4">
        <w:trPr>
          <w:trHeight w:val="506"/>
        </w:trPr>
        <w:tc>
          <w:tcPr>
            <w:tcW w:w="1223" w:type="pct"/>
          </w:tcPr>
          <w:p w:rsidR="0066323A" w:rsidRPr="002B101B" w:rsidRDefault="0066323A" w:rsidP="00E341C4">
            <w:pPr>
              <w:spacing w:line="240" w:lineRule="auto"/>
              <w:rPr>
                <w:rFonts w:ascii="Times New Roman" w:eastAsia="Calibri" w:hAnsi="Times New Roman"/>
                <w:lang w:val="en-GB"/>
              </w:rPr>
            </w:pPr>
            <w:r w:rsidRPr="002B101B">
              <w:rPr>
                <w:rFonts w:ascii="Times New Roman" w:eastAsia="Calibri" w:hAnsi="Times New Roman"/>
                <w:lang w:val="en-GB"/>
              </w:rPr>
              <w:t>non-induced</w:t>
            </w:r>
          </w:p>
        </w:tc>
        <w:tc>
          <w:tcPr>
            <w:tcW w:w="1258" w:type="pct"/>
          </w:tcPr>
          <w:p w:rsidR="0066323A" w:rsidRPr="002B101B" w:rsidRDefault="0066323A" w:rsidP="00E341C4">
            <w:pPr>
              <w:spacing w:line="240" w:lineRule="auto"/>
              <w:rPr>
                <w:rFonts w:ascii="Times New Roman" w:eastAsia="Calibri" w:hAnsi="Times New Roman"/>
                <w:lang w:eastAsia="nb-NO"/>
              </w:rPr>
            </w:pPr>
            <w:r w:rsidRPr="002B101B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>.</w:t>
            </w:r>
            <w:r w:rsidRPr="002B101B">
              <w:rPr>
                <w:rFonts w:ascii="Times New Roman" w:eastAsia="Calibri" w:hAnsi="Times New Roman"/>
              </w:rPr>
              <w:t>388</w:t>
            </w:r>
          </w:p>
        </w:tc>
        <w:tc>
          <w:tcPr>
            <w:tcW w:w="1259" w:type="pct"/>
          </w:tcPr>
          <w:p w:rsidR="0066323A" w:rsidRPr="002B101B" w:rsidRDefault="0066323A" w:rsidP="00E341C4">
            <w:pPr>
              <w:spacing w:line="240" w:lineRule="auto"/>
              <w:rPr>
                <w:rFonts w:ascii="Times New Roman" w:eastAsia="Calibri" w:hAnsi="Times New Roman"/>
                <w:lang w:eastAsia="nb-NO"/>
              </w:rPr>
            </w:pPr>
            <w:r w:rsidRPr="002B101B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>.</w:t>
            </w:r>
            <w:r w:rsidRPr="002B101B">
              <w:rPr>
                <w:rFonts w:ascii="Times New Roman" w:eastAsia="Calibri" w:hAnsi="Times New Roman"/>
              </w:rPr>
              <w:t>523</w:t>
            </w:r>
          </w:p>
        </w:tc>
        <w:tc>
          <w:tcPr>
            <w:tcW w:w="1260" w:type="pct"/>
          </w:tcPr>
          <w:p w:rsidR="0066323A" w:rsidRPr="002B101B" w:rsidRDefault="0066323A" w:rsidP="00E341C4">
            <w:pPr>
              <w:spacing w:line="240" w:lineRule="auto"/>
              <w:rPr>
                <w:rFonts w:ascii="Times New Roman" w:eastAsia="Calibri" w:hAnsi="Times New Roman"/>
                <w:lang w:eastAsia="nb-NO"/>
              </w:rPr>
            </w:pPr>
            <w:r w:rsidRPr="002B101B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>.</w:t>
            </w:r>
            <w:r w:rsidRPr="002B101B">
              <w:rPr>
                <w:rFonts w:ascii="Times New Roman" w:eastAsia="Calibri" w:hAnsi="Times New Roman"/>
              </w:rPr>
              <w:t>574</w:t>
            </w:r>
          </w:p>
        </w:tc>
      </w:tr>
      <w:tr w:rsidR="0066323A" w:rsidRPr="002B101B" w:rsidTr="00E341C4">
        <w:trPr>
          <w:trHeight w:val="515"/>
        </w:trPr>
        <w:tc>
          <w:tcPr>
            <w:tcW w:w="1223" w:type="pct"/>
          </w:tcPr>
          <w:p w:rsidR="0066323A" w:rsidRPr="002B101B" w:rsidRDefault="0066323A" w:rsidP="00E341C4">
            <w:pPr>
              <w:spacing w:line="240" w:lineRule="auto"/>
              <w:rPr>
                <w:rFonts w:ascii="Times New Roman" w:eastAsia="Calibri" w:hAnsi="Times New Roman"/>
                <w:lang w:val="en-GB"/>
              </w:rPr>
            </w:pPr>
            <w:r w:rsidRPr="002B101B">
              <w:rPr>
                <w:rFonts w:ascii="Times New Roman" w:eastAsia="Calibri" w:hAnsi="Times New Roman"/>
                <w:lang w:val="en-GB"/>
              </w:rPr>
              <w:t>induced</w:t>
            </w:r>
          </w:p>
        </w:tc>
        <w:tc>
          <w:tcPr>
            <w:tcW w:w="1258" w:type="pct"/>
          </w:tcPr>
          <w:p w:rsidR="0066323A" w:rsidRPr="002B101B" w:rsidRDefault="0066323A" w:rsidP="00E341C4">
            <w:pPr>
              <w:spacing w:line="240" w:lineRule="auto"/>
              <w:rPr>
                <w:rFonts w:ascii="Times New Roman" w:eastAsia="Calibri" w:hAnsi="Times New Roman"/>
                <w:lang w:eastAsia="nb-NO"/>
              </w:rPr>
            </w:pPr>
            <w:r w:rsidRPr="002B101B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>.</w:t>
            </w:r>
            <w:r w:rsidRPr="002B101B">
              <w:rPr>
                <w:rFonts w:ascii="Times New Roman" w:eastAsia="Calibri" w:hAnsi="Times New Roman"/>
              </w:rPr>
              <w:t>352</w:t>
            </w:r>
          </w:p>
        </w:tc>
        <w:tc>
          <w:tcPr>
            <w:tcW w:w="1259" w:type="pct"/>
          </w:tcPr>
          <w:p w:rsidR="0066323A" w:rsidRPr="002B101B" w:rsidRDefault="0066323A" w:rsidP="00E341C4">
            <w:pPr>
              <w:spacing w:line="240" w:lineRule="auto"/>
              <w:rPr>
                <w:rFonts w:ascii="Times New Roman" w:eastAsia="Calibri" w:hAnsi="Times New Roman"/>
                <w:lang w:eastAsia="nb-NO"/>
              </w:rPr>
            </w:pPr>
            <w:r w:rsidRPr="002B101B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>.</w:t>
            </w:r>
            <w:r w:rsidRPr="002B101B">
              <w:rPr>
                <w:rFonts w:ascii="Times New Roman" w:eastAsia="Calibri" w:hAnsi="Times New Roman"/>
              </w:rPr>
              <w:t>501</w:t>
            </w:r>
          </w:p>
        </w:tc>
        <w:tc>
          <w:tcPr>
            <w:tcW w:w="1260" w:type="pct"/>
          </w:tcPr>
          <w:p w:rsidR="0066323A" w:rsidRPr="002B101B" w:rsidRDefault="0066323A" w:rsidP="00E341C4">
            <w:pPr>
              <w:spacing w:line="240" w:lineRule="auto"/>
              <w:rPr>
                <w:rFonts w:ascii="Times New Roman" w:eastAsia="Calibri" w:hAnsi="Times New Roman"/>
                <w:lang w:eastAsia="nb-NO"/>
              </w:rPr>
            </w:pPr>
            <w:r w:rsidRPr="002B101B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>.</w:t>
            </w:r>
            <w:r w:rsidRPr="002B101B">
              <w:rPr>
                <w:rFonts w:ascii="Times New Roman" w:eastAsia="Calibri" w:hAnsi="Times New Roman"/>
              </w:rPr>
              <w:t>469</w:t>
            </w:r>
          </w:p>
        </w:tc>
      </w:tr>
    </w:tbl>
    <w:p w:rsidR="0066323A" w:rsidRDefault="0066323A" w:rsidP="0066323A">
      <w:pPr>
        <w:spacing w:line="240" w:lineRule="auto"/>
        <w:rPr>
          <w:rFonts w:ascii="Times New Roman" w:hAnsi="Times New Roman"/>
          <w:lang w:val="en-GB"/>
        </w:rPr>
      </w:pPr>
      <w:r w:rsidRPr="002B101B">
        <w:rPr>
          <w:rFonts w:ascii="Times New Roman" w:hAnsi="Times New Roman"/>
          <w:lang w:val="en-GB"/>
        </w:rPr>
        <w:t xml:space="preserve">Recombinant cells were </w:t>
      </w:r>
      <w:r w:rsidRPr="002B101B">
        <w:rPr>
          <w:rFonts w:ascii="Times New Roman" w:hAnsi="Times New Roman"/>
        </w:rPr>
        <w:t xml:space="preserve">cultivated </w:t>
      </w:r>
      <w:r w:rsidRPr="002B101B">
        <w:rPr>
          <w:rFonts w:ascii="Times New Roman" w:hAnsi="Times New Roman"/>
          <w:lang w:val="en-GB"/>
        </w:rPr>
        <w:t xml:space="preserve">under non-induced and induced conditions in M63 minimal medium </w:t>
      </w:r>
      <w:r w:rsidRPr="002B101B">
        <w:rPr>
          <w:rFonts w:ascii="Times New Roman" w:hAnsi="Times New Roman"/>
        </w:rPr>
        <w:t>with different supplementation</w:t>
      </w:r>
      <w:r>
        <w:rPr>
          <w:rFonts w:ascii="Times New Roman" w:hAnsi="Times New Roman"/>
        </w:rPr>
        <w:t>.</w:t>
      </w:r>
      <w:r w:rsidRPr="002B101B">
        <w:rPr>
          <w:rFonts w:ascii="Times New Roman" w:hAnsi="Times New Roman"/>
        </w:rPr>
        <w:t xml:space="preserve"> The growth rates were calculated from OD</w:t>
      </w:r>
      <w:r w:rsidRPr="002B101B">
        <w:rPr>
          <w:rFonts w:ascii="Times New Roman" w:hAnsi="Times New Roman"/>
          <w:vertAlign w:val="subscript"/>
        </w:rPr>
        <w:t>600nm</w:t>
      </w:r>
      <w:r w:rsidRPr="002B101B">
        <w:rPr>
          <w:rFonts w:ascii="Times New Roman" w:hAnsi="Times New Roman"/>
        </w:rPr>
        <w:t xml:space="preserve"> values measured every 1 h from 0 to 3 h from induction with the m-toluic acid</w:t>
      </w:r>
      <w:r>
        <w:rPr>
          <w:rFonts w:ascii="Times New Roman" w:hAnsi="Times New Roman"/>
        </w:rPr>
        <w:t>.</w:t>
      </w:r>
      <w:r w:rsidRPr="002B101B">
        <w:rPr>
          <w:rFonts w:ascii="Times New Roman" w:hAnsi="Times New Roman"/>
        </w:rPr>
        <w:t xml:space="preserve"> The data presented are from three independent biological replica </w:t>
      </w:r>
      <w:r w:rsidRPr="002B101B">
        <w:t>(average</w:t>
      </w:r>
      <w:r w:rsidRPr="002B101B">
        <w:rPr>
          <w:rFonts w:cs="Times"/>
        </w:rPr>
        <w:t>±</w:t>
      </w:r>
      <w:r w:rsidRPr="002B101B">
        <w:t>SD)</w:t>
      </w:r>
      <w:r>
        <w:rPr>
          <w:rFonts w:ascii="Times New Roman" w:hAnsi="Times New Roman"/>
        </w:rPr>
        <w:t>.</w:t>
      </w:r>
    </w:p>
    <w:p w:rsidR="0066323A" w:rsidRPr="002B101B" w:rsidRDefault="0066323A" w:rsidP="0066323A">
      <w:pPr>
        <w:pStyle w:val="Caption"/>
        <w:keepNext/>
        <w:spacing w:before="0" w:after="0" w:line="240" w:lineRule="auto"/>
        <w:rPr>
          <w:b w:val="0"/>
          <w:lang w:val="en-US"/>
        </w:rPr>
      </w:pPr>
      <w:r w:rsidRPr="002B101B">
        <w:rPr>
          <w:b w:val="0"/>
          <w:lang w:val="en-US"/>
        </w:rPr>
        <w:t>Table S2</w:t>
      </w:r>
      <w:r>
        <w:rPr>
          <w:b w:val="0"/>
          <w:lang w:val="en-US"/>
        </w:rPr>
        <w:t>.</w:t>
      </w:r>
      <w:r w:rsidRPr="002B101B">
        <w:rPr>
          <w:b w:val="0"/>
          <w:lang w:val="en-US"/>
        </w:rPr>
        <w:t xml:space="preserve"> Efficiencies of qPCR reaction (%) and R</w:t>
      </w:r>
      <w:r w:rsidRPr="002B101B">
        <w:rPr>
          <w:b w:val="0"/>
          <w:vertAlign w:val="superscript"/>
          <w:lang w:val="en-US"/>
        </w:rPr>
        <w:t>2</w:t>
      </w:r>
      <w:r w:rsidRPr="002B101B">
        <w:rPr>
          <w:b w:val="0"/>
          <w:lang w:val="en-US"/>
        </w:rPr>
        <w:t xml:space="preserve"> coefficients of determination of the standard curves for primer pairs used for amplification</w:t>
      </w:r>
      <w:r>
        <w:rPr>
          <w:b w:val="0"/>
          <w:lang w:val="en-US"/>
        </w:rPr>
        <w:t>.</w:t>
      </w:r>
      <w:r w:rsidRPr="002B101B">
        <w:rPr>
          <w:b w:val="0"/>
          <w:lang w:val="en-US"/>
        </w:rPr>
        <w:t xml:space="preserve"> </w:t>
      </w:r>
    </w:p>
    <w:tbl>
      <w:tblPr>
        <w:tblW w:w="5000" w:type="pct"/>
        <w:tblLook w:val="04A0"/>
      </w:tblPr>
      <w:tblGrid>
        <w:gridCol w:w="3132"/>
        <w:gridCol w:w="3221"/>
        <w:gridCol w:w="3223"/>
      </w:tblGrid>
      <w:tr w:rsidR="0066323A" w:rsidRPr="002B101B" w:rsidTr="00E341C4">
        <w:trPr>
          <w:trHeight w:val="1031"/>
        </w:trPr>
        <w:tc>
          <w:tcPr>
            <w:tcW w:w="1635" w:type="pct"/>
          </w:tcPr>
          <w:p w:rsidR="0066323A" w:rsidRPr="002B101B" w:rsidRDefault="0066323A" w:rsidP="00E341C4">
            <w:pPr>
              <w:spacing w:line="240" w:lineRule="auto"/>
              <w:rPr>
                <w:rFonts w:ascii="Times New Roman" w:eastAsia="Calibri" w:hAnsi="Times New Roman"/>
                <w:b/>
                <w:lang w:val="en-GB"/>
              </w:rPr>
            </w:pPr>
            <w:r w:rsidRPr="002B101B">
              <w:rPr>
                <w:rFonts w:ascii="Times New Roman" w:eastAsia="Calibri" w:hAnsi="Times New Roman"/>
                <w:b/>
                <w:lang w:val="en-GB"/>
              </w:rPr>
              <w:t>Gene name</w:t>
            </w:r>
          </w:p>
        </w:tc>
        <w:tc>
          <w:tcPr>
            <w:tcW w:w="1682" w:type="pct"/>
          </w:tcPr>
          <w:p w:rsidR="0066323A" w:rsidRPr="002B101B" w:rsidRDefault="0066323A" w:rsidP="00E341C4">
            <w:pPr>
              <w:spacing w:line="240" w:lineRule="auto"/>
              <w:rPr>
                <w:rFonts w:ascii="Times New Roman" w:eastAsia="Calibri" w:hAnsi="Times New Roman"/>
                <w:b/>
                <w:lang w:val="en-GB"/>
              </w:rPr>
            </w:pPr>
            <w:r w:rsidRPr="002B101B">
              <w:rPr>
                <w:rFonts w:ascii="Times New Roman" w:eastAsia="Calibri" w:hAnsi="Times New Roman"/>
                <w:b/>
                <w:lang w:val="en-GB"/>
              </w:rPr>
              <w:t>Efficiency</w:t>
            </w:r>
          </w:p>
        </w:tc>
        <w:tc>
          <w:tcPr>
            <w:tcW w:w="1683" w:type="pct"/>
          </w:tcPr>
          <w:p w:rsidR="0066323A" w:rsidRPr="002B101B" w:rsidRDefault="0066323A" w:rsidP="00E341C4">
            <w:pPr>
              <w:spacing w:line="240" w:lineRule="auto"/>
              <w:rPr>
                <w:rFonts w:ascii="Times New Roman" w:eastAsia="Calibri" w:hAnsi="Times New Roman"/>
                <w:b/>
                <w:vertAlign w:val="superscript"/>
                <w:lang w:val="en-GB"/>
              </w:rPr>
            </w:pPr>
            <w:r w:rsidRPr="002B101B">
              <w:rPr>
                <w:rFonts w:ascii="Times New Roman" w:eastAsia="Calibri" w:hAnsi="Times New Roman"/>
                <w:b/>
                <w:lang w:val="en-GB"/>
              </w:rPr>
              <w:t>R</w:t>
            </w:r>
            <w:r w:rsidRPr="002B101B">
              <w:rPr>
                <w:rFonts w:ascii="Times New Roman" w:eastAsia="Calibri" w:hAnsi="Times New Roman"/>
                <w:b/>
                <w:vertAlign w:val="superscript"/>
                <w:lang w:val="en-GB"/>
              </w:rPr>
              <w:t>2</w:t>
            </w:r>
          </w:p>
        </w:tc>
      </w:tr>
      <w:tr w:rsidR="0066323A" w:rsidRPr="002B101B" w:rsidTr="00E341C4">
        <w:trPr>
          <w:trHeight w:val="506"/>
        </w:trPr>
        <w:tc>
          <w:tcPr>
            <w:tcW w:w="1635" w:type="pct"/>
          </w:tcPr>
          <w:p w:rsidR="0066323A" w:rsidRPr="002B101B" w:rsidRDefault="0066323A" w:rsidP="00E341C4">
            <w:pPr>
              <w:spacing w:line="240" w:lineRule="auto"/>
              <w:rPr>
                <w:rFonts w:ascii="Times New Roman" w:eastAsia="Calibri" w:hAnsi="Times New Roman"/>
                <w:i/>
                <w:lang w:val="en-GB"/>
              </w:rPr>
            </w:pPr>
            <w:r w:rsidRPr="002B101B">
              <w:rPr>
                <w:rFonts w:ascii="Times New Roman" w:eastAsia="Calibri" w:hAnsi="Times New Roman"/>
                <w:i/>
                <w:lang w:val="en-GB"/>
              </w:rPr>
              <w:t>cysG</w:t>
            </w:r>
          </w:p>
        </w:tc>
        <w:tc>
          <w:tcPr>
            <w:tcW w:w="1682" w:type="pct"/>
          </w:tcPr>
          <w:p w:rsidR="0066323A" w:rsidRPr="002B101B" w:rsidRDefault="0066323A" w:rsidP="00E341C4">
            <w:pPr>
              <w:spacing w:line="240" w:lineRule="auto"/>
              <w:rPr>
                <w:rFonts w:ascii="Times New Roman" w:eastAsia="Calibri" w:hAnsi="Times New Roman"/>
                <w:lang w:eastAsia="nb-NO"/>
              </w:rPr>
            </w:pPr>
            <w:r w:rsidRPr="002B101B">
              <w:rPr>
                <w:rFonts w:ascii="Times New Roman" w:eastAsia="Calibri" w:hAnsi="Times New Roman"/>
              </w:rPr>
              <w:t>95</w:t>
            </w:r>
            <w:r>
              <w:rPr>
                <w:rFonts w:ascii="Times New Roman" w:eastAsia="Calibri" w:hAnsi="Times New Roman"/>
              </w:rPr>
              <w:t>.</w:t>
            </w:r>
            <w:r w:rsidRPr="002B101B">
              <w:rPr>
                <w:rFonts w:ascii="Times New Roman" w:eastAsia="Calibri" w:hAnsi="Times New Roman"/>
              </w:rPr>
              <w:t>91</w:t>
            </w:r>
          </w:p>
        </w:tc>
        <w:tc>
          <w:tcPr>
            <w:tcW w:w="1683" w:type="pct"/>
          </w:tcPr>
          <w:p w:rsidR="0066323A" w:rsidRPr="002B101B" w:rsidRDefault="0066323A" w:rsidP="00E341C4">
            <w:pPr>
              <w:spacing w:line="240" w:lineRule="auto"/>
              <w:rPr>
                <w:rFonts w:ascii="Times New Roman" w:eastAsia="Calibri" w:hAnsi="Times New Roman"/>
                <w:lang w:eastAsia="nb-NO"/>
              </w:rPr>
            </w:pPr>
            <w:r w:rsidRPr="002B101B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>.</w:t>
            </w:r>
            <w:r w:rsidRPr="002B101B">
              <w:rPr>
                <w:rFonts w:ascii="Times New Roman" w:eastAsia="Calibri" w:hAnsi="Times New Roman"/>
              </w:rPr>
              <w:t>999</w:t>
            </w:r>
          </w:p>
        </w:tc>
      </w:tr>
      <w:tr w:rsidR="0066323A" w:rsidRPr="002B101B" w:rsidTr="00E341C4">
        <w:trPr>
          <w:trHeight w:val="515"/>
        </w:trPr>
        <w:tc>
          <w:tcPr>
            <w:tcW w:w="1635" w:type="pct"/>
          </w:tcPr>
          <w:p w:rsidR="0066323A" w:rsidRPr="002B101B" w:rsidRDefault="0066323A" w:rsidP="00E341C4">
            <w:pPr>
              <w:spacing w:line="240" w:lineRule="auto"/>
              <w:rPr>
                <w:rFonts w:ascii="Times New Roman" w:eastAsia="Calibri" w:hAnsi="Times New Roman"/>
                <w:i/>
                <w:lang w:val="en-GB"/>
              </w:rPr>
            </w:pPr>
            <w:r w:rsidRPr="002B101B">
              <w:rPr>
                <w:rFonts w:ascii="Times New Roman" w:eastAsia="Calibri" w:hAnsi="Times New Roman"/>
                <w:i/>
                <w:lang w:val="en-GB"/>
              </w:rPr>
              <w:t>rplC</w:t>
            </w:r>
          </w:p>
        </w:tc>
        <w:tc>
          <w:tcPr>
            <w:tcW w:w="1682" w:type="pct"/>
          </w:tcPr>
          <w:p w:rsidR="0066323A" w:rsidRPr="002B101B" w:rsidRDefault="0066323A" w:rsidP="00E341C4">
            <w:pPr>
              <w:spacing w:line="240" w:lineRule="auto"/>
              <w:rPr>
                <w:rFonts w:ascii="Times New Roman" w:eastAsia="Calibri" w:hAnsi="Times New Roman"/>
                <w:lang w:eastAsia="nb-NO"/>
              </w:rPr>
            </w:pPr>
            <w:r w:rsidRPr="002B101B">
              <w:rPr>
                <w:rFonts w:ascii="Times New Roman" w:eastAsia="Calibri" w:hAnsi="Times New Roman"/>
              </w:rPr>
              <w:t>98</w:t>
            </w:r>
            <w:r>
              <w:rPr>
                <w:rFonts w:ascii="Times New Roman" w:eastAsia="Calibri" w:hAnsi="Times New Roman"/>
              </w:rPr>
              <w:t>.</w:t>
            </w:r>
            <w:r w:rsidRPr="002B101B"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1683" w:type="pct"/>
          </w:tcPr>
          <w:p w:rsidR="0066323A" w:rsidRPr="002B101B" w:rsidRDefault="0066323A" w:rsidP="00E341C4">
            <w:pPr>
              <w:spacing w:line="240" w:lineRule="auto"/>
              <w:rPr>
                <w:rFonts w:ascii="Times New Roman" w:eastAsia="Calibri" w:hAnsi="Times New Roman"/>
                <w:lang w:eastAsia="nb-NO"/>
              </w:rPr>
            </w:pPr>
            <w:r w:rsidRPr="002B101B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>.</w:t>
            </w:r>
            <w:r w:rsidRPr="002B101B">
              <w:rPr>
                <w:rFonts w:ascii="Times New Roman" w:eastAsia="Calibri" w:hAnsi="Times New Roman"/>
              </w:rPr>
              <w:t>999</w:t>
            </w:r>
          </w:p>
        </w:tc>
      </w:tr>
    </w:tbl>
    <w:p w:rsidR="0066323A" w:rsidRDefault="0066323A" w:rsidP="0066323A">
      <w:pPr>
        <w:keepNext/>
        <w:spacing w:line="240" w:lineRule="auto"/>
      </w:pPr>
    </w:p>
    <w:p w:rsidR="00403EB6" w:rsidRDefault="0066323A" w:rsidP="0066323A">
      <w:r w:rsidRPr="002B101B">
        <w:t>Figure S1</w:t>
      </w:r>
      <w:r>
        <w:t>.</w:t>
      </w:r>
      <w:r w:rsidRPr="002B101B">
        <w:t xml:space="preserve"> Iinfluence of m-toluic acid (1 mM) on activity of (A) the XylS/</w:t>
      </w:r>
      <w:r w:rsidRPr="002B101B">
        <w:rPr>
          <w:i/>
        </w:rPr>
        <w:t xml:space="preserve">Pm </w:t>
      </w:r>
      <w:r w:rsidRPr="002B101B">
        <w:t>(only pAG032)</w:t>
      </w:r>
      <w:r>
        <w:t>,</w:t>
      </w:r>
      <w:r w:rsidRPr="002B101B">
        <w:t xml:space="preserve"> (B) P</w:t>
      </w:r>
      <w:r w:rsidRPr="002B101B">
        <w:rPr>
          <w:i/>
        </w:rPr>
        <w:t xml:space="preserve">rspJ </w:t>
      </w:r>
      <w:r w:rsidRPr="002B101B">
        <w:t>and (C) P</w:t>
      </w:r>
      <w:r w:rsidRPr="002B101B">
        <w:rPr>
          <w:i/>
        </w:rPr>
        <w:t>ibpfxs</w:t>
      </w:r>
      <w:r w:rsidRPr="002B101B">
        <w:t xml:space="preserve"> reporter units during cultivation of </w:t>
      </w:r>
      <w:r w:rsidRPr="002B101B">
        <w:rPr>
          <w:i/>
        </w:rPr>
        <w:t>E</w:t>
      </w:r>
      <w:r>
        <w:rPr>
          <w:i/>
        </w:rPr>
        <w:t>.</w:t>
      </w:r>
      <w:r w:rsidRPr="002B101B">
        <w:rPr>
          <w:i/>
        </w:rPr>
        <w:t xml:space="preserve"> coli</w:t>
      </w:r>
      <w:r w:rsidRPr="002B101B">
        <w:t xml:space="preserve"> BW25113 transformed with three-gene version of the plasmid (pAG032) and two-gene version of the plasmid (pAG028)</w:t>
      </w:r>
      <w:r>
        <w:t>.</w:t>
      </w:r>
      <w:r w:rsidRPr="002B101B">
        <w:t xml:space="preserve"> Cell were grown in M63 medium supplemented with glucose</w:t>
      </w:r>
      <w:r>
        <w:t>.</w:t>
      </w:r>
      <w:r w:rsidRPr="002B101B">
        <w:t xml:space="preserve"> </w:t>
      </w:r>
      <w:r w:rsidRPr="002B101B">
        <w:rPr>
          <w:rFonts w:ascii="Times New Roman" w:hAnsi="Times New Roman"/>
          <w:lang w:val="en-GB"/>
        </w:rPr>
        <w:t xml:space="preserve">The </w:t>
      </w:r>
      <w:r w:rsidRPr="002B101B">
        <w:t>OD</w:t>
      </w:r>
      <w:r w:rsidRPr="002B101B">
        <w:rPr>
          <w:vertAlign w:val="subscript"/>
        </w:rPr>
        <w:t>600nm</w:t>
      </w:r>
      <w:r w:rsidRPr="002B101B">
        <w:t xml:space="preserve"> normalized fluorescence values were calculated from measurements taken</w:t>
      </w:r>
      <w:r w:rsidRPr="002B101B">
        <w:rPr>
          <w:rFonts w:ascii="Times New Roman" w:hAnsi="Times New Roman"/>
          <w:lang w:val="en-GB"/>
        </w:rPr>
        <w:t xml:space="preserve"> at the time point corresponding to 3 h after the induction</w:t>
      </w:r>
      <w:r>
        <w:rPr>
          <w:rFonts w:ascii="Times New Roman" w:hAnsi="Times New Roman"/>
          <w:lang w:val="en-GB"/>
        </w:rPr>
        <w:t>.</w:t>
      </w:r>
      <w:r w:rsidRPr="002B101B">
        <w:rPr>
          <w:rFonts w:ascii="Times New Roman" w:hAnsi="Times New Roman"/>
          <w:lang w:val="en-GB"/>
        </w:rPr>
        <w:t xml:space="preserve"> </w:t>
      </w:r>
      <w:r w:rsidRPr="002B101B">
        <w:t>The data presented are from three independent biological replica (average</w:t>
      </w:r>
      <w:r w:rsidRPr="002B101B">
        <w:rPr>
          <w:rFonts w:cs="Times"/>
        </w:rPr>
        <w:t>±</w:t>
      </w:r>
      <w:r w:rsidRPr="002B101B">
        <w:t>SD)</w:t>
      </w:r>
      <w:r>
        <w:t>.</w:t>
      </w:r>
      <w:r w:rsidRPr="002B101B">
        <w:t xml:space="preserve"> Please note that values of OD normalized fluorescence</w:t>
      </w:r>
      <w:r>
        <w:t>,</w:t>
      </w:r>
      <w:r w:rsidRPr="002B101B">
        <w:t xml:space="preserve"> not relative fluorescence</w:t>
      </w:r>
      <w:r>
        <w:t>,</w:t>
      </w:r>
      <w:r w:rsidRPr="002B101B">
        <w:t xml:space="preserve"> are given</w:t>
      </w:r>
      <w:r>
        <w:t>.</w:t>
      </w:r>
    </w:p>
    <w:p w:rsidR="0066323A" w:rsidRDefault="0066323A" w:rsidP="0066323A">
      <w:r>
        <w:rPr>
          <w:noProof/>
        </w:rPr>
        <w:lastRenderedPageBreak/>
        <w:drawing>
          <wp:inline distT="0" distB="0" distL="0" distR="0">
            <wp:extent cx="5943600" cy="12910322"/>
            <wp:effectExtent l="19050" t="0" r="0" b="0"/>
            <wp:docPr id="1" name="Picture 1" descr="H:\journals\Springer\Space\12934\1128\Stage200\Author\Figure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journals\Springer\Space\12934\1128\Stage200\Author\Figure_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1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23A" w:rsidSect="0040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6323A"/>
    <w:rsid w:val="000D6C28"/>
    <w:rsid w:val="00255AB3"/>
    <w:rsid w:val="002745EF"/>
    <w:rsid w:val="00403EB6"/>
    <w:rsid w:val="005D5E1E"/>
    <w:rsid w:val="0066323A"/>
    <w:rsid w:val="006C4917"/>
    <w:rsid w:val="007F3B28"/>
    <w:rsid w:val="008D4E5C"/>
    <w:rsid w:val="00A0286C"/>
    <w:rsid w:val="00C61FD7"/>
    <w:rsid w:val="00C87678"/>
    <w:rsid w:val="00F6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323A"/>
    <w:pPr>
      <w:spacing w:before="120" w:after="120" w:line="240" w:lineRule="atLeast"/>
    </w:pPr>
    <w:rPr>
      <w:rFonts w:ascii="Times" w:eastAsia="Times New Roman" w:hAnsi="Times" w:cs="Times New Roman"/>
      <w:b/>
      <w:sz w:val="24"/>
      <w:szCs w:val="20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0013914</dc:creator>
  <cp:lastModifiedBy>0013914</cp:lastModifiedBy>
  <cp:revision>2</cp:revision>
  <dcterms:created xsi:type="dcterms:W3CDTF">2019-04-27T08:15:00Z</dcterms:created>
  <dcterms:modified xsi:type="dcterms:W3CDTF">2019-04-27T08:20:00Z</dcterms:modified>
</cp:coreProperties>
</file>