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76" w:rsidRPr="005D3347" w:rsidRDefault="00A322BC" w:rsidP="00E743C9">
      <w:pPr>
        <w:spacing w:line="360" w:lineRule="auto"/>
        <w:rPr>
          <w:rFonts w:ascii="Times New Roman" w:hAnsi="Times New Roman" w:cs="Times New Roman"/>
          <w:b/>
          <w:sz w:val="24"/>
          <w:szCs w:val="24"/>
        </w:rPr>
      </w:pPr>
      <w:r w:rsidRPr="005D3347">
        <w:rPr>
          <w:rFonts w:ascii="Times New Roman" w:hAnsi="Times New Roman" w:cs="Times New Roman"/>
          <w:b/>
          <w:sz w:val="24"/>
          <w:szCs w:val="24"/>
        </w:rPr>
        <w:t>SUPPLEMENTARY MATERIAL</w:t>
      </w:r>
    </w:p>
    <w:p w:rsidR="00A322BC" w:rsidRPr="005D3347" w:rsidRDefault="00A322BC" w:rsidP="00E743C9">
      <w:pPr>
        <w:pStyle w:val="NormalWeb"/>
        <w:suppressLineNumbers/>
        <w:spacing w:before="0" w:beforeAutospacing="0" w:after="0" w:afterAutospacing="0" w:line="360" w:lineRule="auto"/>
        <w:rPr>
          <w:b/>
          <w:bCs/>
          <w:color w:val="000000"/>
          <w:sz w:val="28"/>
          <w:szCs w:val="28"/>
          <w:lang w:val="en-GB"/>
        </w:rPr>
      </w:pPr>
      <w:r w:rsidRPr="005D3347">
        <w:rPr>
          <w:b/>
          <w:bCs/>
          <w:i/>
          <w:iCs/>
          <w:color w:val="000000"/>
          <w:sz w:val="28"/>
          <w:szCs w:val="28"/>
          <w:lang w:val="en-GB"/>
        </w:rPr>
        <w:t>In vitro</w:t>
      </w:r>
      <w:r w:rsidRPr="005D3347">
        <w:rPr>
          <w:b/>
          <w:bCs/>
          <w:color w:val="000000"/>
          <w:sz w:val="28"/>
          <w:szCs w:val="28"/>
          <w:lang w:val="en-GB"/>
        </w:rPr>
        <w:t xml:space="preserve"> evaluation reveals the </w:t>
      </w:r>
      <w:proofErr w:type="spellStart"/>
      <w:r w:rsidRPr="005D3347">
        <w:rPr>
          <w:b/>
          <w:bCs/>
          <w:color w:val="000000"/>
          <w:sz w:val="28"/>
          <w:szCs w:val="28"/>
          <w:lang w:val="en-GB"/>
        </w:rPr>
        <w:t>nutraceutical</w:t>
      </w:r>
      <w:proofErr w:type="spellEnd"/>
      <w:r w:rsidRPr="005D3347">
        <w:rPr>
          <w:b/>
          <w:bCs/>
          <w:color w:val="000000"/>
          <w:sz w:val="28"/>
          <w:szCs w:val="28"/>
          <w:lang w:val="en-GB"/>
        </w:rPr>
        <w:t xml:space="preserve"> properties of edible lichen</w:t>
      </w:r>
    </w:p>
    <w:p w:rsidR="00A322BC" w:rsidRPr="005D3347" w:rsidRDefault="00A322BC" w:rsidP="00E743C9">
      <w:pPr>
        <w:pStyle w:val="NormalWeb"/>
        <w:suppressLineNumbers/>
        <w:spacing w:before="0" w:beforeAutospacing="0" w:after="0" w:afterAutospacing="0" w:line="360" w:lineRule="auto"/>
        <w:rPr>
          <w:b/>
          <w:bCs/>
          <w:iCs/>
          <w:color w:val="000000"/>
          <w:sz w:val="28"/>
          <w:szCs w:val="28"/>
          <w:lang w:val="en-GB"/>
        </w:rPr>
      </w:pPr>
      <w:proofErr w:type="spellStart"/>
      <w:r w:rsidRPr="005D3347">
        <w:rPr>
          <w:b/>
          <w:bCs/>
          <w:i/>
          <w:iCs/>
          <w:color w:val="000000"/>
          <w:sz w:val="28"/>
          <w:szCs w:val="28"/>
          <w:lang w:val="en-GB"/>
        </w:rPr>
        <w:t>Parmotrema</w:t>
      </w:r>
      <w:proofErr w:type="spellEnd"/>
      <w:r w:rsidRPr="005D3347">
        <w:rPr>
          <w:b/>
          <w:bCs/>
          <w:i/>
          <w:iCs/>
          <w:color w:val="000000"/>
          <w:sz w:val="28"/>
          <w:szCs w:val="28"/>
          <w:lang w:val="en-GB"/>
        </w:rPr>
        <w:t xml:space="preserve"> </w:t>
      </w:r>
      <w:proofErr w:type="spellStart"/>
      <w:r w:rsidRPr="005D3347">
        <w:rPr>
          <w:b/>
          <w:bCs/>
          <w:i/>
          <w:iCs/>
          <w:color w:val="000000"/>
          <w:sz w:val="28"/>
          <w:szCs w:val="28"/>
          <w:lang w:val="en-GB"/>
        </w:rPr>
        <w:t>tinctorum</w:t>
      </w:r>
      <w:proofErr w:type="spellEnd"/>
      <w:r w:rsidRPr="005D3347">
        <w:rPr>
          <w:b/>
          <w:bCs/>
          <w:iCs/>
          <w:color w:val="000000"/>
          <w:sz w:val="28"/>
          <w:szCs w:val="28"/>
          <w:lang w:val="en-GB"/>
        </w:rPr>
        <w:t xml:space="preserve"> beneficial to diabetic complications</w:t>
      </w:r>
    </w:p>
    <w:p w:rsidR="00A322BC" w:rsidRPr="005D3347" w:rsidRDefault="00A322BC" w:rsidP="00E743C9">
      <w:pPr>
        <w:pStyle w:val="Normal1"/>
        <w:suppressLineNumbers/>
        <w:spacing w:after="0" w:line="360" w:lineRule="auto"/>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P. </w:t>
      </w:r>
      <w:proofErr w:type="spellStart"/>
      <w:r w:rsidRPr="005D3347">
        <w:rPr>
          <w:rFonts w:ascii="Times New Roman" w:eastAsia="Times New Roman" w:hAnsi="Times New Roman" w:cs="Times New Roman"/>
          <w:sz w:val="24"/>
          <w:lang w:val="en-GB"/>
        </w:rPr>
        <w:t>Salin</w:t>
      </w:r>
      <w:proofErr w:type="spellEnd"/>
      <w:r w:rsidRPr="005D3347">
        <w:rPr>
          <w:rFonts w:ascii="Times New Roman" w:eastAsia="Times New Roman" w:hAnsi="Times New Roman" w:cs="Times New Roman"/>
          <w:sz w:val="24"/>
          <w:lang w:val="en-GB"/>
        </w:rPr>
        <w:t xml:space="preserve"> Raj</w:t>
      </w:r>
      <w:r w:rsidRPr="005D3347">
        <w:rPr>
          <w:rFonts w:ascii="Times New Roman" w:eastAsia="Times New Roman" w:hAnsi="Times New Roman" w:cs="Times New Roman"/>
          <w:sz w:val="24"/>
          <w:vertAlign w:val="superscript"/>
          <w:lang w:val="en-GB"/>
        </w:rPr>
        <w:t>a</w:t>
      </w:r>
      <w:r w:rsidR="00C562C5" w:rsidRPr="005D3347">
        <w:rPr>
          <w:rFonts w:ascii="Times New Roman" w:eastAsia="Times New Roman" w:hAnsi="Times New Roman" w:cs="Times New Roman"/>
          <w:sz w:val="24"/>
          <w:vertAlign w:val="superscript"/>
          <w:lang w:val="en-GB"/>
        </w:rPr>
        <w:t>,</w:t>
      </w:r>
      <w:r w:rsidRPr="005D3347">
        <w:rPr>
          <w:rFonts w:ascii="Times New Roman" w:eastAsia="Times New Roman" w:hAnsi="Times New Roman" w:cs="Times New Roman"/>
          <w:sz w:val="24"/>
          <w:vertAlign w:val="superscript"/>
          <w:lang w:val="en-GB"/>
        </w:rPr>
        <w:t>1</w:t>
      </w:r>
      <w:r w:rsidRPr="005D3347">
        <w:rPr>
          <w:rFonts w:ascii="Times New Roman" w:eastAsia="Times New Roman" w:hAnsi="Times New Roman" w:cs="Times New Roman"/>
          <w:sz w:val="24"/>
          <w:lang w:val="en-GB"/>
        </w:rPr>
        <w:t>, A. Prathapan</w:t>
      </w:r>
      <w:r w:rsidRPr="005D3347">
        <w:rPr>
          <w:rFonts w:ascii="Times New Roman" w:eastAsia="Times New Roman" w:hAnsi="Times New Roman" w:cs="Times New Roman"/>
          <w:sz w:val="24"/>
          <w:vertAlign w:val="superscript"/>
          <w:lang w:val="en-GB"/>
        </w:rPr>
        <w:t>a</w:t>
      </w:r>
      <w:r w:rsidR="00C562C5" w:rsidRPr="005D3347">
        <w:rPr>
          <w:rFonts w:ascii="Times New Roman" w:eastAsia="Times New Roman" w:hAnsi="Times New Roman" w:cs="Times New Roman"/>
          <w:sz w:val="24"/>
          <w:vertAlign w:val="superscript"/>
          <w:lang w:val="en-GB"/>
        </w:rPr>
        <w:t>,</w:t>
      </w:r>
      <w:r w:rsidRPr="005D3347">
        <w:rPr>
          <w:rFonts w:ascii="Times New Roman" w:eastAsia="Times New Roman" w:hAnsi="Times New Roman" w:cs="Times New Roman"/>
          <w:sz w:val="24"/>
          <w:vertAlign w:val="superscript"/>
          <w:lang w:val="en-GB"/>
        </w:rPr>
        <w:t>1</w:t>
      </w:r>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Jomon</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Sebastian</w:t>
      </w:r>
      <w:r w:rsidRPr="005D3347">
        <w:rPr>
          <w:rFonts w:ascii="Times New Roman" w:eastAsia="Times New Roman" w:hAnsi="Times New Roman" w:cs="Times New Roman"/>
          <w:sz w:val="24"/>
          <w:vertAlign w:val="superscript"/>
          <w:lang w:val="en-GB"/>
        </w:rPr>
        <w:t>a</w:t>
      </w:r>
      <w:proofErr w:type="spellEnd"/>
      <w:r w:rsidRPr="005D3347">
        <w:rPr>
          <w:rFonts w:ascii="Times New Roman" w:eastAsia="Times New Roman" w:hAnsi="Times New Roman" w:cs="Times New Roman"/>
          <w:sz w:val="24"/>
          <w:lang w:val="en-GB"/>
        </w:rPr>
        <w:t xml:space="preserve">,  Antony K </w:t>
      </w:r>
      <w:proofErr w:type="spellStart"/>
      <w:r w:rsidRPr="005D3347">
        <w:rPr>
          <w:rFonts w:ascii="Times New Roman" w:eastAsia="Times New Roman" w:hAnsi="Times New Roman" w:cs="Times New Roman"/>
          <w:sz w:val="24"/>
          <w:lang w:val="en-GB"/>
        </w:rPr>
        <w:t>Antu</w:t>
      </w:r>
      <w:r w:rsidRPr="005D3347">
        <w:rPr>
          <w:rFonts w:ascii="Times New Roman" w:eastAsia="Times New Roman" w:hAnsi="Times New Roman" w:cs="Times New Roman"/>
          <w:sz w:val="24"/>
          <w:vertAlign w:val="superscript"/>
          <w:lang w:val="en-GB"/>
        </w:rPr>
        <w:t>a</w:t>
      </w:r>
      <w:proofErr w:type="spellEnd"/>
      <w:r w:rsidRPr="005D3347">
        <w:rPr>
          <w:rFonts w:ascii="Times New Roman" w:eastAsia="Times New Roman" w:hAnsi="Times New Roman" w:cs="Times New Roman"/>
          <w:sz w:val="24"/>
          <w:lang w:val="en-GB"/>
        </w:rPr>
        <w:t xml:space="preserve">,  Riya Mariam </w:t>
      </w:r>
      <w:proofErr w:type="spellStart"/>
      <w:r w:rsidRPr="005D3347">
        <w:rPr>
          <w:rFonts w:ascii="Times New Roman" w:eastAsia="Times New Roman" w:hAnsi="Times New Roman" w:cs="Times New Roman"/>
          <w:sz w:val="24"/>
          <w:lang w:val="en-GB"/>
        </w:rPr>
        <w:t>Philip</w:t>
      </w:r>
      <w:r w:rsidRPr="005D3347">
        <w:rPr>
          <w:rFonts w:ascii="Times New Roman" w:eastAsia="Times New Roman" w:hAnsi="Times New Roman" w:cs="Times New Roman"/>
          <w:sz w:val="24"/>
          <w:vertAlign w:val="superscript"/>
          <w:lang w:val="en-GB"/>
        </w:rPr>
        <w:t>a</w:t>
      </w:r>
      <w:proofErr w:type="spellEnd"/>
      <w:r w:rsidRPr="005D3347">
        <w:rPr>
          <w:rFonts w:ascii="Times New Roman" w:eastAsia="Times New Roman" w:hAnsi="Times New Roman" w:cs="Times New Roman"/>
          <w:sz w:val="24"/>
          <w:lang w:val="en-GB"/>
        </w:rPr>
        <w:t xml:space="preserve">, M. R. </w:t>
      </w:r>
      <w:proofErr w:type="spellStart"/>
      <w:r w:rsidRPr="005D3347">
        <w:rPr>
          <w:rFonts w:ascii="Times New Roman" w:eastAsia="Times New Roman" w:hAnsi="Times New Roman" w:cs="Times New Roman"/>
          <w:sz w:val="24"/>
          <w:lang w:val="en-GB"/>
        </w:rPr>
        <w:t>Preetha</w:t>
      </w:r>
      <w:proofErr w:type="spellEnd"/>
      <w:r w:rsidRPr="005D3347">
        <w:rPr>
          <w:rFonts w:ascii="Times New Roman" w:eastAsia="Times New Roman" w:hAnsi="Times New Roman" w:cs="Times New Roman"/>
          <w:sz w:val="24"/>
          <w:lang w:val="en-GB"/>
        </w:rPr>
        <w:t xml:space="preserve"> Rani</w:t>
      </w:r>
      <w:r w:rsidRPr="005D3347">
        <w:rPr>
          <w:rFonts w:ascii="Times New Roman" w:eastAsia="Times New Roman" w:hAnsi="Times New Roman" w:cs="Times New Roman"/>
          <w:sz w:val="24"/>
          <w:vertAlign w:val="superscript"/>
          <w:lang w:val="en-GB"/>
        </w:rPr>
        <w:t>a</w:t>
      </w:r>
      <w:r w:rsidRPr="005D3347">
        <w:rPr>
          <w:rFonts w:ascii="Times New Roman" w:eastAsia="Times New Roman" w:hAnsi="Times New Roman" w:cs="Times New Roman"/>
          <w:sz w:val="24"/>
          <w:lang w:val="en-GB"/>
        </w:rPr>
        <w:t xml:space="preserve">, H. </w:t>
      </w:r>
      <w:proofErr w:type="spellStart"/>
      <w:r w:rsidRPr="005D3347">
        <w:rPr>
          <w:rFonts w:ascii="Times New Roman" w:eastAsia="Times New Roman" w:hAnsi="Times New Roman" w:cs="Times New Roman"/>
          <w:sz w:val="24"/>
          <w:lang w:val="en-GB"/>
        </w:rPr>
        <w:t>Biju</w:t>
      </w:r>
      <w:r w:rsidRPr="005D3347">
        <w:rPr>
          <w:rFonts w:ascii="Times New Roman" w:eastAsia="Times New Roman" w:hAnsi="Times New Roman" w:cs="Times New Roman"/>
          <w:sz w:val="24"/>
          <w:vertAlign w:val="superscript"/>
          <w:lang w:val="en-GB"/>
        </w:rPr>
        <w:t>b</w:t>
      </w:r>
      <w:proofErr w:type="spellEnd"/>
      <w:r w:rsidRPr="005D3347">
        <w:rPr>
          <w:rFonts w:ascii="Times New Roman" w:eastAsia="Times New Roman" w:hAnsi="Times New Roman" w:cs="Times New Roman"/>
          <w:sz w:val="24"/>
          <w:lang w:val="en-GB"/>
        </w:rPr>
        <w:t xml:space="preserve">, S. </w:t>
      </w:r>
      <w:proofErr w:type="spellStart"/>
      <w:r w:rsidRPr="005D3347">
        <w:rPr>
          <w:rFonts w:ascii="Times New Roman" w:eastAsia="Times New Roman" w:hAnsi="Times New Roman" w:cs="Times New Roman"/>
          <w:sz w:val="24"/>
          <w:lang w:val="en-GB"/>
        </w:rPr>
        <w:t>Priya</w:t>
      </w:r>
      <w:r w:rsidRPr="005D3347">
        <w:rPr>
          <w:rFonts w:ascii="Times New Roman" w:eastAsia="Times New Roman" w:hAnsi="Times New Roman" w:cs="Times New Roman"/>
          <w:sz w:val="24"/>
          <w:vertAlign w:val="superscript"/>
          <w:lang w:val="en-GB"/>
        </w:rPr>
        <w:t>a</w:t>
      </w:r>
      <w:proofErr w:type="spellEnd"/>
      <w:r w:rsidRPr="005D3347">
        <w:rPr>
          <w:rFonts w:ascii="Times New Roman" w:eastAsia="Times New Roman" w:hAnsi="Times New Roman" w:cs="Times New Roman"/>
          <w:sz w:val="24"/>
          <w:lang w:val="en-GB"/>
        </w:rPr>
        <w:t xml:space="preserve"> and K. G. </w:t>
      </w:r>
      <w:proofErr w:type="spellStart"/>
      <w:r w:rsidRPr="005D3347">
        <w:rPr>
          <w:rFonts w:ascii="Times New Roman" w:eastAsia="Times New Roman" w:hAnsi="Times New Roman" w:cs="Times New Roman"/>
          <w:sz w:val="24"/>
          <w:lang w:val="en-GB"/>
        </w:rPr>
        <w:t>Raghu</w:t>
      </w:r>
      <w:r w:rsidRPr="005D3347">
        <w:rPr>
          <w:rFonts w:ascii="Times New Roman" w:eastAsia="Times New Roman" w:hAnsi="Times New Roman" w:cs="Times New Roman"/>
          <w:sz w:val="24"/>
          <w:vertAlign w:val="superscript"/>
          <w:lang w:val="en-GB"/>
        </w:rPr>
        <w:t>a</w:t>
      </w:r>
      <w:proofErr w:type="spellEnd"/>
      <w:r w:rsidRPr="005D3347">
        <w:rPr>
          <w:rFonts w:ascii="Times New Roman" w:eastAsia="Times New Roman" w:hAnsi="Times New Roman" w:cs="Times New Roman"/>
          <w:sz w:val="24"/>
          <w:lang w:val="en-GB"/>
        </w:rPr>
        <w:t>*</w:t>
      </w:r>
    </w:p>
    <w:p w:rsidR="00A322BC" w:rsidRPr="005D3347" w:rsidRDefault="00A322BC" w:rsidP="00E743C9">
      <w:pPr>
        <w:pStyle w:val="Normal1"/>
        <w:suppressLineNumbers/>
        <w:spacing w:after="0" w:line="360" w:lineRule="auto"/>
        <w:rPr>
          <w:rFonts w:ascii="Times New Roman" w:hAnsi="Times New Roman" w:cs="Times New Roman"/>
          <w:lang w:val="en-GB"/>
        </w:rPr>
      </w:pPr>
      <w:proofErr w:type="spellStart"/>
      <w:r w:rsidRPr="005D3347">
        <w:rPr>
          <w:rFonts w:ascii="Times New Roman" w:eastAsia="Times New Roman" w:hAnsi="Times New Roman" w:cs="Times New Roman"/>
          <w:i/>
          <w:sz w:val="24"/>
          <w:vertAlign w:val="superscript"/>
          <w:lang w:val="en-GB"/>
        </w:rPr>
        <w:t>a</w:t>
      </w:r>
      <w:r w:rsidRPr="005D3347">
        <w:rPr>
          <w:rFonts w:ascii="Times New Roman" w:eastAsia="Times New Roman" w:hAnsi="Times New Roman" w:cs="Times New Roman"/>
          <w:i/>
          <w:sz w:val="24"/>
          <w:lang w:val="en-GB"/>
        </w:rPr>
        <w:t>Agroprocessing</w:t>
      </w:r>
      <w:proofErr w:type="spellEnd"/>
      <w:r w:rsidRPr="005D3347">
        <w:rPr>
          <w:rFonts w:ascii="Times New Roman" w:eastAsia="Times New Roman" w:hAnsi="Times New Roman" w:cs="Times New Roman"/>
          <w:i/>
          <w:sz w:val="24"/>
          <w:lang w:val="en-GB"/>
        </w:rPr>
        <w:t xml:space="preserve"> and Natural Products Division, CSIR-National Institute for Interdisciplinary Science and Technology (NIIST), </w:t>
      </w:r>
      <w:proofErr w:type="spellStart"/>
      <w:r w:rsidRPr="005D3347">
        <w:rPr>
          <w:rFonts w:ascii="Times New Roman" w:eastAsia="Times New Roman" w:hAnsi="Times New Roman" w:cs="Times New Roman"/>
          <w:i/>
          <w:sz w:val="24"/>
          <w:lang w:val="en-GB"/>
        </w:rPr>
        <w:t>Pappanamcode</w:t>
      </w:r>
      <w:proofErr w:type="spellEnd"/>
      <w:r w:rsidRPr="005D3347">
        <w:rPr>
          <w:rFonts w:ascii="Times New Roman" w:eastAsia="Times New Roman" w:hAnsi="Times New Roman" w:cs="Times New Roman"/>
          <w:i/>
          <w:sz w:val="24"/>
          <w:lang w:val="en-GB"/>
        </w:rPr>
        <w:t>, Thiruvananthapuram, Kerala, 695019, India</w:t>
      </w:r>
    </w:p>
    <w:p w:rsidR="00A322BC" w:rsidRPr="005D3347" w:rsidRDefault="00A322BC" w:rsidP="00E743C9">
      <w:pPr>
        <w:pStyle w:val="Normal1"/>
        <w:suppressLineNumbers/>
        <w:spacing w:after="0" w:line="360" w:lineRule="auto"/>
        <w:rPr>
          <w:rFonts w:ascii="Times New Roman" w:eastAsia="Times New Roman" w:hAnsi="Times New Roman" w:cs="Times New Roman"/>
          <w:i/>
          <w:sz w:val="24"/>
          <w:lang w:val="en-GB"/>
        </w:rPr>
      </w:pPr>
      <w:proofErr w:type="spellStart"/>
      <w:proofErr w:type="gramStart"/>
      <w:r w:rsidRPr="005D3347">
        <w:rPr>
          <w:rFonts w:ascii="Times New Roman" w:eastAsia="Times New Roman" w:hAnsi="Times New Roman" w:cs="Times New Roman"/>
          <w:i/>
          <w:sz w:val="24"/>
          <w:vertAlign w:val="superscript"/>
          <w:lang w:val="en-GB"/>
        </w:rPr>
        <w:t>b</w:t>
      </w:r>
      <w:r w:rsidRPr="005D3347">
        <w:rPr>
          <w:rFonts w:ascii="Times New Roman" w:eastAsia="Times New Roman" w:hAnsi="Times New Roman" w:cs="Times New Roman"/>
          <w:i/>
          <w:sz w:val="24"/>
          <w:lang w:val="en-GB"/>
        </w:rPr>
        <w:t>Jawaharlal</w:t>
      </w:r>
      <w:proofErr w:type="spellEnd"/>
      <w:proofErr w:type="gramEnd"/>
      <w:r w:rsidRPr="005D3347">
        <w:rPr>
          <w:rFonts w:ascii="Times New Roman" w:eastAsia="Times New Roman" w:hAnsi="Times New Roman" w:cs="Times New Roman"/>
          <w:i/>
          <w:sz w:val="24"/>
          <w:lang w:val="en-GB"/>
        </w:rPr>
        <w:t xml:space="preserve"> Nehru Tropical Botanical Garden and Research Institute (JNTBGRI), </w:t>
      </w:r>
      <w:proofErr w:type="spellStart"/>
      <w:r w:rsidRPr="005D3347">
        <w:rPr>
          <w:rFonts w:ascii="Times New Roman" w:eastAsia="Times New Roman" w:hAnsi="Times New Roman" w:cs="Times New Roman"/>
          <w:i/>
          <w:sz w:val="24"/>
          <w:lang w:val="en-GB"/>
        </w:rPr>
        <w:t>Palode</w:t>
      </w:r>
      <w:proofErr w:type="spellEnd"/>
      <w:r w:rsidRPr="005D3347">
        <w:rPr>
          <w:rFonts w:ascii="Times New Roman" w:eastAsia="Times New Roman" w:hAnsi="Times New Roman" w:cs="Times New Roman"/>
          <w:i/>
          <w:sz w:val="24"/>
          <w:lang w:val="en-GB"/>
        </w:rPr>
        <w:t xml:space="preserve">, Thiruvananthapuram, Kerala, 695562, India  </w:t>
      </w:r>
    </w:p>
    <w:p w:rsidR="00A322BC" w:rsidRPr="005D3347" w:rsidRDefault="00A322BC" w:rsidP="00E743C9">
      <w:pPr>
        <w:pStyle w:val="Normal1"/>
        <w:suppressLineNumbers/>
        <w:spacing w:after="0" w:line="360" w:lineRule="auto"/>
        <w:rPr>
          <w:rFonts w:ascii="Times New Roman" w:eastAsia="Times New Roman" w:hAnsi="Times New Roman" w:cs="Times New Roman"/>
          <w:sz w:val="24"/>
          <w:lang w:val="en-GB"/>
        </w:rPr>
      </w:pPr>
      <w:r w:rsidRPr="005D3347">
        <w:rPr>
          <w:rFonts w:ascii="Times New Roman" w:eastAsia="Times New Roman" w:hAnsi="Times New Roman" w:cs="Times New Roman"/>
          <w:sz w:val="24"/>
          <w:vertAlign w:val="superscript"/>
          <w:lang w:val="en-GB"/>
        </w:rPr>
        <w:t>1</w:t>
      </w:r>
      <w:r w:rsidRPr="005D3347">
        <w:rPr>
          <w:rFonts w:ascii="Times New Roman" w:eastAsia="Times New Roman" w:hAnsi="Times New Roman" w:cs="Times New Roman"/>
          <w:sz w:val="24"/>
          <w:lang w:val="en-GB"/>
        </w:rPr>
        <w:t>contributed equally</w:t>
      </w:r>
    </w:p>
    <w:p w:rsidR="00A322BC" w:rsidRPr="005D3347" w:rsidRDefault="00A322BC" w:rsidP="00E743C9">
      <w:pPr>
        <w:pStyle w:val="Normal1"/>
        <w:suppressLineNumbers/>
        <w:spacing w:after="0" w:line="360" w:lineRule="auto"/>
        <w:jc w:val="both"/>
        <w:rPr>
          <w:rFonts w:ascii="Times New Roman" w:eastAsia="Times New Roman" w:hAnsi="Times New Roman" w:cs="Times New Roman"/>
          <w:b/>
          <w:sz w:val="24"/>
          <w:lang w:val="en-GB"/>
        </w:rPr>
      </w:pPr>
      <w:r w:rsidRPr="005D3347">
        <w:rPr>
          <w:rFonts w:ascii="Times New Roman" w:eastAsia="Times New Roman" w:hAnsi="Times New Roman" w:cs="Times New Roman"/>
          <w:b/>
          <w:sz w:val="24"/>
          <w:lang w:val="en-GB"/>
        </w:rPr>
        <w:t>Abstract</w:t>
      </w:r>
    </w:p>
    <w:p w:rsidR="00CB55EB" w:rsidRPr="005D3347" w:rsidRDefault="00CB55EB" w:rsidP="00CB55EB">
      <w:pPr>
        <w:pStyle w:val="Normal1"/>
        <w:suppressLineNumbers/>
        <w:spacing w:after="0" w:line="360" w:lineRule="auto"/>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The present study evaluated the inhibitory potential of ethyl acetate extract of edible lichen, </w:t>
      </w:r>
      <w:proofErr w:type="spellStart"/>
      <w:r w:rsidRPr="005D3347">
        <w:rPr>
          <w:rFonts w:ascii="Times New Roman" w:eastAsia="Times New Roman" w:hAnsi="Times New Roman" w:cs="Times New Roman"/>
          <w:i/>
          <w:sz w:val="24"/>
          <w:lang w:val="en-GB"/>
        </w:rPr>
        <w:t>Parmotrema</w:t>
      </w:r>
      <w:proofErr w:type="spellEnd"/>
      <w:r w:rsidRPr="005D3347">
        <w:rPr>
          <w:rFonts w:ascii="Times New Roman" w:eastAsia="Times New Roman" w:hAnsi="Times New Roman" w:cs="Times New Roman"/>
          <w:i/>
          <w:sz w:val="24"/>
          <w:lang w:val="en-GB"/>
        </w:rPr>
        <w:t xml:space="preserve"> </w:t>
      </w:r>
      <w:proofErr w:type="spellStart"/>
      <w:r w:rsidRPr="005D3347">
        <w:rPr>
          <w:rFonts w:ascii="Times New Roman" w:eastAsia="Times New Roman" w:hAnsi="Times New Roman" w:cs="Times New Roman"/>
          <w:i/>
          <w:sz w:val="24"/>
          <w:lang w:val="en-GB"/>
        </w:rPr>
        <w:t>tinctorum</w:t>
      </w:r>
      <w:proofErr w:type="spellEnd"/>
      <w:r w:rsidRPr="005D3347">
        <w:rPr>
          <w:rFonts w:ascii="Times New Roman" w:eastAsia="Times New Roman" w:hAnsi="Times New Roman" w:cs="Times New Roman"/>
          <w:i/>
          <w:sz w:val="24"/>
          <w:lang w:val="en-GB"/>
        </w:rPr>
        <w:t xml:space="preserve"> </w:t>
      </w:r>
      <w:r w:rsidRPr="005D3347">
        <w:rPr>
          <w:rFonts w:ascii="Times New Roman" w:eastAsia="Times New Roman" w:hAnsi="Times New Roman" w:cs="Times New Roman"/>
          <w:sz w:val="24"/>
          <w:lang w:val="en-GB"/>
        </w:rPr>
        <w:t xml:space="preserve">(PTEE) against aldose </w:t>
      </w:r>
      <w:proofErr w:type="spellStart"/>
      <w:r w:rsidRPr="005D3347">
        <w:rPr>
          <w:rFonts w:ascii="Times New Roman" w:eastAsia="Times New Roman" w:hAnsi="Times New Roman" w:cs="Times New Roman"/>
          <w:sz w:val="24"/>
          <w:lang w:val="en-GB"/>
        </w:rPr>
        <w:t>reductase</w:t>
      </w:r>
      <w:proofErr w:type="spellEnd"/>
      <w:r w:rsidRPr="005D3347">
        <w:rPr>
          <w:rFonts w:ascii="Times New Roman" w:eastAsia="Times New Roman" w:hAnsi="Times New Roman" w:cs="Times New Roman"/>
          <w:sz w:val="24"/>
          <w:lang w:val="en-GB"/>
        </w:rPr>
        <w:t xml:space="preserve"> and carbohydrate digestive enzymes such as α-</w:t>
      </w:r>
      <w:proofErr w:type="spellStart"/>
      <w:r w:rsidRPr="005D3347">
        <w:rPr>
          <w:rFonts w:ascii="Times New Roman" w:eastAsia="Times New Roman" w:hAnsi="Times New Roman" w:cs="Times New Roman"/>
          <w:sz w:val="24"/>
          <w:lang w:val="en-GB"/>
        </w:rPr>
        <w:t>glucosidase</w:t>
      </w:r>
      <w:proofErr w:type="spellEnd"/>
      <w:r w:rsidRPr="005D3347">
        <w:rPr>
          <w:rFonts w:ascii="Times New Roman" w:eastAsia="Times New Roman" w:hAnsi="Times New Roman" w:cs="Times New Roman"/>
          <w:sz w:val="24"/>
          <w:lang w:val="en-GB"/>
        </w:rPr>
        <w:t xml:space="preserve"> and α-amylase. It was also screened for antioxidant activities employing DPPH, ABTS, </w:t>
      </w:r>
      <w:proofErr w:type="gramStart"/>
      <w:r w:rsidRPr="005D3347">
        <w:rPr>
          <w:rFonts w:ascii="Times New Roman" w:eastAsia="Times New Roman" w:hAnsi="Times New Roman" w:cs="Times New Roman"/>
          <w:sz w:val="24"/>
          <w:lang w:val="en-GB"/>
        </w:rPr>
        <w:t>superoxide</w:t>
      </w:r>
      <w:proofErr w:type="gramEnd"/>
      <w:r w:rsidRPr="005D3347">
        <w:rPr>
          <w:rFonts w:ascii="Times New Roman" w:eastAsia="Times New Roman" w:hAnsi="Times New Roman" w:cs="Times New Roman"/>
          <w:sz w:val="24"/>
          <w:lang w:val="en-GB"/>
        </w:rPr>
        <w:t xml:space="preserve"> and hydroxyl radical scavenging assays.</w:t>
      </w:r>
      <w:r w:rsidRPr="005D3347">
        <w:rPr>
          <w:rFonts w:ascii="Times New Roman" w:eastAsia="Times New Roman" w:hAnsi="Times New Roman" w:cs="Times New Roman"/>
          <w:b/>
          <w:sz w:val="24"/>
          <w:lang w:val="en-GB"/>
        </w:rPr>
        <w:t xml:space="preserve"> </w:t>
      </w:r>
      <w:r w:rsidRPr="005D3347">
        <w:rPr>
          <w:rFonts w:ascii="Times New Roman" w:eastAsia="Times New Roman" w:hAnsi="Times New Roman" w:cs="Times New Roman"/>
          <w:sz w:val="24"/>
          <w:lang w:val="en-GB"/>
        </w:rPr>
        <w:t>PTEE exhibited α-</w:t>
      </w:r>
      <w:proofErr w:type="spellStart"/>
      <w:r w:rsidRPr="005D3347">
        <w:rPr>
          <w:rFonts w:ascii="Times New Roman" w:eastAsia="Times New Roman" w:hAnsi="Times New Roman" w:cs="Times New Roman"/>
          <w:sz w:val="24"/>
          <w:lang w:val="en-GB"/>
        </w:rPr>
        <w:t>glucosidase</w:t>
      </w:r>
      <w:proofErr w:type="spellEnd"/>
      <w:r w:rsidRPr="005D3347">
        <w:rPr>
          <w:rFonts w:ascii="Times New Roman" w:eastAsia="Times New Roman" w:hAnsi="Times New Roman" w:cs="Times New Roman"/>
          <w:sz w:val="24"/>
          <w:lang w:val="en-GB"/>
        </w:rPr>
        <w:t xml:space="preserve">, α-amylase and aldose </w:t>
      </w:r>
      <w:proofErr w:type="spellStart"/>
      <w:r w:rsidRPr="005D3347">
        <w:rPr>
          <w:rFonts w:ascii="Times New Roman" w:eastAsia="Times New Roman" w:hAnsi="Times New Roman" w:cs="Times New Roman"/>
          <w:sz w:val="24"/>
          <w:lang w:val="en-GB"/>
        </w:rPr>
        <w:t>reductase</w:t>
      </w:r>
      <w:proofErr w:type="spellEnd"/>
      <w:r w:rsidRPr="005D3347">
        <w:rPr>
          <w:rFonts w:ascii="Times New Roman" w:eastAsia="Times New Roman" w:hAnsi="Times New Roman" w:cs="Times New Roman"/>
          <w:sz w:val="24"/>
          <w:lang w:val="en-GB"/>
        </w:rPr>
        <w:t xml:space="preserve"> inhibition along with significant </w:t>
      </w:r>
      <w:proofErr w:type="spellStart"/>
      <w:r w:rsidRPr="005D3347">
        <w:rPr>
          <w:rFonts w:ascii="Times New Roman" w:eastAsia="Times New Roman" w:hAnsi="Times New Roman" w:cs="Times New Roman"/>
          <w:sz w:val="24"/>
          <w:lang w:val="en-GB"/>
        </w:rPr>
        <w:t>antiglycation</w:t>
      </w:r>
      <w:proofErr w:type="spellEnd"/>
      <w:r w:rsidRPr="005D3347">
        <w:rPr>
          <w:rFonts w:ascii="Times New Roman" w:eastAsia="Times New Roman" w:hAnsi="Times New Roman" w:cs="Times New Roman"/>
          <w:sz w:val="24"/>
          <w:lang w:val="en-GB"/>
        </w:rPr>
        <w:t xml:space="preserve"> potential with an estimated IC</w:t>
      </w:r>
      <w:r w:rsidRPr="005D3347">
        <w:rPr>
          <w:rFonts w:ascii="Times New Roman" w:eastAsia="Times New Roman" w:hAnsi="Times New Roman" w:cs="Times New Roman"/>
          <w:sz w:val="24"/>
          <w:vertAlign w:val="subscript"/>
          <w:lang w:val="en-GB"/>
        </w:rPr>
        <w:t>50</w:t>
      </w:r>
      <w:r w:rsidRPr="005D3347">
        <w:rPr>
          <w:rFonts w:ascii="Times New Roman" w:eastAsia="Times New Roman" w:hAnsi="Times New Roman" w:cs="Times New Roman"/>
          <w:sz w:val="24"/>
          <w:lang w:val="en-GB"/>
        </w:rPr>
        <w:t xml:space="preserve"> value of 58.45 ± 1.24, 587.74 ± 3.27, 139.28 ± 2.6 and 285.78 ± 1.287 µg/ml, respectively. Antioxidant activity of PTEE against DPPH (IC</w:t>
      </w:r>
      <w:r w:rsidRPr="005D3347">
        <w:rPr>
          <w:rFonts w:ascii="Times New Roman" w:eastAsia="Times New Roman" w:hAnsi="Times New Roman" w:cs="Times New Roman"/>
          <w:sz w:val="24"/>
          <w:vertAlign w:val="subscript"/>
          <w:lang w:val="en-GB"/>
        </w:rPr>
        <w:t xml:space="preserve">50 </w:t>
      </w:r>
      <w:r w:rsidRPr="005D3347">
        <w:rPr>
          <w:rFonts w:ascii="Times New Roman" w:hAnsi="Times New Roman" w:cs="Times New Roman"/>
          <w:bCs/>
          <w:iCs/>
          <w:sz w:val="24"/>
          <w:szCs w:val="24"/>
          <w:lang w:val="en-GB"/>
        </w:rPr>
        <w:t xml:space="preserve">396.83 ± 2.98 </w:t>
      </w:r>
      <w:proofErr w:type="spellStart"/>
      <w:r w:rsidRPr="005D3347">
        <w:rPr>
          <w:rFonts w:ascii="Times New Roman" w:hAnsi="Times New Roman" w:cs="Times New Roman"/>
          <w:sz w:val="24"/>
          <w:szCs w:val="24"/>
          <w:lang w:val="en-GB"/>
        </w:rPr>
        <w:t>μg</w:t>
      </w:r>
      <w:proofErr w:type="spellEnd"/>
      <w:r w:rsidRPr="005D3347">
        <w:rPr>
          <w:rFonts w:ascii="Times New Roman" w:hAnsi="Times New Roman" w:cs="Times New Roman"/>
          <w:sz w:val="24"/>
          <w:szCs w:val="24"/>
          <w:lang w:val="en-GB"/>
        </w:rPr>
        <w:t>/ml)</w:t>
      </w:r>
      <w:r w:rsidRPr="005D3347">
        <w:rPr>
          <w:rFonts w:ascii="Times New Roman" w:eastAsia="Times New Roman" w:hAnsi="Times New Roman" w:cs="Times New Roman"/>
          <w:sz w:val="24"/>
          <w:lang w:val="en-GB"/>
        </w:rPr>
        <w:t>, ABTS (</w:t>
      </w:r>
      <w:r w:rsidRPr="005D3347">
        <w:rPr>
          <w:rFonts w:ascii="Times New Roman" w:hAnsi="Times New Roman" w:cs="Times New Roman"/>
          <w:sz w:val="24"/>
          <w:szCs w:val="24"/>
          <w:lang w:val="en-GB"/>
        </w:rPr>
        <w:t xml:space="preserve">151.34 ± 1.79 </w:t>
      </w:r>
      <w:proofErr w:type="spellStart"/>
      <w:r w:rsidRPr="005D3347">
        <w:rPr>
          <w:rFonts w:ascii="Times New Roman" w:hAnsi="Times New Roman" w:cs="Times New Roman"/>
          <w:sz w:val="24"/>
          <w:szCs w:val="24"/>
          <w:lang w:val="en-GB"/>
        </w:rPr>
        <w:t>μg</w:t>
      </w:r>
      <w:proofErr w:type="spellEnd"/>
      <w:r w:rsidRPr="005D3347">
        <w:rPr>
          <w:rFonts w:ascii="Times New Roman" w:hAnsi="Times New Roman" w:cs="Times New Roman"/>
          <w:sz w:val="24"/>
          <w:szCs w:val="24"/>
          <w:lang w:val="en-GB"/>
        </w:rPr>
        <w:t>/ml</w:t>
      </w:r>
      <w:r w:rsidRPr="005D3347">
        <w:rPr>
          <w:rFonts w:ascii="Times New Roman" w:eastAsia="Times New Roman" w:hAnsi="Times New Roman" w:cs="Times New Roman"/>
          <w:sz w:val="24"/>
          <w:lang w:val="en-GB"/>
        </w:rPr>
        <w:t>), superoxide (</w:t>
      </w:r>
      <w:r w:rsidRPr="005D3347">
        <w:rPr>
          <w:rFonts w:ascii="Times New Roman" w:hAnsi="Times New Roman" w:cs="Times New Roman"/>
          <w:sz w:val="24"/>
          <w:szCs w:val="24"/>
          <w:lang w:val="en-GB"/>
        </w:rPr>
        <w:t xml:space="preserve">30.29 ± 1.17 </w:t>
      </w:r>
      <w:proofErr w:type="spellStart"/>
      <w:r w:rsidRPr="005D3347">
        <w:rPr>
          <w:rFonts w:ascii="Times New Roman" w:hAnsi="Times New Roman" w:cs="Times New Roman"/>
          <w:sz w:val="24"/>
          <w:szCs w:val="24"/>
          <w:lang w:val="en-GB"/>
        </w:rPr>
        <w:t>μg</w:t>
      </w:r>
      <w:proofErr w:type="spellEnd"/>
      <w:r w:rsidRPr="005D3347">
        <w:rPr>
          <w:rFonts w:ascii="Times New Roman" w:hAnsi="Times New Roman" w:cs="Times New Roman"/>
          <w:sz w:val="24"/>
          <w:szCs w:val="24"/>
          <w:lang w:val="en-GB"/>
        </w:rPr>
        <w:t>/ml</w:t>
      </w:r>
      <w:r w:rsidRPr="005D3347">
        <w:rPr>
          <w:rFonts w:ascii="Times New Roman" w:eastAsia="Times New Roman" w:hAnsi="Times New Roman" w:cs="Times New Roman"/>
          <w:sz w:val="24"/>
          <w:lang w:val="en-GB"/>
        </w:rPr>
        <w:t>) and hydroxyl (</w:t>
      </w:r>
      <w:r w:rsidRPr="005D3347">
        <w:rPr>
          <w:rFonts w:ascii="Times New Roman" w:hAnsi="Times New Roman" w:cs="Times New Roman"/>
          <w:sz w:val="24"/>
          <w:szCs w:val="24"/>
          <w:lang w:val="en-GB"/>
        </w:rPr>
        <w:t>35.42 ± 1.22 µg/ml</w:t>
      </w:r>
      <w:r w:rsidRPr="005D3347">
        <w:rPr>
          <w:rFonts w:ascii="Times New Roman" w:eastAsia="Times New Roman" w:hAnsi="Times New Roman" w:cs="Times New Roman"/>
          <w:sz w:val="24"/>
          <w:lang w:val="en-GB"/>
        </w:rPr>
        <w:t xml:space="preserve">) radicals suggests the antioxidant potential of </w:t>
      </w:r>
      <w:r w:rsidRPr="005D3347">
        <w:rPr>
          <w:rFonts w:ascii="Times New Roman" w:eastAsia="Times New Roman" w:hAnsi="Times New Roman" w:cs="Times New Roman"/>
          <w:i/>
          <w:sz w:val="24"/>
          <w:lang w:val="en-GB"/>
        </w:rPr>
        <w:t xml:space="preserve">P. </w:t>
      </w:r>
      <w:proofErr w:type="spellStart"/>
      <w:r w:rsidRPr="005D3347">
        <w:rPr>
          <w:rFonts w:ascii="Times New Roman" w:eastAsia="Times New Roman" w:hAnsi="Times New Roman" w:cs="Times New Roman"/>
          <w:i/>
          <w:sz w:val="24"/>
          <w:lang w:val="en-GB"/>
        </w:rPr>
        <w:t>tinctorum</w:t>
      </w:r>
      <w:proofErr w:type="spellEnd"/>
      <w:r w:rsidRPr="005D3347">
        <w:rPr>
          <w:rFonts w:ascii="Times New Roman" w:eastAsia="Times New Roman" w:hAnsi="Times New Roman" w:cs="Times New Roman"/>
          <w:i/>
          <w:sz w:val="24"/>
          <w:lang w:val="en-GB"/>
        </w:rPr>
        <w:t>.</w:t>
      </w:r>
      <w:r w:rsidRPr="005D3347">
        <w:rPr>
          <w:rFonts w:ascii="Times New Roman" w:eastAsia="Times New Roman" w:hAnsi="Times New Roman" w:cs="Times New Roman"/>
          <w:sz w:val="24"/>
          <w:lang w:val="en-GB"/>
        </w:rPr>
        <w:t xml:space="preserve"> Significant antioxidant activity and inhibitory potential against carbohydrate digestive enzymes and aldose </w:t>
      </w:r>
      <w:proofErr w:type="spellStart"/>
      <w:r w:rsidRPr="005D3347">
        <w:rPr>
          <w:rFonts w:ascii="Times New Roman" w:eastAsia="Times New Roman" w:hAnsi="Times New Roman" w:cs="Times New Roman"/>
          <w:sz w:val="24"/>
          <w:lang w:val="en-GB"/>
        </w:rPr>
        <w:t>reductase</w:t>
      </w:r>
      <w:proofErr w:type="spellEnd"/>
      <w:r w:rsidRPr="005D3347">
        <w:rPr>
          <w:rFonts w:ascii="Times New Roman" w:eastAsia="Times New Roman" w:hAnsi="Times New Roman" w:cs="Times New Roman"/>
          <w:sz w:val="24"/>
          <w:lang w:val="en-GB"/>
        </w:rPr>
        <w:t xml:space="preserve"> suggests that </w:t>
      </w:r>
      <w:r w:rsidRPr="005D3347">
        <w:rPr>
          <w:rFonts w:ascii="Times New Roman" w:eastAsia="Times New Roman" w:hAnsi="Times New Roman" w:cs="Times New Roman"/>
          <w:i/>
          <w:sz w:val="24"/>
          <w:lang w:val="en-GB"/>
        </w:rPr>
        <w:t xml:space="preserve">P. </w:t>
      </w:r>
      <w:proofErr w:type="spellStart"/>
      <w:r w:rsidRPr="005D3347">
        <w:rPr>
          <w:rFonts w:ascii="Times New Roman" w:eastAsia="Times New Roman" w:hAnsi="Times New Roman" w:cs="Times New Roman"/>
          <w:i/>
          <w:sz w:val="24"/>
          <w:lang w:val="en-GB"/>
        </w:rPr>
        <w:t>tinctorum</w:t>
      </w:r>
      <w:proofErr w:type="spellEnd"/>
      <w:r w:rsidRPr="005D3347">
        <w:rPr>
          <w:rFonts w:ascii="Times New Roman" w:eastAsia="Times New Roman" w:hAnsi="Times New Roman" w:cs="Times New Roman"/>
          <w:sz w:val="24"/>
          <w:lang w:val="en-GB"/>
        </w:rPr>
        <w:t xml:space="preserve"> can be developed as functional food/</w:t>
      </w:r>
      <w:proofErr w:type="spellStart"/>
      <w:r w:rsidRPr="005D3347">
        <w:rPr>
          <w:rFonts w:ascii="Times New Roman" w:eastAsia="Times New Roman" w:hAnsi="Times New Roman" w:cs="Times New Roman"/>
          <w:sz w:val="24"/>
          <w:lang w:val="en-GB"/>
        </w:rPr>
        <w:t>nutraceuticals</w:t>
      </w:r>
      <w:proofErr w:type="spellEnd"/>
      <w:r w:rsidRPr="005D3347">
        <w:rPr>
          <w:rFonts w:ascii="Times New Roman" w:eastAsia="Times New Roman" w:hAnsi="Times New Roman" w:cs="Times New Roman"/>
          <w:sz w:val="24"/>
          <w:lang w:val="en-GB"/>
        </w:rPr>
        <w:t xml:space="preserve"> for diabetes after detailed study.  </w:t>
      </w:r>
    </w:p>
    <w:p w:rsidR="00A322BC" w:rsidRPr="005D3347" w:rsidRDefault="00A322BC" w:rsidP="00E743C9">
      <w:pPr>
        <w:pStyle w:val="Normal1"/>
        <w:suppressLineNumbers/>
        <w:spacing w:after="0" w:line="360" w:lineRule="auto"/>
        <w:jc w:val="both"/>
        <w:rPr>
          <w:rFonts w:ascii="Times New Roman" w:eastAsia="Times New Roman" w:hAnsi="Times New Roman" w:cs="Times New Roman"/>
          <w:sz w:val="24"/>
          <w:lang w:val="en-GB"/>
        </w:rPr>
      </w:pPr>
      <w:r w:rsidRPr="005D3347">
        <w:rPr>
          <w:rFonts w:ascii="Times New Roman" w:eastAsia="Times New Roman" w:hAnsi="Times New Roman" w:cs="Times New Roman"/>
          <w:b/>
          <w:sz w:val="24"/>
          <w:lang w:val="en-GB"/>
        </w:rPr>
        <w:t>Keywords</w:t>
      </w:r>
      <w:r w:rsidRPr="005D3347">
        <w:rPr>
          <w:rFonts w:ascii="Times New Roman" w:eastAsia="Times New Roman" w:hAnsi="Times New Roman" w:cs="Times New Roman"/>
          <w:sz w:val="24"/>
          <w:lang w:val="en-GB"/>
        </w:rPr>
        <w:t xml:space="preserve">:  Lichen, </w:t>
      </w:r>
      <w:proofErr w:type="spellStart"/>
      <w:r w:rsidRPr="005D3347">
        <w:rPr>
          <w:rFonts w:ascii="Times New Roman" w:eastAsia="Times New Roman" w:hAnsi="Times New Roman" w:cs="Times New Roman"/>
          <w:sz w:val="24"/>
          <w:lang w:val="en-GB"/>
        </w:rPr>
        <w:t>nutraceuticals</w:t>
      </w:r>
      <w:proofErr w:type="spellEnd"/>
      <w:r w:rsidRPr="005D3347">
        <w:rPr>
          <w:rFonts w:ascii="Times New Roman" w:eastAsia="Times New Roman" w:hAnsi="Times New Roman" w:cs="Times New Roman"/>
          <w:sz w:val="24"/>
          <w:lang w:val="en-GB"/>
        </w:rPr>
        <w:t>, antioxidants, α-amylase, α-</w:t>
      </w:r>
      <w:proofErr w:type="spellStart"/>
      <w:r w:rsidRPr="005D3347">
        <w:rPr>
          <w:rFonts w:ascii="Times New Roman" w:eastAsia="Times New Roman" w:hAnsi="Times New Roman" w:cs="Times New Roman"/>
          <w:sz w:val="24"/>
          <w:lang w:val="en-GB"/>
        </w:rPr>
        <w:t>glucosidase</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hyperglycemia</w:t>
      </w:r>
      <w:proofErr w:type="spellEnd"/>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A322BC" w:rsidRPr="005D3347" w:rsidRDefault="00A322BC" w:rsidP="00E743C9">
      <w:pPr>
        <w:pStyle w:val="Normal1"/>
        <w:suppressLineNumbers/>
        <w:tabs>
          <w:tab w:val="left" w:pos="1843"/>
        </w:tabs>
        <w:spacing w:after="0" w:line="360" w:lineRule="auto"/>
        <w:rPr>
          <w:rFonts w:ascii="Times New Roman" w:hAnsi="Times New Roman" w:cs="Times New Roman"/>
          <w:lang w:val="en-GB"/>
        </w:rPr>
      </w:pP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b/>
          <w:color w:val="auto"/>
          <w:sz w:val="24"/>
          <w:lang w:val="en-GB"/>
        </w:rPr>
      </w:pPr>
    </w:p>
    <w:p w:rsidR="00C5474B" w:rsidRPr="005D3347" w:rsidRDefault="00C5474B" w:rsidP="00C5474B">
      <w:pPr>
        <w:pStyle w:val="Normal1"/>
        <w:suppressLineNumbers/>
        <w:spacing w:after="0" w:line="360" w:lineRule="auto"/>
        <w:contextualSpacing/>
        <w:jc w:val="both"/>
        <w:rPr>
          <w:rFonts w:ascii="Times New Roman" w:hAnsi="Times New Roman" w:cs="Times New Roman"/>
          <w:color w:val="auto"/>
          <w:lang w:val="en-GB"/>
        </w:rPr>
      </w:pPr>
      <w:r w:rsidRPr="005D3347">
        <w:rPr>
          <w:rFonts w:ascii="Times New Roman" w:eastAsia="Times New Roman" w:hAnsi="Times New Roman" w:cs="Times New Roman"/>
          <w:b/>
          <w:color w:val="auto"/>
          <w:sz w:val="24"/>
          <w:lang w:val="en-GB"/>
        </w:rPr>
        <w:lastRenderedPageBreak/>
        <w:t>1.</w:t>
      </w:r>
      <w:r w:rsidR="00934B70">
        <w:rPr>
          <w:rFonts w:ascii="Times New Roman" w:eastAsia="Times New Roman" w:hAnsi="Times New Roman" w:cs="Times New Roman"/>
          <w:b/>
          <w:color w:val="auto"/>
          <w:sz w:val="24"/>
          <w:lang w:val="en-GB"/>
        </w:rPr>
        <w:t xml:space="preserve"> </w:t>
      </w:r>
      <w:r w:rsidRPr="005D3347">
        <w:rPr>
          <w:rFonts w:ascii="Times New Roman" w:eastAsia="Times New Roman" w:hAnsi="Times New Roman" w:cs="Times New Roman"/>
          <w:b/>
          <w:color w:val="auto"/>
          <w:sz w:val="24"/>
          <w:lang w:val="en-GB"/>
        </w:rPr>
        <w:t>Experimental</w:t>
      </w:r>
      <w:bookmarkStart w:id="0" w:name="_GoBack"/>
      <w:bookmarkEnd w:id="0"/>
    </w:p>
    <w:p w:rsidR="00C5474B" w:rsidRPr="005D3347" w:rsidRDefault="00C5474B" w:rsidP="00C5474B">
      <w:pPr>
        <w:pStyle w:val="Normal1"/>
        <w:suppressLineNumbers/>
        <w:spacing w:after="0" w:line="360" w:lineRule="auto"/>
        <w:contextualSpacing/>
        <w:jc w:val="both"/>
        <w:rPr>
          <w:rFonts w:ascii="Times New Roman" w:hAnsi="Times New Roman" w:cs="Times New Roman"/>
          <w:color w:val="auto"/>
          <w:lang w:val="en-GB"/>
        </w:rPr>
      </w:pPr>
      <w:r w:rsidRPr="005D3347">
        <w:rPr>
          <w:rFonts w:ascii="Times New Roman" w:eastAsia="Times New Roman" w:hAnsi="Times New Roman" w:cs="Times New Roman"/>
          <w:b/>
          <w:color w:val="auto"/>
          <w:sz w:val="24"/>
          <w:lang w:val="en-GB"/>
        </w:rPr>
        <w:t xml:space="preserve">1.1. </w:t>
      </w:r>
      <w:r w:rsidRPr="005D3347">
        <w:rPr>
          <w:rFonts w:ascii="Times New Roman" w:eastAsia="Times New Roman" w:hAnsi="Times New Roman" w:cs="Times New Roman"/>
          <w:b/>
          <w:i/>
          <w:color w:val="auto"/>
          <w:sz w:val="24"/>
          <w:lang w:val="en-GB"/>
        </w:rPr>
        <w:t>Chemicals and reagents</w:t>
      </w:r>
    </w:p>
    <w:p w:rsidR="00C5474B" w:rsidRPr="005D3347" w:rsidRDefault="00C5474B" w:rsidP="00C5474B">
      <w:pPr>
        <w:pStyle w:val="Normal1"/>
        <w:suppressLineNumbers/>
        <w:spacing w:after="0" w:line="360" w:lineRule="auto"/>
        <w:jc w:val="both"/>
        <w:rPr>
          <w:rFonts w:ascii="Times New Roman" w:hAnsi="Times New Roman" w:cs="Times New Roman"/>
          <w:lang w:val="en-GB"/>
        </w:rPr>
      </w:pPr>
      <w:r w:rsidRPr="005D3347">
        <w:rPr>
          <w:rFonts w:ascii="Times New Roman" w:eastAsia="Times New Roman" w:hAnsi="Times New Roman" w:cs="Times New Roman"/>
          <w:sz w:val="24"/>
          <w:lang w:val="en-GB"/>
        </w:rPr>
        <w:t>1</w:t>
      </w:r>
      <w:proofErr w:type="gramStart"/>
      <w:r w:rsidRPr="005D3347">
        <w:rPr>
          <w:rFonts w:ascii="Times New Roman" w:eastAsia="Times New Roman" w:hAnsi="Times New Roman" w:cs="Times New Roman"/>
          <w:sz w:val="24"/>
          <w:lang w:val="en-GB"/>
        </w:rPr>
        <w:t>,1</w:t>
      </w:r>
      <w:proofErr w:type="gramEnd"/>
      <w:r w:rsidRPr="005D3347">
        <w:rPr>
          <w:rFonts w:ascii="Times New Roman" w:eastAsia="Times New Roman" w:hAnsi="Times New Roman" w:cs="Times New Roman"/>
          <w:sz w:val="24"/>
          <w:lang w:val="en-GB"/>
        </w:rPr>
        <w:t xml:space="preserve">-Diphenyl-2-picrylhydrazyl (DPPH), 2,20-azinobis-3- ethylbenzothiazoline-6-sulfonic acid (ABTS), </w:t>
      </w:r>
      <w:proofErr w:type="spellStart"/>
      <w:r w:rsidRPr="005D3347">
        <w:rPr>
          <w:rFonts w:ascii="Times New Roman" w:eastAsia="Times New Roman" w:hAnsi="Times New Roman" w:cs="Times New Roman"/>
          <w:sz w:val="24"/>
          <w:lang w:val="en-GB"/>
        </w:rPr>
        <w:t>deoxyribose</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nitrotetrazolium</w:t>
      </w:r>
      <w:proofErr w:type="spellEnd"/>
      <w:r w:rsidRPr="005D3347">
        <w:rPr>
          <w:rFonts w:ascii="Times New Roman" w:eastAsia="Times New Roman" w:hAnsi="Times New Roman" w:cs="Times New Roman"/>
          <w:sz w:val="24"/>
          <w:lang w:val="en-GB"/>
        </w:rPr>
        <w:t xml:space="preserve"> blue (NBT) and </w:t>
      </w:r>
      <w:proofErr w:type="spellStart"/>
      <w:r w:rsidRPr="005D3347">
        <w:rPr>
          <w:rFonts w:ascii="Times New Roman" w:eastAsia="Times New Roman" w:hAnsi="Times New Roman" w:cs="Times New Roman"/>
          <w:sz w:val="24"/>
          <w:lang w:val="en-GB"/>
        </w:rPr>
        <w:t>phenazine</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methosulphate</w:t>
      </w:r>
      <w:proofErr w:type="spellEnd"/>
      <w:r w:rsidRPr="005D3347">
        <w:rPr>
          <w:rFonts w:ascii="Times New Roman" w:eastAsia="Times New Roman" w:hAnsi="Times New Roman" w:cs="Times New Roman"/>
          <w:sz w:val="24"/>
          <w:lang w:val="en-GB"/>
        </w:rPr>
        <w:t xml:space="preserve"> (PMS)  were purchased from Sigma Chemical Co. (St. Louis, MO, USA). </w:t>
      </w:r>
      <w:proofErr w:type="spellStart"/>
      <w:r w:rsidRPr="005D3347">
        <w:rPr>
          <w:rFonts w:ascii="Times New Roman" w:eastAsia="Times New Roman" w:hAnsi="Times New Roman" w:cs="Times New Roman"/>
          <w:sz w:val="24"/>
          <w:lang w:val="en-GB"/>
        </w:rPr>
        <w:t>Trolox</w:t>
      </w:r>
      <w:proofErr w:type="spellEnd"/>
      <w:r w:rsidRPr="005D3347">
        <w:rPr>
          <w:rFonts w:ascii="Times New Roman" w:eastAsia="Times New Roman" w:hAnsi="Times New Roman" w:cs="Times New Roman"/>
          <w:sz w:val="24"/>
          <w:lang w:val="en-GB"/>
        </w:rPr>
        <w:t xml:space="preserve"> (6-hydroxy- 2,5,7,8- </w:t>
      </w:r>
      <w:proofErr w:type="spellStart"/>
      <w:r w:rsidRPr="005D3347">
        <w:rPr>
          <w:rFonts w:ascii="Times New Roman" w:eastAsia="Times New Roman" w:hAnsi="Times New Roman" w:cs="Times New Roman"/>
          <w:sz w:val="24"/>
          <w:lang w:val="en-GB"/>
        </w:rPr>
        <w:t>tetramethyl</w:t>
      </w:r>
      <w:proofErr w:type="spellEnd"/>
      <w:r w:rsidRPr="005D3347">
        <w:rPr>
          <w:rFonts w:ascii="Times New Roman" w:eastAsia="Times New Roman" w:hAnsi="Times New Roman" w:cs="Times New Roman"/>
          <w:sz w:val="24"/>
          <w:lang w:val="en-GB"/>
        </w:rPr>
        <w:t xml:space="preserve"> chroman-2- carboxylic acid), </w:t>
      </w:r>
      <w:proofErr w:type="spellStart"/>
      <w:r w:rsidRPr="005D3347">
        <w:rPr>
          <w:rFonts w:ascii="Times New Roman" w:eastAsia="Times New Roman" w:hAnsi="Times New Roman" w:cs="Times New Roman"/>
          <w:sz w:val="24"/>
          <w:lang w:val="en-GB"/>
        </w:rPr>
        <w:t>gallic</w:t>
      </w:r>
      <w:proofErr w:type="spellEnd"/>
      <w:r w:rsidRPr="005D3347">
        <w:rPr>
          <w:rFonts w:ascii="Times New Roman" w:eastAsia="Times New Roman" w:hAnsi="Times New Roman" w:cs="Times New Roman"/>
          <w:sz w:val="24"/>
          <w:lang w:val="en-GB"/>
        </w:rPr>
        <w:t xml:space="preserve"> acid (3,4,5- </w:t>
      </w:r>
      <w:proofErr w:type="spellStart"/>
      <w:r w:rsidRPr="005D3347">
        <w:rPr>
          <w:rFonts w:ascii="Times New Roman" w:eastAsia="Times New Roman" w:hAnsi="Times New Roman" w:cs="Times New Roman"/>
          <w:sz w:val="24"/>
          <w:lang w:val="en-GB"/>
        </w:rPr>
        <w:t>trihydroxy</w:t>
      </w:r>
      <w:proofErr w:type="spellEnd"/>
      <w:r w:rsidRPr="005D3347">
        <w:rPr>
          <w:rFonts w:ascii="Times New Roman" w:eastAsia="Times New Roman" w:hAnsi="Times New Roman" w:cs="Times New Roman"/>
          <w:sz w:val="24"/>
          <w:lang w:val="en-GB"/>
        </w:rPr>
        <w:t xml:space="preserve"> benzoic acid), </w:t>
      </w:r>
      <w:proofErr w:type="spellStart"/>
      <w:r w:rsidRPr="005D3347">
        <w:rPr>
          <w:rFonts w:ascii="Times New Roman" w:eastAsia="Times New Roman" w:hAnsi="Times New Roman" w:cs="Times New Roman"/>
          <w:sz w:val="24"/>
          <w:lang w:val="en-GB"/>
        </w:rPr>
        <w:t>quercetin</w:t>
      </w:r>
      <w:proofErr w:type="spellEnd"/>
      <w:r w:rsidRPr="005D3347">
        <w:rPr>
          <w:rFonts w:ascii="Times New Roman" w:eastAsia="Times New Roman" w:hAnsi="Times New Roman" w:cs="Times New Roman"/>
          <w:sz w:val="24"/>
          <w:lang w:val="en-GB"/>
        </w:rPr>
        <w:t xml:space="preserve">, </w:t>
      </w:r>
      <w:r w:rsidRPr="005D3347">
        <w:rPr>
          <w:rFonts w:ascii="Times New Roman" w:eastAsia="Times New Roman" w:hAnsi="Times New Roman" w:cs="Times New Roman"/>
          <w:color w:val="auto"/>
          <w:sz w:val="24"/>
          <w:lang w:val="en-GB"/>
        </w:rPr>
        <w:t>α-</w:t>
      </w:r>
      <w:proofErr w:type="spellStart"/>
      <w:r w:rsidRPr="005D3347">
        <w:rPr>
          <w:rFonts w:ascii="Times New Roman" w:eastAsia="Times New Roman" w:hAnsi="Times New Roman" w:cs="Times New Roman"/>
          <w:color w:val="auto"/>
          <w:sz w:val="24"/>
          <w:lang w:val="en-GB"/>
        </w:rPr>
        <w:t>glucosidase</w:t>
      </w:r>
      <w:proofErr w:type="spellEnd"/>
      <w:r w:rsidRPr="005D3347">
        <w:rPr>
          <w:rFonts w:ascii="Times New Roman" w:eastAsia="Times New Roman" w:hAnsi="Times New Roman" w:cs="Times New Roman"/>
          <w:color w:val="auto"/>
          <w:sz w:val="24"/>
          <w:lang w:val="en-GB"/>
        </w:rPr>
        <w:t xml:space="preserve">, α-amylase, </w:t>
      </w:r>
      <w:proofErr w:type="spellStart"/>
      <w:r w:rsidRPr="005D3347">
        <w:rPr>
          <w:rFonts w:ascii="Times New Roman" w:eastAsia="Times New Roman" w:hAnsi="Times New Roman" w:cs="Times New Roman"/>
          <w:color w:val="auto"/>
          <w:sz w:val="24"/>
          <w:lang w:val="en-GB"/>
        </w:rPr>
        <w:t>acarbose</w:t>
      </w:r>
      <w:proofErr w:type="spellEnd"/>
      <w:r w:rsidRPr="005D3347">
        <w:rPr>
          <w:rFonts w:ascii="Times New Roman" w:eastAsia="Times New Roman" w:hAnsi="Times New Roman" w:cs="Times New Roman"/>
          <w:color w:val="auto"/>
          <w:sz w:val="24"/>
          <w:lang w:val="en-GB"/>
        </w:rPr>
        <w:t xml:space="preserve">, ascorbic acid and </w:t>
      </w:r>
      <w:r w:rsidRPr="005D3347">
        <w:rPr>
          <w:rFonts w:ascii="Times New Roman" w:eastAsia="Times New Roman" w:hAnsi="Times New Roman" w:cs="Times New Roman"/>
          <w:color w:val="auto"/>
          <w:sz w:val="24"/>
          <w:szCs w:val="24"/>
          <w:lang w:val="en-GB"/>
        </w:rPr>
        <w:t>p-</w:t>
      </w:r>
      <w:proofErr w:type="spellStart"/>
      <w:r w:rsidRPr="005D3347">
        <w:rPr>
          <w:rFonts w:ascii="Times New Roman" w:eastAsia="Times New Roman" w:hAnsi="Times New Roman" w:cs="Times New Roman"/>
          <w:color w:val="auto"/>
          <w:sz w:val="24"/>
          <w:szCs w:val="24"/>
          <w:lang w:val="en-GB"/>
        </w:rPr>
        <w:t>nitrophenol</w:t>
      </w:r>
      <w:proofErr w:type="spellEnd"/>
      <w:r w:rsidRPr="005D3347">
        <w:rPr>
          <w:rFonts w:ascii="Times New Roman" w:eastAsia="Times New Roman" w:hAnsi="Times New Roman" w:cs="Times New Roman"/>
          <w:color w:val="auto"/>
          <w:sz w:val="24"/>
          <w:szCs w:val="24"/>
          <w:lang w:val="en-GB"/>
        </w:rPr>
        <w:t>-a-</w:t>
      </w:r>
      <w:r w:rsidRPr="005D3347">
        <w:rPr>
          <w:rFonts w:ascii="Times New Roman" w:eastAsia="Times New Roman" w:hAnsi="Times New Roman" w:cs="Times New Roman"/>
          <w:smallCaps/>
          <w:color w:val="auto"/>
          <w:sz w:val="24"/>
          <w:szCs w:val="24"/>
          <w:lang w:val="en-GB"/>
        </w:rPr>
        <w:t>d</w:t>
      </w:r>
      <w:r w:rsidRPr="005D3347">
        <w:rPr>
          <w:rFonts w:ascii="Times New Roman" w:eastAsia="Times New Roman" w:hAnsi="Times New Roman" w:cs="Times New Roman"/>
          <w:color w:val="auto"/>
          <w:sz w:val="24"/>
          <w:szCs w:val="24"/>
          <w:lang w:val="en-GB"/>
        </w:rPr>
        <w:t>-</w:t>
      </w:r>
      <w:proofErr w:type="spellStart"/>
      <w:r w:rsidRPr="005D3347">
        <w:rPr>
          <w:rFonts w:ascii="Times New Roman" w:eastAsia="Times New Roman" w:hAnsi="Times New Roman" w:cs="Times New Roman"/>
          <w:color w:val="auto"/>
          <w:sz w:val="24"/>
          <w:szCs w:val="24"/>
          <w:lang w:val="en-GB"/>
        </w:rPr>
        <w:t>glucopyranoside</w:t>
      </w:r>
      <w:proofErr w:type="spellEnd"/>
      <w:r w:rsidRPr="005D3347">
        <w:rPr>
          <w:rFonts w:ascii="Times New Roman" w:eastAsia="Times New Roman" w:hAnsi="Times New Roman" w:cs="Times New Roman"/>
          <w:color w:val="auto"/>
          <w:sz w:val="24"/>
          <w:lang w:val="en-GB"/>
        </w:rPr>
        <w:t xml:space="preserve"> (PNPG) were obtained from</w:t>
      </w:r>
      <w:r w:rsidRPr="005D3347">
        <w:rPr>
          <w:rFonts w:ascii="Times New Roman" w:eastAsia="Arial" w:hAnsi="Times New Roman" w:cs="Times New Roman"/>
          <w:color w:val="auto"/>
          <w:sz w:val="20"/>
          <w:lang w:val="en-GB"/>
        </w:rPr>
        <w:t xml:space="preserve"> </w:t>
      </w:r>
      <w:r w:rsidRPr="005D3347">
        <w:rPr>
          <w:rFonts w:ascii="Times New Roman" w:eastAsia="Times New Roman" w:hAnsi="Times New Roman" w:cs="Times New Roman"/>
          <w:color w:val="auto"/>
          <w:sz w:val="24"/>
          <w:lang w:val="en-GB"/>
        </w:rPr>
        <w:t xml:space="preserve"> Sigma Aldrich Chemical Co. (Milwaukee, WI, USA).</w:t>
      </w:r>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Nicotinamide</w:t>
      </w:r>
      <w:proofErr w:type="spellEnd"/>
      <w:r w:rsidRPr="005D3347">
        <w:rPr>
          <w:rFonts w:ascii="Times New Roman" w:eastAsia="Times New Roman" w:hAnsi="Times New Roman" w:cs="Times New Roman"/>
          <w:sz w:val="24"/>
          <w:lang w:val="en-GB"/>
        </w:rPr>
        <w:t xml:space="preserve"> adenine dinucleotide (NADH), </w:t>
      </w:r>
      <w:proofErr w:type="spellStart"/>
      <w:r w:rsidRPr="005D3347">
        <w:rPr>
          <w:rFonts w:ascii="Times New Roman" w:eastAsia="Times New Roman" w:hAnsi="Times New Roman" w:cs="Times New Roman"/>
          <w:sz w:val="24"/>
          <w:lang w:val="en-GB"/>
        </w:rPr>
        <w:t>nicotinamide</w:t>
      </w:r>
      <w:proofErr w:type="spellEnd"/>
      <w:r w:rsidRPr="005D3347">
        <w:rPr>
          <w:rFonts w:ascii="Times New Roman" w:eastAsia="Times New Roman" w:hAnsi="Times New Roman" w:cs="Times New Roman"/>
          <w:sz w:val="24"/>
          <w:lang w:val="en-GB"/>
        </w:rPr>
        <w:t xml:space="preserve"> adenine dinucleotide- phosphate (NADPH), </w:t>
      </w:r>
      <w:r w:rsidRPr="005D3347">
        <w:rPr>
          <w:rFonts w:ascii="Times New Roman" w:eastAsia="Times New Roman" w:hAnsi="Times New Roman" w:cs="Times New Roman"/>
          <w:smallCaps/>
          <w:sz w:val="24"/>
          <w:szCs w:val="24"/>
          <w:lang w:val="en-GB"/>
        </w:rPr>
        <w:t>dl</w:t>
      </w:r>
      <w:r w:rsidRPr="005D3347">
        <w:rPr>
          <w:rFonts w:ascii="Times New Roman" w:eastAsia="Times New Roman" w:hAnsi="Times New Roman" w:cs="Times New Roman"/>
          <w:sz w:val="24"/>
          <w:szCs w:val="24"/>
          <w:lang w:val="en-GB"/>
        </w:rPr>
        <w:t>-glyceraldehyde</w:t>
      </w:r>
      <w:r w:rsidRPr="005D3347">
        <w:rPr>
          <w:rFonts w:ascii="Times New Roman" w:eastAsia="Times New Roman" w:hAnsi="Times New Roman" w:cs="Times New Roman"/>
          <w:sz w:val="24"/>
          <w:lang w:val="en-GB"/>
        </w:rPr>
        <w:t xml:space="preserve">, 3-(2-pyridyl)-5,6-diphenyl-1,2,4-triazine-4’,4”- </w:t>
      </w:r>
      <w:proofErr w:type="spellStart"/>
      <w:r w:rsidRPr="005D3347">
        <w:rPr>
          <w:rFonts w:ascii="Times New Roman" w:eastAsia="Times New Roman" w:hAnsi="Times New Roman" w:cs="Times New Roman"/>
          <w:sz w:val="24"/>
          <w:lang w:val="en-GB"/>
        </w:rPr>
        <w:t>disulfonicacid</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ferrozine</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Folin-Ciocalteau</w:t>
      </w:r>
      <w:proofErr w:type="spellEnd"/>
      <w:r w:rsidRPr="005D3347">
        <w:rPr>
          <w:rFonts w:ascii="Times New Roman" w:eastAsia="Times New Roman" w:hAnsi="Times New Roman" w:cs="Times New Roman"/>
          <w:sz w:val="24"/>
          <w:lang w:val="en-GB"/>
        </w:rPr>
        <w:t xml:space="preserve"> reagent, </w:t>
      </w:r>
      <w:proofErr w:type="spellStart"/>
      <w:r w:rsidRPr="005D3347">
        <w:rPr>
          <w:rFonts w:ascii="Times New Roman" w:eastAsia="Times New Roman" w:hAnsi="Times New Roman" w:cs="Times New Roman"/>
          <w:sz w:val="24"/>
          <w:lang w:val="en-GB"/>
        </w:rPr>
        <w:t>thiobarbituric</w:t>
      </w:r>
      <w:proofErr w:type="spellEnd"/>
      <w:r w:rsidRPr="005D3347">
        <w:rPr>
          <w:rFonts w:ascii="Times New Roman" w:eastAsia="Times New Roman" w:hAnsi="Times New Roman" w:cs="Times New Roman"/>
          <w:sz w:val="24"/>
          <w:lang w:val="en-GB"/>
        </w:rPr>
        <w:t xml:space="preserve"> acid (TBA), </w:t>
      </w:r>
      <w:proofErr w:type="spellStart"/>
      <w:r w:rsidRPr="005D3347">
        <w:rPr>
          <w:rFonts w:ascii="Times New Roman" w:eastAsia="Times New Roman" w:hAnsi="Times New Roman" w:cs="Times New Roman"/>
          <w:sz w:val="24"/>
          <w:lang w:val="en-GB"/>
        </w:rPr>
        <w:t>dinitro</w:t>
      </w:r>
      <w:proofErr w:type="spellEnd"/>
      <w:r w:rsidRPr="005D3347">
        <w:rPr>
          <w:rFonts w:ascii="Times New Roman" w:eastAsia="Times New Roman" w:hAnsi="Times New Roman" w:cs="Times New Roman"/>
          <w:sz w:val="24"/>
          <w:lang w:val="en-GB"/>
        </w:rPr>
        <w:t xml:space="preserve"> salicylic acid, potassium sodium </w:t>
      </w:r>
      <w:proofErr w:type="spellStart"/>
      <w:r w:rsidRPr="005D3347">
        <w:rPr>
          <w:rFonts w:ascii="Times New Roman" w:eastAsia="Times New Roman" w:hAnsi="Times New Roman" w:cs="Times New Roman"/>
          <w:sz w:val="24"/>
          <w:lang w:val="en-GB"/>
        </w:rPr>
        <w:t>tartarate</w:t>
      </w:r>
      <w:proofErr w:type="spellEnd"/>
      <w:r w:rsidRPr="005D3347">
        <w:rPr>
          <w:rFonts w:ascii="Times New Roman" w:eastAsia="Times New Roman" w:hAnsi="Times New Roman" w:cs="Times New Roman"/>
          <w:sz w:val="24"/>
          <w:lang w:val="en-GB"/>
        </w:rPr>
        <w:t xml:space="preserve"> and starch from </w:t>
      </w:r>
      <w:proofErr w:type="spellStart"/>
      <w:r w:rsidRPr="005D3347">
        <w:rPr>
          <w:rFonts w:ascii="Times New Roman" w:eastAsia="Times New Roman" w:hAnsi="Times New Roman" w:cs="Times New Roman"/>
          <w:sz w:val="24"/>
          <w:lang w:val="en-GB"/>
        </w:rPr>
        <w:t>Sisco</w:t>
      </w:r>
      <w:proofErr w:type="spellEnd"/>
      <w:r w:rsidRPr="005D3347">
        <w:rPr>
          <w:rFonts w:ascii="Times New Roman" w:eastAsia="Times New Roman" w:hAnsi="Times New Roman" w:cs="Times New Roman"/>
          <w:sz w:val="24"/>
          <w:lang w:val="en-GB"/>
        </w:rPr>
        <w:t xml:space="preserve"> Research Lab (India). All the other chemicals used, were of standard analytical grade and solvents were of HPLC grade. </w:t>
      </w:r>
    </w:p>
    <w:p w:rsidR="00C5474B" w:rsidRPr="005D3347" w:rsidRDefault="00C5474B" w:rsidP="00C5474B">
      <w:pPr>
        <w:pStyle w:val="Normal1"/>
        <w:suppressLineNumbers/>
        <w:spacing w:after="0" w:line="360" w:lineRule="auto"/>
        <w:jc w:val="both"/>
        <w:rPr>
          <w:rFonts w:ascii="Times New Roman" w:hAnsi="Times New Roman" w:cs="Times New Roman"/>
          <w:lang w:val="en-GB"/>
        </w:rPr>
      </w:pPr>
      <w:r w:rsidRPr="005D3347">
        <w:rPr>
          <w:rFonts w:ascii="Times New Roman" w:eastAsia="Times New Roman" w:hAnsi="Times New Roman" w:cs="Times New Roman"/>
          <w:b/>
          <w:sz w:val="24"/>
          <w:lang w:val="en-GB"/>
        </w:rPr>
        <w:t xml:space="preserve">1.2. </w:t>
      </w:r>
      <w:r w:rsidRPr="005D3347">
        <w:rPr>
          <w:rFonts w:ascii="Times New Roman" w:eastAsia="Times New Roman" w:hAnsi="Times New Roman" w:cs="Times New Roman"/>
          <w:b/>
          <w:i/>
          <w:sz w:val="24"/>
          <w:lang w:val="en-GB"/>
        </w:rPr>
        <w:t>Preparation of lichen extract</w:t>
      </w:r>
    </w:p>
    <w:p w:rsidR="00C5474B" w:rsidRPr="005D3347" w:rsidRDefault="00C5474B" w:rsidP="00C5474B">
      <w:pPr>
        <w:pStyle w:val="Normal1"/>
        <w:suppressLineNumbers/>
        <w:spacing w:after="0" w:line="360" w:lineRule="auto"/>
        <w:jc w:val="both"/>
        <w:rPr>
          <w:rFonts w:ascii="Times New Roman" w:hAnsi="Times New Roman" w:cs="Times New Roman"/>
          <w:lang w:val="en-GB"/>
        </w:rPr>
      </w:pPr>
      <w:r w:rsidRPr="005D3347">
        <w:rPr>
          <w:rFonts w:ascii="Times New Roman" w:eastAsia="Times New Roman" w:hAnsi="Times New Roman" w:cs="Times New Roman"/>
          <w:sz w:val="24"/>
          <w:lang w:val="en-GB"/>
        </w:rPr>
        <w:t>The lichen sample (</w:t>
      </w:r>
      <w:r w:rsidRPr="005D3347">
        <w:rPr>
          <w:rFonts w:ascii="Times New Roman" w:eastAsia="Times New Roman" w:hAnsi="Times New Roman" w:cs="Times New Roman"/>
          <w:i/>
          <w:sz w:val="24"/>
          <w:lang w:val="en-GB"/>
        </w:rPr>
        <w:t xml:space="preserve">P. </w:t>
      </w:r>
      <w:proofErr w:type="spellStart"/>
      <w:r w:rsidRPr="005D3347">
        <w:rPr>
          <w:rFonts w:ascii="Times New Roman" w:eastAsia="Times New Roman" w:hAnsi="Times New Roman" w:cs="Times New Roman"/>
          <w:i/>
          <w:sz w:val="24"/>
          <w:lang w:val="en-GB"/>
        </w:rPr>
        <w:t>tinctorum</w:t>
      </w:r>
      <w:proofErr w:type="spellEnd"/>
      <w:r w:rsidRPr="005D3347">
        <w:rPr>
          <w:rFonts w:ascii="Times New Roman" w:eastAsia="Times New Roman" w:hAnsi="Times New Roman" w:cs="Times New Roman"/>
          <w:i/>
          <w:sz w:val="24"/>
          <w:lang w:val="en-GB"/>
        </w:rPr>
        <w:t xml:space="preserve">) </w:t>
      </w:r>
      <w:r w:rsidRPr="005D3347">
        <w:rPr>
          <w:rFonts w:ascii="Times New Roman" w:eastAsia="Times New Roman" w:hAnsi="Times New Roman" w:cs="Times New Roman"/>
          <w:sz w:val="24"/>
          <w:lang w:val="en-GB"/>
        </w:rPr>
        <w:t xml:space="preserve">was collected during the month of January 2013 from </w:t>
      </w:r>
      <w:proofErr w:type="spellStart"/>
      <w:r w:rsidRPr="005D3347">
        <w:rPr>
          <w:rFonts w:ascii="Times New Roman" w:eastAsia="Times New Roman" w:hAnsi="Times New Roman" w:cs="Times New Roman"/>
          <w:sz w:val="24"/>
          <w:lang w:val="en-GB"/>
        </w:rPr>
        <w:t>Wayanad</w:t>
      </w:r>
      <w:proofErr w:type="spellEnd"/>
      <w:r w:rsidRPr="005D3347">
        <w:rPr>
          <w:rFonts w:ascii="Times New Roman" w:eastAsia="Times New Roman" w:hAnsi="Times New Roman" w:cs="Times New Roman"/>
          <w:sz w:val="24"/>
          <w:lang w:val="en-GB"/>
        </w:rPr>
        <w:t xml:space="preserve"> district (Kerala, India) and was identified and authenticated by Dr. H. </w:t>
      </w:r>
      <w:proofErr w:type="spellStart"/>
      <w:r w:rsidRPr="005D3347">
        <w:rPr>
          <w:rFonts w:ascii="Times New Roman" w:eastAsia="Times New Roman" w:hAnsi="Times New Roman" w:cs="Times New Roman"/>
          <w:sz w:val="24"/>
          <w:lang w:val="en-GB"/>
        </w:rPr>
        <w:t>Biju</w:t>
      </w:r>
      <w:proofErr w:type="spellEnd"/>
      <w:r w:rsidRPr="005D3347">
        <w:rPr>
          <w:rFonts w:ascii="Times New Roman" w:eastAsia="Times New Roman" w:hAnsi="Times New Roman" w:cs="Times New Roman"/>
          <w:sz w:val="24"/>
          <w:lang w:val="en-GB"/>
        </w:rPr>
        <w:t xml:space="preserve">, taxonomist, Jawaharlal Nehru Tropical Botanical Garden and Research Institute (JNTBGRI), </w:t>
      </w:r>
      <w:proofErr w:type="spellStart"/>
      <w:r w:rsidRPr="005D3347">
        <w:rPr>
          <w:rFonts w:ascii="Times New Roman" w:eastAsia="Times New Roman" w:hAnsi="Times New Roman" w:cs="Times New Roman"/>
          <w:sz w:val="24"/>
          <w:lang w:val="en-GB"/>
        </w:rPr>
        <w:t>Palode</w:t>
      </w:r>
      <w:proofErr w:type="spellEnd"/>
      <w:r w:rsidRPr="005D3347">
        <w:rPr>
          <w:rFonts w:ascii="Times New Roman" w:eastAsia="Times New Roman" w:hAnsi="Times New Roman" w:cs="Times New Roman"/>
          <w:sz w:val="24"/>
          <w:lang w:val="en-GB"/>
        </w:rPr>
        <w:t>, Kerala, India. Proper sanction has been obtained from forest department, Govt. of Kerala for collecting lichen samples (No.WL10-35151/12).</w:t>
      </w:r>
      <w:r w:rsidRPr="005D3347">
        <w:rPr>
          <w:rFonts w:ascii="Times New Roman" w:hAnsi="Times New Roman" w:cs="Times New Roman"/>
          <w:lang w:val="en-GB"/>
        </w:rPr>
        <w:t xml:space="preserve"> </w:t>
      </w:r>
      <w:r w:rsidRPr="005D3347">
        <w:rPr>
          <w:rFonts w:ascii="Times New Roman" w:eastAsia="Times New Roman" w:hAnsi="Times New Roman" w:cs="Times New Roman"/>
          <w:sz w:val="24"/>
          <w:lang w:val="en-GB"/>
        </w:rPr>
        <w:t>A voucher specimen (No.P1213AGP/CSIR-NIIST) was kept in our herbarium for future reference.</w:t>
      </w:r>
    </w:p>
    <w:p w:rsidR="00C5474B" w:rsidRPr="005D3347" w:rsidRDefault="00C5474B" w:rsidP="00C5474B">
      <w:pPr>
        <w:pStyle w:val="Normal1"/>
        <w:suppressLineNumbers/>
        <w:spacing w:after="0" w:line="360" w:lineRule="auto"/>
        <w:ind w:firstLine="720"/>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The lichen was dried, ground to powder and extracted </w:t>
      </w:r>
      <w:r w:rsidR="00C06EB4" w:rsidRPr="005D3347">
        <w:rPr>
          <w:rFonts w:ascii="Times New Roman" w:eastAsia="Times New Roman" w:hAnsi="Times New Roman" w:cs="Times New Roman"/>
          <w:sz w:val="24"/>
          <w:lang w:val="en-GB"/>
        </w:rPr>
        <w:t xml:space="preserve">(250 g) </w:t>
      </w:r>
      <w:r w:rsidRPr="005D3347">
        <w:rPr>
          <w:rFonts w:ascii="Times New Roman" w:eastAsia="Times New Roman" w:hAnsi="Times New Roman" w:cs="Times New Roman"/>
          <w:sz w:val="24"/>
          <w:lang w:val="en-GB"/>
        </w:rPr>
        <w:t xml:space="preserve">with hexane </w:t>
      </w:r>
      <w:r w:rsidR="00C06EB4" w:rsidRPr="005D3347">
        <w:rPr>
          <w:rFonts w:ascii="Times New Roman" w:eastAsia="Times New Roman" w:hAnsi="Times New Roman" w:cs="Times New Roman"/>
          <w:sz w:val="24"/>
          <w:lang w:val="en-GB"/>
        </w:rPr>
        <w:t xml:space="preserve">(1 L) </w:t>
      </w:r>
      <w:r w:rsidRPr="005D3347">
        <w:rPr>
          <w:rFonts w:ascii="Times New Roman" w:eastAsia="Times New Roman" w:hAnsi="Times New Roman" w:cs="Times New Roman"/>
          <w:sz w:val="24"/>
          <w:lang w:val="en-GB"/>
        </w:rPr>
        <w:t xml:space="preserve">to remove low polarity contaminants.  Then the powder was extracted with ethyl acetate </w:t>
      </w:r>
      <w:r w:rsidR="00C72517" w:rsidRPr="005D3347">
        <w:rPr>
          <w:rFonts w:ascii="Times New Roman" w:eastAsia="Times New Roman" w:hAnsi="Times New Roman" w:cs="Times New Roman"/>
          <w:sz w:val="24"/>
          <w:lang w:val="en-GB"/>
        </w:rPr>
        <w:t xml:space="preserve">(2.5 L) </w:t>
      </w:r>
      <w:r w:rsidRPr="005D3347">
        <w:rPr>
          <w:rFonts w:ascii="Times New Roman" w:eastAsia="Times New Roman" w:hAnsi="Times New Roman" w:cs="Times New Roman"/>
          <w:sz w:val="24"/>
          <w:lang w:val="en-GB"/>
        </w:rPr>
        <w:t xml:space="preserve">at ambient temperature (27 ± 1 °C) under stirring for 6 h, and the extraction process was repeated until the solvent became colourless. The supernatant was ﬁltered through </w:t>
      </w:r>
      <w:proofErr w:type="spellStart"/>
      <w:r w:rsidRPr="005D3347">
        <w:rPr>
          <w:rFonts w:ascii="Times New Roman" w:eastAsia="Times New Roman" w:hAnsi="Times New Roman" w:cs="Times New Roman"/>
          <w:sz w:val="24"/>
          <w:lang w:val="en-GB"/>
        </w:rPr>
        <w:t>Whatman</w:t>
      </w:r>
      <w:proofErr w:type="spellEnd"/>
      <w:r w:rsidRPr="005D3347">
        <w:rPr>
          <w:rFonts w:ascii="Times New Roman" w:eastAsia="Times New Roman" w:hAnsi="Times New Roman" w:cs="Times New Roman"/>
          <w:sz w:val="24"/>
          <w:lang w:val="en-GB"/>
        </w:rPr>
        <w:t xml:space="preserve"> No.1 ﬁlter paper and concentrated </w:t>
      </w:r>
      <w:r w:rsidRPr="005D3347">
        <w:rPr>
          <w:rFonts w:ascii="Times New Roman" w:eastAsia="Times New Roman" w:hAnsi="Times New Roman" w:cs="Times New Roman"/>
          <w:i/>
          <w:sz w:val="24"/>
          <w:lang w:val="en-GB"/>
        </w:rPr>
        <w:t xml:space="preserve">in </w:t>
      </w:r>
      <w:proofErr w:type="spellStart"/>
      <w:r w:rsidRPr="005D3347">
        <w:rPr>
          <w:rFonts w:ascii="Times New Roman" w:eastAsia="Times New Roman" w:hAnsi="Times New Roman" w:cs="Times New Roman"/>
          <w:i/>
          <w:sz w:val="24"/>
          <w:lang w:val="en-GB"/>
        </w:rPr>
        <w:t>vacuo</w:t>
      </w:r>
      <w:proofErr w:type="spellEnd"/>
      <w:r w:rsidRPr="005D3347">
        <w:rPr>
          <w:rFonts w:ascii="Times New Roman" w:eastAsia="Times New Roman" w:hAnsi="Times New Roman" w:cs="Times New Roman"/>
          <w:sz w:val="24"/>
          <w:lang w:val="en-GB"/>
        </w:rPr>
        <w:t xml:space="preserve"> under reduced pressure in a </w:t>
      </w:r>
      <w:proofErr w:type="spellStart"/>
      <w:r w:rsidRPr="005D3347">
        <w:rPr>
          <w:rFonts w:ascii="Times New Roman" w:eastAsia="Times New Roman" w:hAnsi="Times New Roman" w:cs="Times New Roman"/>
          <w:sz w:val="24"/>
          <w:lang w:val="en-GB"/>
        </w:rPr>
        <w:t>rotavapor</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Heidolph</w:t>
      </w:r>
      <w:proofErr w:type="spellEnd"/>
      <w:r w:rsidRPr="005D3347">
        <w:rPr>
          <w:rFonts w:ascii="Times New Roman" w:eastAsia="Times New Roman" w:hAnsi="Times New Roman" w:cs="Times New Roman"/>
          <w:sz w:val="24"/>
          <w:lang w:val="en-GB"/>
        </w:rPr>
        <w:t xml:space="preserve">) followed by lyophilisation. The lyophilised </w:t>
      </w:r>
      <w:r w:rsidRPr="005D3347">
        <w:rPr>
          <w:rFonts w:ascii="Times New Roman" w:eastAsia="Times New Roman" w:hAnsi="Times New Roman" w:cs="Times New Roman"/>
          <w:i/>
          <w:sz w:val="24"/>
          <w:lang w:val="en-GB"/>
        </w:rPr>
        <w:t xml:space="preserve">P. </w:t>
      </w:r>
      <w:proofErr w:type="spellStart"/>
      <w:r w:rsidRPr="005D3347">
        <w:rPr>
          <w:rFonts w:ascii="Times New Roman" w:eastAsia="Times New Roman" w:hAnsi="Times New Roman" w:cs="Times New Roman"/>
          <w:i/>
          <w:sz w:val="24"/>
          <w:lang w:val="en-GB"/>
        </w:rPr>
        <w:t>tinctorum</w:t>
      </w:r>
      <w:proofErr w:type="spellEnd"/>
      <w:r w:rsidRPr="005D3347">
        <w:rPr>
          <w:rFonts w:ascii="Times New Roman" w:eastAsia="Times New Roman" w:hAnsi="Times New Roman" w:cs="Times New Roman"/>
          <w:sz w:val="24"/>
          <w:lang w:val="en-GB"/>
        </w:rPr>
        <w:t xml:space="preserve"> extract (PTEE) was stored at 4 °C until use. </w:t>
      </w:r>
    </w:p>
    <w:p w:rsidR="00C5474B" w:rsidRPr="005D3347" w:rsidRDefault="00C5474B" w:rsidP="00C5474B">
      <w:pPr>
        <w:autoSpaceDE w:val="0"/>
        <w:autoSpaceDN w:val="0"/>
        <w:adjustRightInd w:val="0"/>
        <w:spacing w:after="0" w:line="360" w:lineRule="auto"/>
        <w:jc w:val="both"/>
        <w:rPr>
          <w:rFonts w:ascii="Times New Roman" w:hAnsi="Times New Roman" w:cs="Times New Roman"/>
          <w:b/>
          <w:i/>
          <w:color w:val="131413"/>
          <w:sz w:val="24"/>
          <w:szCs w:val="24"/>
          <w:lang w:val="en-GB"/>
        </w:rPr>
      </w:pPr>
      <w:r w:rsidRPr="005D3347">
        <w:rPr>
          <w:rFonts w:ascii="Times New Roman" w:hAnsi="Times New Roman" w:cs="Times New Roman"/>
          <w:b/>
          <w:color w:val="131413"/>
          <w:sz w:val="24"/>
          <w:szCs w:val="24"/>
          <w:lang w:val="en-GB"/>
        </w:rPr>
        <w:t xml:space="preserve">1.3. </w:t>
      </w:r>
      <w:r w:rsidRPr="005D3347">
        <w:rPr>
          <w:rFonts w:ascii="Times New Roman" w:hAnsi="Times New Roman" w:cs="Times New Roman"/>
          <w:b/>
          <w:i/>
          <w:color w:val="131413"/>
          <w:sz w:val="24"/>
          <w:szCs w:val="24"/>
          <w:lang w:val="en-GB"/>
        </w:rPr>
        <w:t>Analysis of proximate composition</w:t>
      </w:r>
    </w:p>
    <w:p w:rsidR="00B05F89" w:rsidRPr="005D3347" w:rsidRDefault="00B05F89" w:rsidP="00B05F89">
      <w:pPr>
        <w:pStyle w:val="NormalWeb"/>
        <w:spacing w:before="0" w:beforeAutospacing="0" w:after="0" w:afterAutospacing="0" w:line="360" w:lineRule="auto"/>
        <w:jc w:val="both"/>
      </w:pPr>
      <w:r w:rsidRPr="005D3347">
        <w:t xml:space="preserve">Proximate composition, total fatty matter, carbohydrate, protein and ash content of the </w:t>
      </w:r>
      <w:r w:rsidRPr="005D3347">
        <w:rPr>
          <w:i/>
        </w:rPr>
        <w:t>P.</w:t>
      </w:r>
      <w:r w:rsidRPr="005D3347">
        <w:t xml:space="preserve"> </w:t>
      </w:r>
      <w:proofErr w:type="spellStart"/>
      <w:r w:rsidRPr="005D3347">
        <w:rPr>
          <w:i/>
        </w:rPr>
        <w:t>tinctorum</w:t>
      </w:r>
      <w:proofErr w:type="spellEnd"/>
      <w:r w:rsidRPr="005D3347">
        <w:t xml:space="preserve"> were analyzed according to the AOAC </w:t>
      </w:r>
      <w:r w:rsidR="00E90A04" w:rsidRPr="005D3347">
        <w:t xml:space="preserve">(2000) </w:t>
      </w:r>
      <w:r w:rsidRPr="005D3347">
        <w:t>procedures.</w:t>
      </w:r>
    </w:p>
    <w:p w:rsidR="008B68E4" w:rsidRPr="005D3347" w:rsidRDefault="00B05F89" w:rsidP="008B68E4">
      <w:pPr>
        <w:pStyle w:val="NormalWeb"/>
        <w:spacing w:before="0" w:beforeAutospacing="0" w:after="0" w:afterAutospacing="0" w:line="360" w:lineRule="auto"/>
        <w:ind w:firstLine="720"/>
        <w:jc w:val="both"/>
      </w:pPr>
      <w:r w:rsidRPr="005D3347">
        <w:t>  </w:t>
      </w:r>
      <w:r w:rsidR="008B68E4" w:rsidRPr="005D3347">
        <w:t xml:space="preserve">Dry weight of </w:t>
      </w:r>
      <w:r w:rsidR="008B68E4" w:rsidRPr="005D3347">
        <w:rPr>
          <w:i/>
        </w:rPr>
        <w:t xml:space="preserve">P. </w:t>
      </w:r>
      <w:proofErr w:type="spellStart"/>
      <w:r w:rsidR="008B68E4" w:rsidRPr="005D3347">
        <w:rPr>
          <w:i/>
        </w:rPr>
        <w:t>tinctorum</w:t>
      </w:r>
      <w:proofErr w:type="spellEnd"/>
      <w:r w:rsidR="008B68E4" w:rsidRPr="005D3347">
        <w:t xml:space="preserve"> was determined by oven dry method. About 10 g of the material was accurately weighed in a </w:t>
      </w:r>
      <w:proofErr w:type="spellStart"/>
      <w:r w:rsidR="008B68E4" w:rsidRPr="005D3347">
        <w:t>pre weighed</w:t>
      </w:r>
      <w:proofErr w:type="spellEnd"/>
      <w:r w:rsidR="008B68E4" w:rsidRPr="005D3347">
        <w:t xml:space="preserve"> petri dish and placed in hot air oven and dry for 2 hours at 100ºC. The dish with sample was cooled in a </w:t>
      </w:r>
      <w:proofErr w:type="spellStart"/>
      <w:r w:rsidR="008B68E4" w:rsidRPr="005D3347">
        <w:t>desicator</w:t>
      </w:r>
      <w:proofErr w:type="spellEnd"/>
      <w:r w:rsidR="008B68E4" w:rsidRPr="005D3347">
        <w:t xml:space="preserve"> and weight was noted. Heated again at 100ºC in air oven for 30 minutes cooled and weighed. This process of </w:t>
      </w:r>
      <w:r w:rsidR="008B68E4" w:rsidRPr="005D3347">
        <w:lastRenderedPageBreak/>
        <w:t>heating for 30 minutes was repeated till the difference in weight between two successive weighing was less than 1 mg. From the loss weight during the drying amount of moisture was calculated.</w:t>
      </w:r>
    </w:p>
    <w:p w:rsidR="00B05F89" w:rsidRPr="005D3347" w:rsidRDefault="00B05F89" w:rsidP="00B05F89">
      <w:pPr>
        <w:pStyle w:val="NormalWeb"/>
        <w:spacing w:before="0" w:beforeAutospacing="0" w:after="0" w:afterAutospacing="0" w:line="360" w:lineRule="auto"/>
        <w:jc w:val="both"/>
      </w:pPr>
      <w:r w:rsidRPr="005D3347">
        <w:t xml:space="preserve">    Total fatty matter in the dried samples was extracted by </w:t>
      </w:r>
      <w:proofErr w:type="spellStart"/>
      <w:r w:rsidRPr="005D3347">
        <w:t>soxhlet</w:t>
      </w:r>
      <w:proofErr w:type="spellEnd"/>
      <w:r w:rsidRPr="005D3347">
        <w:t xml:space="preserve"> apparatus using hexane as solvent. </w:t>
      </w:r>
      <w:r w:rsidR="0085266E" w:rsidRPr="005D3347">
        <w:t>5</w:t>
      </w:r>
      <w:r w:rsidR="00190F28" w:rsidRPr="005D3347">
        <w:t>g</w:t>
      </w:r>
      <w:r w:rsidRPr="005D3347">
        <w:t xml:space="preserve"> of dried sample was taken in a thimble and placed in the </w:t>
      </w:r>
      <w:proofErr w:type="spellStart"/>
      <w:r w:rsidRPr="005D3347">
        <w:t>soxhlet</w:t>
      </w:r>
      <w:proofErr w:type="spellEnd"/>
      <w:r w:rsidRPr="005D3347">
        <w:t xml:space="preserve"> fitted with pre-weighed round bottom flask and filled over 1/4th part with hexane. Extraction with solvent is carried out for 4-6 hours. The solvent containing the fat fraction obtained in the round bottom flask was evaporated. From the weight of the residue total fat soluble matter can be determined.</w:t>
      </w:r>
    </w:p>
    <w:p w:rsidR="00190F28" w:rsidRPr="005D3347" w:rsidRDefault="00190F28" w:rsidP="00190F28">
      <w:pPr>
        <w:pStyle w:val="NormalWeb"/>
        <w:spacing w:before="0" w:beforeAutospacing="0" w:after="0" w:afterAutospacing="0" w:line="360" w:lineRule="auto"/>
        <w:ind w:firstLine="720"/>
        <w:jc w:val="both"/>
      </w:pPr>
      <w:r w:rsidRPr="005D3347">
        <w:t xml:space="preserve">To determine the crude fiber content, residue from crude fat determination was used. 2g of sample was taken and refluxed </w:t>
      </w:r>
      <w:r w:rsidR="0085266E" w:rsidRPr="005D3347">
        <w:t>consecutively with 200ml 1.25% H</w:t>
      </w:r>
      <w:r w:rsidR="0085266E" w:rsidRPr="005D3347">
        <w:rPr>
          <w:vertAlign w:val="subscript"/>
        </w:rPr>
        <w:t>2</w:t>
      </w:r>
      <w:r w:rsidR="0085266E" w:rsidRPr="005D3347">
        <w:t>SO</w:t>
      </w:r>
      <w:r w:rsidR="0085266E" w:rsidRPr="005D3347">
        <w:rPr>
          <w:vertAlign w:val="subscript"/>
        </w:rPr>
        <w:t>4</w:t>
      </w:r>
      <w:r w:rsidR="0085266E" w:rsidRPr="005D3347">
        <w:t xml:space="preserve"> and 200ml 1.25% </w:t>
      </w:r>
      <w:proofErr w:type="spellStart"/>
      <w:r w:rsidR="0085266E" w:rsidRPr="005D3347">
        <w:t>NaOH</w:t>
      </w:r>
      <w:proofErr w:type="spellEnd"/>
      <w:r w:rsidR="0085266E" w:rsidRPr="005D3347">
        <w:t xml:space="preserve"> solution. </w:t>
      </w:r>
      <w:r w:rsidRPr="005D3347">
        <w:t>The</w:t>
      </w:r>
      <w:r w:rsidR="0085266E" w:rsidRPr="005D3347">
        <w:t xml:space="preserve"> digested material was filtered, </w:t>
      </w:r>
      <w:r w:rsidRPr="005D3347">
        <w:t>washed with hot distilled water several times until the washings were free of alkali. Washed with 25ml 95% alcohol, dried and transferred to</w:t>
      </w:r>
      <w:r w:rsidR="002D13F5" w:rsidRPr="005D3347">
        <w:t xml:space="preserve"> </w:t>
      </w:r>
      <w:r w:rsidR="006E0AC2" w:rsidRPr="005D3347">
        <w:t>s</w:t>
      </w:r>
      <w:r w:rsidR="002D13F5" w:rsidRPr="005D3347">
        <w:t>intered</w:t>
      </w:r>
      <w:r w:rsidRPr="005D3347">
        <w:t xml:space="preserve"> cr</w:t>
      </w:r>
      <w:r w:rsidR="0085266E" w:rsidRPr="005D3347">
        <w:t xml:space="preserve">ucible then </w:t>
      </w:r>
      <w:r w:rsidR="002D13F5" w:rsidRPr="005D3347">
        <w:t>dried</w:t>
      </w:r>
      <w:r w:rsidR="0085266E" w:rsidRPr="005D3347">
        <w:t xml:space="preserve"> it</w:t>
      </w:r>
      <w:r w:rsidRPr="005D3347">
        <w:t xml:space="preserve"> in a hot air oven at 110ᵒ</w:t>
      </w:r>
      <w:r w:rsidR="0085266E" w:rsidRPr="005D3347">
        <w:t xml:space="preserve">C </w:t>
      </w:r>
      <w:r w:rsidR="002D13F5" w:rsidRPr="005D3347">
        <w:t>until it attain a</w:t>
      </w:r>
      <w:r w:rsidRPr="005D3347">
        <w:t xml:space="preserve"> constant weight. It was allowed to cool in desiccators and weighed. The gain</w:t>
      </w:r>
      <w:r w:rsidR="0085266E" w:rsidRPr="005D3347">
        <w:t>ed</w:t>
      </w:r>
      <w:r w:rsidRPr="005D3347">
        <w:t xml:space="preserve"> w</w:t>
      </w:r>
      <w:r w:rsidR="006E0AC2" w:rsidRPr="005D3347">
        <w:t>eight represents the crude fiber</w:t>
      </w:r>
      <w:r w:rsidRPr="005D3347">
        <w:t>.</w:t>
      </w:r>
    </w:p>
    <w:p w:rsidR="0085266E" w:rsidRPr="005D3347" w:rsidRDefault="0085266E" w:rsidP="008B68E4">
      <w:pPr>
        <w:pStyle w:val="NormalWeb"/>
        <w:spacing w:before="0" w:beforeAutospacing="0" w:after="0" w:afterAutospacing="0" w:line="360" w:lineRule="auto"/>
        <w:ind w:firstLine="720"/>
        <w:jc w:val="both"/>
      </w:pPr>
      <w:r w:rsidRPr="005D3347">
        <w:t>To determine the ash content, 5g sample was accurately weighed into a pre-weighed, clean crucible. The crucible heated to the point of charring</w:t>
      </w:r>
      <w:r w:rsidR="002D13F5" w:rsidRPr="005D3347">
        <w:t xml:space="preserve"> of the sample on a hot plate and t</w:t>
      </w:r>
      <w:r w:rsidRPr="005D3347">
        <w:t xml:space="preserve">he crucible with the carbon residue </w:t>
      </w:r>
      <w:r w:rsidR="002D13F5" w:rsidRPr="005D3347">
        <w:t xml:space="preserve">was </w:t>
      </w:r>
      <w:r w:rsidRPr="005D3347">
        <w:t>placed in muffle furnace at temperature of 650º C until the carbon residue disappears. Allowed to cool and then weighed. </w:t>
      </w:r>
    </w:p>
    <w:p w:rsidR="008B68E4" w:rsidRPr="005D3347" w:rsidRDefault="008B68E4" w:rsidP="008B68E4">
      <w:pPr>
        <w:pStyle w:val="NormalWeb"/>
        <w:spacing w:before="0" w:beforeAutospacing="0" w:after="0" w:afterAutospacing="0" w:line="360" w:lineRule="auto"/>
        <w:ind w:firstLine="720"/>
        <w:jc w:val="both"/>
      </w:pPr>
      <w:r w:rsidRPr="005D3347">
        <w:t xml:space="preserve">10 g of defatted </w:t>
      </w:r>
      <w:r w:rsidRPr="005D3347">
        <w:rPr>
          <w:i/>
        </w:rPr>
        <w:t xml:space="preserve">P. </w:t>
      </w:r>
      <w:proofErr w:type="spellStart"/>
      <w:r w:rsidRPr="005D3347">
        <w:rPr>
          <w:i/>
        </w:rPr>
        <w:t>tinctorum</w:t>
      </w:r>
      <w:proofErr w:type="spellEnd"/>
      <w:r w:rsidRPr="005D3347">
        <w:t xml:space="preserve"> was dried and dissolved in 80% ethanol and refluxed for 6 hours. Then the mixture was made up to known volume. Pipetted out different volumes of sample solution in the test tubes and made up the solution to 1ml with distilled water. 4ml of </w:t>
      </w:r>
      <w:proofErr w:type="spellStart"/>
      <w:r w:rsidRPr="005D3347">
        <w:t>anthrone</w:t>
      </w:r>
      <w:proofErr w:type="spellEnd"/>
      <w:r w:rsidRPr="005D3347">
        <w:t xml:space="preserve"> reagent was added to test tubes and heated in a boiling water bath for 15 minutes. Cooled under tap water and the absorbance </w:t>
      </w:r>
      <w:r w:rsidR="002A51D7" w:rsidRPr="005D3347">
        <w:t>were measured at 620nm in UV–</w:t>
      </w:r>
      <w:proofErr w:type="spellStart"/>
      <w:r w:rsidR="002A51D7" w:rsidRPr="005D3347">
        <w:t>vis</w:t>
      </w:r>
      <w:proofErr w:type="spellEnd"/>
      <w:r w:rsidRPr="005D3347">
        <w:t xml:space="preserve"> spectrophotometer (</w:t>
      </w:r>
      <w:r w:rsidR="002A51D7" w:rsidRPr="005D3347">
        <w:t>UV-2450PC, Shimadzu, Japan</w:t>
      </w:r>
      <w:r w:rsidRPr="005D3347">
        <w:t>).</w:t>
      </w:r>
      <w:r w:rsidR="002A51D7" w:rsidRPr="005D3347">
        <w:t xml:space="preserve"> </w:t>
      </w:r>
      <w:r w:rsidRPr="005D3347">
        <w:t>The amount of carbohydrates in the sample was determined by plotting the calibration curve usin</w:t>
      </w:r>
      <w:r w:rsidR="002A51D7" w:rsidRPr="005D3347">
        <w:t>g authentic standard of glucose.</w:t>
      </w:r>
    </w:p>
    <w:p w:rsidR="0085266E" w:rsidRPr="005D3347" w:rsidRDefault="005A2D2D" w:rsidP="000107D6">
      <w:pPr>
        <w:pStyle w:val="NormalWeb"/>
        <w:spacing w:before="0" w:beforeAutospacing="0" w:after="0" w:afterAutospacing="0" w:line="360" w:lineRule="auto"/>
        <w:ind w:firstLine="720"/>
        <w:jc w:val="both"/>
      </w:pPr>
      <w:r w:rsidRPr="005D3347">
        <w:t xml:space="preserve">In order to determine the total protein content in </w:t>
      </w:r>
      <w:r w:rsidRPr="005D3347">
        <w:rPr>
          <w:i/>
        </w:rPr>
        <w:t xml:space="preserve">P. </w:t>
      </w:r>
      <w:proofErr w:type="spellStart"/>
      <w:r w:rsidRPr="005D3347">
        <w:rPr>
          <w:i/>
        </w:rPr>
        <w:t>tinctorum</w:t>
      </w:r>
      <w:proofErr w:type="spellEnd"/>
      <w:r w:rsidR="004F10F2" w:rsidRPr="005D3347">
        <w:t>, about</w:t>
      </w:r>
      <w:r w:rsidRPr="005D3347">
        <w:t xml:space="preserve"> 1 gm </w:t>
      </w:r>
      <w:r w:rsidR="004F10F2" w:rsidRPr="005D3347">
        <w:t xml:space="preserve">of defatted </w:t>
      </w:r>
      <w:r w:rsidRPr="005D3347">
        <w:t xml:space="preserve">sample </w:t>
      </w:r>
      <w:r w:rsidR="000107D6" w:rsidRPr="005D3347">
        <w:t xml:space="preserve">was dissolved in 3.5 ml of ice cold extraction buffer (175 </w:t>
      </w:r>
      <w:proofErr w:type="spellStart"/>
      <w:r w:rsidR="000107D6" w:rsidRPr="005D3347">
        <w:t>mM</w:t>
      </w:r>
      <w:proofErr w:type="spellEnd"/>
      <w:r w:rsidR="000107D6" w:rsidRPr="005D3347">
        <w:t xml:space="preserve"> </w:t>
      </w:r>
      <w:proofErr w:type="spellStart"/>
      <w:r w:rsidR="000107D6" w:rsidRPr="005D3347">
        <w:t>Tris</w:t>
      </w:r>
      <w:proofErr w:type="spellEnd"/>
      <w:r w:rsidR="000107D6" w:rsidRPr="005D3347">
        <w:t xml:space="preserve"> </w:t>
      </w:r>
      <w:proofErr w:type="spellStart"/>
      <w:r w:rsidR="000107D6" w:rsidRPr="005D3347">
        <w:t>HCl</w:t>
      </w:r>
      <w:proofErr w:type="spellEnd"/>
      <w:r w:rsidR="000107D6" w:rsidRPr="005D3347">
        <w:t xml:space="preserve">, 5% SDS, glycerol 15%, 0.07% 2-mercaptoethanol at pH 8.8), centrifuged </w:t>
      </w:r>
      <w:proofErr w:type="spellStart"/>
      <w:r w:rsidR="000107D6" w:rsidRPr="005D3347">
        <w:t>ans</w:t>
      </w:r>
      <w:proofErr w:type="spellEnd"/>
      <w:r w:rsidR="000107D6" w:rsidRPr="005D3347">
        <w:t xml:space="preserve"> the supernatant was collected and protein was precipitated using ice cold acetone containing </w:t>
      </w:r>
      <w:proofErr w:type="spellStart"/>
      <w:r w:rsidR="000107D6" w:rsidRPr="005D3347">
        <w:t>tricholoro</w:t>
      </w:r>
      <w:proofErr w:type="spellEnd"/>
      <w:r w:rsidR="000107D6" w:rsidRPr="005D3347">
        <w:t xml:space="preserve"> acetic acid (TCA) and 2-mercaptoethanol.  Stored at -20ᵒC and centrifuged and pellets were dried at room temperature and used as protein source. The amount of protein was estimated using Lowry’s method. </w:t>
      </w:r>
    </w:p>
    <w:p w:rsidR="00C5474B" w:rsidRPr="005D3347" w:rsidRDefault="00EF5841" w:rsidP="00C5474B">
      <w:pPr>
        <w:pStyle w:val="Normal1"/>
        <w:suppressLineNumbers/>
        <w:spacing w:after="0" w:line="360" w:lineRule="auto"/>
        <w:jc w:val="both"/>
        <w:rPr>
          <w:rFonts w:ascii="Times New Roman" w:eastAsia="Times New Roman" w:hAnsi="Times New Roman" w:cs="Times New Roman"/>
          <w:b/>
          <w:sz w:val="24"/>
          <w:lang w:val="en-GB"/>
        </w:rPr>
      </w:pPr>
      <w:proofErr w:type="gramStart"/>
      <w:r w:rsidRPr="005D3347">
        <w:rPr>
          <w:rFonts w:ascii="Times New Roman" w:eastAsia="Times New Roman" w:hAnsi="Times New Roman" w:cs="Times New Roman"/>
          <w:b/>
          <w:sz w:val="24"/>
          <w:lang w:val="en-GB"/>
        </w:rPr>
        <w:lastRenderedPageBreak/>
        <w:t xml:space="preserve">1.4 </w:t>
      </w:r>
      <w:r w:rsidR="00C5474B" w:rsidRPr="005D3347">
        <w:rPr>
          <w:rFonts w:ascii="Times New Roman" w:eastAsia="Times New Roman" w:hAnsi="Times New Roman" w:cs="Times New Roman"/>
          <w:b/>
          <w:sz w:val="24"/>
          <w:lang w:val="en-GB"/>
        </w:rPr>
        <w:t xml:space="preserve"> </w:t>
      </w:r>
      <w:r w:rsidR="00C5474B" w:rsidRPr="005D3347">
        <w:rPr>
          <w:rFonts w:ascii="Times New Roman" w:eastAsia="Times New Roman" w:hAnsi="Times New Roman" w:cs="Times New Roman"/>
          <w:b/>
          <w:i/>
          <w:sz w:val="24"/>
          <w:lang w:val="en-GB"/>
        </w:rPr>
        <w:t>Antioxidant</w:t>
      </w:r>
      <w:proofErr w:type="gramEnd"/>
      <w:r w:rsidR="00C5474B" w:rsidRPr="005D3347">
        <w:rPr>
          <w:rFonts w:ascii="Times New Roman" w:eastAsia="Times New Roman" w:hAnsi="Times New Roman" w:cs="Times New Roman"/>
          <w:b/>
          <w:i/>
          <w:sz w:val="24"/>
          <w:lang w:val="en-GB"/>
        </w:rPr>
        <w:t xml:space="preserve"> assays</w:t>
      </w:r>
    </w:p>
    <w:p w:rsidR="00EF5841" w:rsidRPr="005D3347" w:rsidRDefault="00EF5841" w:rsidP="00022291">
      <w:pPr>
        <w:pStyle w:val="NormalWeb"/>
        <w:spacing w:before="0" w:beforeAutospacing="0" w:after="0" w:afterAutospacing="0" w:line="360" w:lineRule="auto"/>
        <w:jc w:val="both"/>
        <w:rPr>
          <w:lang w:val="en-GB"/>
        </w:rPr>
      </w:pPr>
      <w:r w:rsidRPr="005D3347">
        <w:rPr>
          <w:lang w:val="en-GB"/>
        </w:rPr>
        <w:t xml:space="preserve">1.4.1 </w:t>
      </w:r>
      <w:r w:rsidRPr="005D3347">
        <w:rPr>
          <w:i/>
          <w:lang w:val="en-GB"/>
        </w:rPr>
        <w:t>Total phenolic content</w:t>
      </w:r>
    </w:p>
    <w:p w:rsidR="00022291" w:rsidRPr="005D3347" w:rsidRDefault="00C5474B" w:rsidP="00022291">
      <w:pPr>
        <w:pStyle w:val="NormalWeb"/>
        <w:spacing w:before="0" w:beforeAutospacing="0" w:after="0" w:afterAutospacing="0" w:line="360" w:lineRule="auto"/>
        <w:jc w:val="both"/>
      </w:pPr>
      <w:r w:rsidRPr="005D3347">
        <w:rPr>
          <w:lang w:val="en-GB"/>
        </w:rPr>
        <w:t xml:space="preserve">Total phenolic content (TPC) of PTEE was quantified using </w:t>
      </w:r>
      <w:proofErr w:type="spellStart"/>
      <w:r w:rsidRPr="005D3347">
        <w:rPr>
          <w:lang w:val="en-GB"/>
        </w:rPr>
        <w:t>Folins-Ciocalteau</w:t>
      </w:r>
      <w:proofErr w:type="spellEnd"/>
      <w:r w:rsidRPr="005D3347">
        <w:rPr>
          <w:lang w:val="en-GB"/>
        </w:rPr>
        <w:t xml:space="preserve"> phenol reagent method of Singleton and Rossi (1965)</w:t>
      </w:r>
      <w:r w:rsidR="00844911" w:rsidRPr="005D3347">
        <w:rPr>
          <w:lang w:val="en-GB"/>
        </w:rPr>
        <w:t xml:space="preserve"> with slight modifications. </w:t>
      </w:r>
      <w:r w:rsidR="00022291" w:rsidRPr="005D3347">
        <w:t>Briefly,</w:t>
      </w:r>
      <w:r w:rsidR="00844911" w:rsidRPr="005D3347">
        <w:t xml:space="preserve"> </w:t>
      </w:r>
      <w:r w:rsidR="00022291" w:rsidRPr="005D3347">
        <w:t>100 µl of</w:t>
      </w:r>
      <w:r w:rsidR="00844911" w:rsidRPr="005D3347">
        <w:t xml:space="preserve"> PTEE was added to 500µl </w:t>
      </w:r>
      <w:proofErr w:type="spellStart"/>
      <w:r w:rsidR="00844911" w:rsidRPr="005D3347">
        <w:t>Folin-ciocalteu</w:t>
      </w:r>
      <w:proofErr w:type="spellEnd"/>
      <w:r w:rsidR="00844911" w:rsidRPr="005D3347">
        <w:t xml:space="preserve"> reagent and kept at room temperature for 10min, then added </w:t>
      </w:r>
      <w:r w:rsidR="00022291" w:rsidRPr="005D3347">
        <w:t xml:space="preserve">1ml </w:t>
      </w:r>
      <w:r w:rsidR="0085266E" w:rsidRPr="005D3347">
        <w:t>Na</w:t>
      </w:r>
      <w:r w:rsidR="0085266E" w:rsidRPr="005D3347">
        <w:rPr>
          <w:vertAlign w:val="subscript"/>
        </w:rPr>
        <w:t>2</w:t>
      </w:r>
      <w:r w:rsidR="0085266E" w:rsidRPr="005D3347">
        <w:t>CO</w:t>
      </w:r>
      <w:r w:rsidR="0085266E" w:rsidRPr="005D3347">
        <w:rPr>
          <w:vertAlign w:val="subscript"/>
        </w:rPr>
        <w:t>3</w:t>
      </w:r>
      <w:r w:rsidR="00022291" w:rsidRPr="005D3347">
        <w:t xml:space="preserve">(20%) and incubated at ambient temperature </w:t>
      </w:r>
      <w:r w:rsidR="00844911" w:rsidRPr="005D3347">
        <w:t>for 90 min</w:t>
      </w:r>
      <w:r w:rsidR="00022291" w:rsidRPr="005D3347">
        <w:t>. The color developed was measured at 765 nm. Results are expressed as mg Gallic acid equivalents per g of extract (mg GAE/g).</w:t>
      </w:r>
      <w:bookmarkStart w:id="1" w:name="0.1__PictureBullets"/>
      <w:bookmarkEnd w:id="1"/>
    </w:p>
    <w:p w:rsidR="00EF5841" w:rsidRPr="005D3347" w:rsidRDefault="00C5474B" w:rsidP="00844911">
      <w:pPr>
        <w:autoSpaceDE w:val="0"/>
        <w:autoSpaceDN w:val="0"/>
        <w:adjustRightInd w:val="0"/>
        <w:spacing w:after="0" w:line="360" w:lineRule="auto"/>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r w:rsidR="00EF5841" w:rsidRPr="005D3347">
        <w:rPr>
          <w:rFonts w:ascii="Times New Roman" w:eastAsia="Times New Roman" w:hAnsi="Times New Roman" w:cs="Times New Roman"/>
          <w:sz w:val="24"/>
          <w:lang w:val="en-GB"/>
        </w:rPr>
        <w:t xml:space="preserve">1.4.2 </w:t>
      </w:r>
      <w:r w:rsidR="00EF5841" w:rsidRPr="005D3347">
        <w:rPr>
          <w:rFonts w:ascii="Times New Roman" w:eastAsia="Times New Roman" w:hAnsi="Times New Roman" w:cs="Times New Roman"/>
          <w:i/>
          <w:sz w:val="24"/>
          <w:lang w:val="en-GB"/>
        </w:rPr>
        <w:t>Total flavonoid content</w:t>
      </w:r>
      <w:r w:rsidR="00EF5841" w:rsidRPr="005D3347">
        <w:rPr>
          <w:rFonts w:ascii="Times New Roman" w:eastAsia="Times New Roman" w:hAnsi="Times New Roman" w:cs="Times New Roman"/>
          <w:sz w:val="24"/>
          <w:lang w:val="en-GB"/>
        </w:rPr>
        <w:t xml:space="preserve"> </w:t>
      </w:r>
    </w:p>
    <w:p w:rsidR="00EF5841" w:rsidRPr="005D3347" w:rsidRDefault="00C5474B" w:rsidP="00EF5841">
      <w:pPr>
        <w:pStyle w:val="NormalWeb"/>
        <w:spacing w:before="0" w:beforeAutospacing="0" w:after="0" w:afterAutospacing="0" w:line="360" w:lineRule="auto"/>
        <w:jc w:val="both"/>
      </w:pPr>
      <w:r w:rsidRPr="005D3347">
        <w:rPr>
          <w:lang w:val="en-GB"/>
        </w:rPr>
        <w:t xml:space="preserve">Total flavonoid content (TFC) was quantified according to the method of </w:t>
      </w:r>
      <w:proofErr w:type="spellStart"/>
      <w:r w:rsidRPr="005D3347">
        <w:rPr>
          <w:lang w:val="en-GB"/>
        </w:rPr>
        <w:t>Jia</w:t>
      </w:r>
      <w:proofErr w:type="spellEnd"/>
      <w:r w:rsidRPr="005D3347">
        <w:rPr>
          <w:lang w:val="en-GB"/>
        </w:rPr>
        <w:t xml:space="preserve"> et al. (1999)</w:t>
      </w:r>
      <w:r w:rsidR="00844911" w:rsidRPr="005D3347">
        <w:t xml:space="preserve">. 0.5 mL PTEE, 100 </w:t>
      </w:r>
      <w:proofErr w:type="spellStart"/>
      <w:r w:rsidR="00844911" w:rsidRPr="005D3347">
        <w:t>μL</w:t>
      </w:r>
      <w:proofErr w:type="spellEnd"/>
      <w:r w:rsidR="00844911" w:rsidRPr="005D3347">
        <w:t xml:space="preserve"> aluminum chloride</w:t>
      </w:r>
      <w:r w:rsidR="00EF5841" w:rsidRPr="005D3347">
        <w:t xml:space="preserve"> (10%)</w:t>
      </w:r>
      <w:r w:rsidR="00844911" w:rsidRPr="005D3347">
        <w:t xml:space="preserve">, 100 </w:t>
      </w:r>
      <w:proofErr w:type="spellStart"/>
      <w:r w:rsidR="00844911" w:rsidRPr="005D3347">
        <w:t>μL</w:t>
      </w:r>
      <w:proofErr w:type="spellEnd"/>
      <w:r w:rsidR="00EF5841" w:rsidRPr="005D3347">
        <w:t xml:space="preserve"> </w:t>
      </w:r>
      <w:r w:rsidR="00844911" w:rsidRPr="005D3347">
        <w:t>potassium acetate</w:t>
      </w:r>
      <w:r w:rsidR="00EF5841" w:rsidRPr="005D3347">
        <w:t xml:space="preserve"> (1M) and 2.3 mL </w:t>
      </w:r>
      <w:r w:rsidR="00844911" w:rsidRPr="005D3347">
        <w:t xml:space="preserve">distilled water were incubated at room temperature for 30 min. The absorbance </w:t>
      </w:r>
      <w:r w:rsidR="00EF5841" w:rsidRPr="005D3347">
        <w:t>was measured at 415 nm</w:t>
      </w:r>
      <w:r w:rsidR="00844911" w:rsidRPr="005D3347">
        <w:t>.</w:t>
      </w:r>
      <w:r w:rsidR="00EF5841" w:rsidRPr="005D3347">
        <w:t xml:space="preserve"> Results are expressed as mg </w:t>
      </w:r>
      <w:proofErr w:type="spellStart"/>
      <w:r w:rsidR="00EF5841" w:rsidRPr="005D3347">
        <w:t>quercetin</w:t>
      </w:r>
      <w:proofErr w:type="spellEnd"/>
      <w:r w:rsidR="00EF5841" w:rsidRPr="005D3347">
        <w:t xml:space="preserve"> equivalents per g of extract (mg GAE/g).</w:t>
      </w:r>
    </w:p>
    <w:p w:rsidR="00C5474B" w:rsidRPr="005D3347" w:rsidRDefault="00EF5841" w:rsidP="00844911">
      <w:pPr>
        <w:autoSpaceDE w:val="0"/>
        <w:autoSpaceDN w:val="0"/>
        <w:adjustRightInd w:val="0"/>
        <w:spacing w:after="0" w:line="360" w:lineRule="auto"/>
        <w:rPr>
          <w:rFonts w:ascii="Times New Roman" w:hAnsi="Times New Roman" w:cs="Times New Roman"/>
          <w:sz w:val="24"/>
          <w:szCs w:val="24"/>
        </w:rPr>
      </w:pPr>
      <w:r w:rsidRPr="005D3347">
        <w:rPr>
          <w:rFonts w:ascii="Times New Roman" w:hAnsi="Times New Roman" w:cs="Times New Roman"/>
          <w:sz w:val="24"/>
          <w:szCs w:val="24"/>
        </w:rPr>
        <w:t xml:space="preserve">1.4.3 </w:t>
      </w:r>
      <w:r w:rsidRPr="005D3347">
        <w:rPr>
          <w:rFonts w:ascii="Times New Roman" w:hAnsi="Times New Roman" w:cs="Times New Roman"/>
          <w:i/>
          <w:sz w:val="24"/>
          <w:szCs w:val="24"/>
        </w:rPr>
        <w:t>DPPH radical scavenging assay</w:t>
      </w:r>
    </w:p>
    <w:p w:rsidR="00022291" w:rsidRPr="005D3347" w:rsidRDefault="00022291" w:rsidP="00022291">
      <w:pPr>
        <w:autoSpaceDE w:val="0"/>
        <w:autoSpaceDN w:val="0"/>
        <w:adjustRightInd w:val="0"/>
        <w:spacing w:after="0" w:line="360" w:lineRule="auto"/>
        <w:ind w:firstLine="720"/>
        <w:jc w:val="both"/>
        <w:rPr>
          <w:rFonts w:ascii="Times New Roman" w:hAnsi="Times New Roman" w:cs="Times New Roman"/>
          <w:sz w:val="24"/>
          <w:szCs w:val="24"/>
        </w:rPr>
      </w:pPr>
      <w:r w:rsidRPr="005D3347">
        <w:rPr>
          <w:rFonts w:ascii="Times New Roman" w:hAnsi="Times New Roman" w:cs="Times New Roman"/>
          <w:sz w:val="24"/>
          <w:szCs w:val="24"/>
        </w:rPr>
        <w:t xml:space="preserve">The antioxidant activity of PTEE was determined according to the method of Shimada et al. (1992). Briefly, a 3mL reaction mixture contained 2.9mL of </w:t>
      </w:r>
      <w:proofErr w:type="spellStart"/>
      <w:r w:rsidRPr="005D3347">
        <w:rPr>
          <w:rFonts w:ascii="Times New Roman" w:hAnsi="Times New Roman" w:cs="Times New Roman"/>
          <w:sz w:val="24"/>
          <w:szCs w:val="24"/>
        </w:rPr>
        <w:t>methanolic</w:t>
      </w:r>
      <w:proofErr w:type="spellEnd"/>
      <w:r w:rsidRPr="005D3347">
        <w:rPr>
          <w:rFonts w:ascii="Times New Roman" w:hAnsi="Times New Roman" w:cs="Times New Roman"/>
          <w:sz w:val="24"/>
          <w:szCs w:val="24"/>
        </w:rPr>
        <w:t xml:space="preserve"> DPPH˙ and 0.1mL of extract at various concentrations. In the control, methanol was used in the place of the sample. When DPPH˙ reacts with an antioxidant compound that can donate hydrogen, it gets reduced, and the resulting decrease in absorbance at 517nm after 30 min was recorded using a UV–Vis spectrophotometer (UV-2450PC, Shimadzu, Japan).</w:t>
      </w:r>
    </w:p>
    <w:p w:rsidR="00EF5841" w:rsidRPr="005D3347" w:rsidRDefault="00EF5841" w:rsidP="00EF5841">
      <w:pPr>
        <w:autoSpaceDE w:val="0"/>
        <w:autoSpaceDN w:val="0"/>
        <w:adjustRightInd w:val="0"/>
        <w:spacing w:after="0" w:line="360" w:lineRule="auto"/>
        <w:jc w:val="both"/>
        <w:rPr>
          <w:rFonts w:ascii="Times New Roman" w:hAnsi="Times New Roman" w:cs="Times New Roman"/>
          <w:sz w:val="24"/>
          <w:szCs w:val="24"/>
        </w:rPr>
      </w:pPr>
      <w:r w:rsidRPr="005D3347">
        <w:rPr>
          <w:rFonts w:ascii="Times New Roman" w:hAnsi="Times New Roman" w:cs="Times New Roman"/>
          <w:sz w:val="24"/>
          <w:szCs w:val="24"/>
        </w:rPr>
        <w:t xml:space="preserve">1.4.4 </w:t>
      </w:r>
      <w:r w:rsidRPr="005D3347">
        <w:rPr>
          <w:rFonts w:ascii="Times New Roman" w:hAnsi="Times New Roman" w:cs="Times New Roman"/>
          <w:i/>
          <w:sz w:val="24"/>
          <w:szCs w:val="24"/>
        </w:rPr>
        <w:t>ABTS radical scavenging assay</w:t>
      </w:r>
    </w:p>
    <w:p w:rsidR="00022291" w:rsidRPr="005D3347" w:rsidRDefault="00022291" w:rsidP="0002229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D3347">
        <w:rPr>
          <w:rFonts w:ascii="Times New Roman" w:hAnsi="Times New Roman" w:cs="Times New Roman"/>
          <w:color w:val="000000"/>
          <w:sz w:val="24"/>
          <w:szCs w:val="24"/>
        </w:rPr>
        <w:t xml:space="preserve">ABTS </w:t>
      </w:r>
      <w:proofErr w:type="spellStart"/>
      <w:r w:rsidRPr="005D3347">
        <w:rPr>
          <w:rFonts w:ascii="Times New Roman" w:hAnsi="Times New Roman" w:cs="Times New Roman"/>
          <w:color w:val="000000"/>
          <w:sz w:val="24"/>
          <w:szCs w:val="24"/>
        </w:rPr>
        <w:t>decolorisation</w:t>
      </w:r>
      <w:proofErr w:type="spellEnd"/>
      <w:r w:rsidRPr="005D3347">
        <w:rPr>
          <w:rFonts w:ascii="Times New Roman" w:hAnsi="Times New Roman" w:cs="Times New Roman"/>
          <w:color w:val="000000"/>
          <w:sz w:val="24"/>
          <w:szCs w:val="24"/>
        </w:rPr>
        <w:t xml:space="preserve"> assay </w:t>
      </w:r>
      <w:r w:rsidRPr="005D3347">
        <w:rPr>
          <w:rFonts w:ascii="Times New Roman" w:hAnsi="Times New Roman" w:cs="Times New Roman"/>
          <w:sz w:val="24"/>
          <w:szCs w:val="24"/>
        </w:rPr>
        <w:t>(</w:t>
      </w:r>
      <w:r w:rsidR="00884DAB" w:rsidRPr="005D3347">
        <w:rPr>
          <w:rFonts w:ascii="Times New Roman" w:hAnsi="Times New Roman" w:cs="Times New Roman"/>
          <w:sz w:val="24"/>
          <w:szCs w:val="24"/>
        </w:rPr>
        <w:t>Re et al.</w:t>
      </w:r>
      <w:r w:rsidRPr="005D3347">
        <w:rPr>
          <w:rFonts w:ascii="Times New Roman" w:hAnsi="Times New Roman" w:cs="Times New Roman"/>
          <w:sz w:val="24"/>
          <w:szCs w:val="24"/>
        </w:rPr>
        <w:t xml:space="preserve"> 1999)</w:t>
      </w:r>
      <w:r w:rsidRPr="005D3347">
        <w:rPr>
          <w:rFonts w:ascii="Times New Roman" w:hAnsi="Times New Roman" w:cs="Times New Roman"/>
          <w:color w:val="000000"/>
          <w:sz w:val="24"/>
          <w:szCs w:val="24"/>
        </w:rPr>
        <w:t xml:space="preserve"> involves the generation of ABTS</w:t>
      </w:r>
      <w:r w:rsidRPr="005D3347">
        <w:rPr>
          <w:rFonts w:ascii="Times New Roman" w:hAnsi="Times New Roman" w:cs="Times New Roman"/>
          <w:color w:val="000000"/>
          <w:sz w:val="24"/>
          <w:szCs w:val="24"/>
          <w:vertAlign w:val="superscript"/>
        </w:rPr>
        <w:t>+</w:t>
      </w:r>
      <w:r w:rsidRPr="005D3347">
        <w:rPr>
          <w:rFonts w:ascii="Times New Roman" w:hAnsi="Times New Roman" w:cs="Times New Roman"/>
          <w:color w:val="000000"/>
          <w:sz w:val="24"/>
          <w:szCs w:val="24"/>
        </w:rPr>
        <w:t xml:space="preserve">• </w:t>
      </w:r>
      <w:proofErr w:type="spellStart"/>
      <w:r w:rsidRPr="005D3347">
        <w:rPr>
          <w:rFonts w:ascii="Times New Roman" w:hAnsi="Times New Roman" w:cs="Times New Roman"/>
          <w:color w:val="000000"/>
          <w:sz w:val="24"/>
          <w:szCs w:val="24"/>
        </w:rPr>
        <w:t>chromophore</w:t>
      </w:r>
      <w:proofErr w:type="spellEnd"/>
      <w:r w:rsidRPr="005D3347">
        <w:rPr>
          <w:rFonts w:ascii="Times New Roman" w:hAnsi="Times New Roman" w:cs="Times New Roman"/>
          <w:color w:val="000000"/>
          <w:sz w:val="24"/>
          <w:szCs w:val="24"/>
        </w:rPr>
        <w:t xml:space="preserve"> by the oxidation of ABTS with potassium </w:t>
      </w:r>
      <w:proofErr w:type="spellStart"/>
      <w:r w:rsidRPr="005D3347">
        <w:rPr>
          <w:rFonts w:ascii="Times New Roman" w:hAnsi="Times New Roman" w:cs="Times New Roman"/>
          <w:color w:val="000000"/>
          <w:sz w:val="24"/>
          <w:szCs w:val="24"/>
        </w:rPr>
        <w:t>persulfate</w:t>
      </w:r>
      <w:proofErr w:type="spellEnd"/>
      <w:r w:rsidRPr="005D3347">
        <w:rPr>
          <w:rFonts w:ascii="Times New Roman" w:hAnsi="Times New Roman" w:cs="Times New Roman"/>
          <w:color w:val="000000"/>
          <w:sz w:val="24"/>
          <w:szCs w:val="24"/>
        </w:rPr>
        <w:t xml:space="preserve">. It is applicable for both hydrophilic and lipophilic compounds. The ABTS radical </w:t>
      </w:r>
      <w:proofErr w:type="spellStart"/>
      <w:r w:rsidRPr="005D3347">
        <w:rPr>
          <w:rFonts w:ascii="Times New Roman" w:hAnsi="Times New Roman" w:cs="Times New Roman"/>
          <w:color w:val="000000"/>
          <w:sz w:val="24"/>
          <w:szCs w:val="24"/>
        </w:rPr>
        <w:t>cation</w:t>
      </w:r>
      <w:proofErr w:type="spellEnd"/>
      <w:r w:rsidRPr="005D3347">
        <w:rPr>
          <w:rFonts w:ascii="Times New Roman" w:hAnsi="Times New Roman" w:cs="Times New Roman"/>
          <w:color w:val="000000"/>
          <w:sz w:val="24"/>
          <w:szCs w:val="24"/>
        </w:rPr>
        <w:t xml:space="preserve"> (ABTS+•) was produced by</w:t>
      </w:r>
    </w:p>
    <w:p w:rsidR="00022291" w:rsidRPr="005D3347" w:rsidRDefault="00022291" w:rsidP="0002229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D3347">
        <w:rPr>
          <w:rFonts w:ascii="Times New Roman" w:hAnsi="Times New Roman" w:cs="Times New Roman"/>
          <w:color w:val="000000"/>
          <w:sz w:val="24"/>
          <w:szCs w:val="24"/>
        </w:rPr>
        <w:t>reacting</w:t>
      </w:r>
      <w:proofErr w:type="gramEnd"/>
      <w:r w:rsidRPr="005D3347">
        <w:rPr>
          <w:rFonts w:ascii="Times New Roman" w:hAnsi="Times New Roman" w:cs="Times New Roman"/>
          <w:color w:val="000000"/>
          <w:sz w:val="24"/>
          <w:szCs w:val="24"/>
        </w:rPr>
        <w:t xml:space="preserve"> 7 </w:t>
      </w:r>
      <w:proofErr w:type="spellStart"/>
      <w:r w:rsidRPr="005D3347">
        <w:rPr>
          <w:rFonts w:ascii="Times New Roman" w:hAnsi="Times New Roman" w:cs="Times New Roman"/>
          <w:color w:val="000000"/>
          <w:sz w:val="24"/>
          <w:szCs w:val="24"/>
        </w:rPr>
        <w:t>mM</w:t>
      </w:r>
      <w:proofErr w:type="spellEnd"/>
      <w:r w:rsidRPr="005D3347">
        <w:rPr>
          <w:rFonts w:ascii="Times New Roman" w:hAnsi="Times New Roman" w:cs="Times New Roman"/>
          <w:color w:val="000000"/>
          <w:sz w:val="24"/>
          <w:szCs w:val="24"/>
        </w:rPr>
        <w:t xml:space="preserve"> stock solution of ABTS with 2.45 </w:t>
      </w:r>
      <w:proofErr w:type="spellStart"/>
      <w:r w:rsidRPr="005D3347">
        <w:rPr>
          <w:rFonts w:ascii="Times New Roman" w:hAnsi="Times New Roman" w:cs="Times New Roman"/>
          <w:color w:val="000000"/>
          <w:sz w:val="24"/>
          <w:szCs w:val="24"/>
        </w:rPr>
        <w:t>mM</w:t>
      </w:r>
      <w:proofErr w:type="spellEnd"/>
      <w:r w:rsidRPr="005D3347">
        <w:rPr>
          <w:rFonts w:ascii="Times New Roman" w:hAnsi="Times New Roman" w:cs="Times New Roman"/>
          <w:color w:val="000000"/>
          <w:sz w:val="24"/>
          <w:szCs w:val="24"/>
        </w:rPr>
        <w:t xml:space="preserve"> potassium </w:t>
      </w:r>
      <w:proofErr w:type="spellStart"/>
      <w:r w:rsidRPr="005D3347">
        <w:rPr>
          <w:rFonts w:ascii="Times New Roman" w:hAnsi="Times New Roman" w:cs="Times New Roman"/>
          <w:color w:val="000000"/>
          <w:sz w:val="24"/>
          <w:szCs w:val="24"/>
        </w:rPr>
        <w:t>persulfate</w:t>
      </w:r>
      <w:proofErr w:type="spellEnd"/>
      <w:r w:rsidRPr="005D3347">
        <w:rPr>
          <w:rFonts w:ascii="Times New Roman" w:hAnsi="Times New Roman" w:cs="Times New Roman"/>
          <w:color w:val="000000"/>
          <w:sz w:val="24"/>
          <w:szCs w:val="24"/>
        </w:rPr>
        <w:t xml:space="preserve"> and allowing the mixture to stand in the dark for at least </w:t>
      </w:r>
      <w:r w:rsidR="00884DAB" w:rsidRPr="005D3347">
        <w:rPr>
          <w:rFonts w:ascii="Times New Roman" w:hAnsi="Times New Roman" w:cs="Times New Roman"/>
          <w:color w:val="000000"/>
          <w:sz w:val="24"/>
          <w:szCs w:val="24"/>
        </w:rPr>
        <w:t>1</w:t>
      </w:r>
      <w:r w:rsidRPr="005D3347">
        <w:rPr>
          <w:rFonts w:ascii="Times New Roman" w:hAnsi="Times New Roman" w:cs="Times New Roman"/>
          <w:color w:val="000000"/>
          <w:sz w:val="24"/>
          <w:szCs w:val="24"/>
        </w:rPr>
        <w:t>6 h at room temperature before use. The ABTS+• solution was diluted to an absorbance of 0.7 ± 0.05 at 734 nm (</w:t>
      </w:r>
      <w:r w:rsidRPr="005D3347">
        <w:rPr>
          <w:rFonts w:ascii="Times New Roman" w:hAnsi="Times New Roman" w:cs="Times New Roman"/>
          <w:sz w:val="24"/>
          <w:szCs w:val="24"/>
        </w:rPr>
        <w:t>UV-2450PC; Shimadzu, Kyoto, Japan</w:t>
      </w:r>
      <w:r w:rsidRPr="005D3347">
        <w:rPr>
          <w:rFonts w:ascii="Times New Roman" w:hAnsi="Times New Roman" w:cs="Times New Roman"/>
          <w:color w:val="000000"/>
          <w:sz w:val="24"/>
          <w:szCs w:val="24"/>
        </w:rPr>
        <w:t>). Absorbance was measured 7 min after the initial mixing of different concentrations of the PTEE with 1 ml of ABTS+• solution at 734 nm.</w:t>
      </w:r>
    </w:p>
    <w:p w:rsidR="00884DAB" w:rsidRPr="005D3347" w:rsidRDefault="00884DAB" w:rsidP="00884DAB">
      <w:pPr>
        <w:autoSpaceDE w:val="0"/>
        <w:autoSpaceDN w:val="0"/>
        <w:adjustRightInd w:val="0"/>
        <w:spacing w:after="0" w:line="360" w:lineRule="auto"/>
        <w:jc w:val="both"/>
        <w:rPr>
          <w:rFonts w:ascii="Times New Roman" w:hAnsi="Times New Roman" w:cs="Times New Roman"/>
          <w:color w:val="000000"/>
          <w:sz w:val="24"/>
          <w:szCs w:val="24"/>
        </w:rPr>
      </w:pPr>
      <w:r w:rsidRPr="005D3347">
        <w:rPr>
          <w:rFonts w:ascii="Times New Roman" w:hAnsi="Times New Roman" w:cs="Times New Roman"/>
          <w:color w:val="000000"/>
          <w:sz w:val="24"/>
          <w:szCs w:val="24"/>
        </w:rPr>
        <w:t xml:space="preserve">1.4.5 </w:t>
      </w:r>
      <w:r w:rsidRPr="005D3347">
        <w:rPr>
          <w:rFonts w:ascii="Times New Roman" w:hAnsi="Times New Roman" w:cs="Times New Roman"/>
          <w:i/>
          <w:color w:val="000000"/>
          <w:sz w:val="24"/>
          <w:szCs w:val="24"/>
        </w:rPr>
        <w:t>Hydroxyl radical scavenging activity</w:t>
      </w:r>
      <w:r w:rsidRPr="005D3347">
        <w:rPr>
          <w:rFonts w:ascii="Times New Roman" w:hAnsi="Times New Roman" w:cs="Times New Roman"/>
          <w:color w:val="000000"/>
          <w:sz w:val="24"/>
          <w:szCs w:val="24"/>
        </w:rPr>
        <w:t xml:space="preserve"> </w:t>
      </w:r>
    </w:p>
    <w:p w:rsidR="00884DAB" w:rsidRPr="005D3347" w:rsidRDefault="00884DAB" w:rsidP="00884DAB">
      <w:pPr>
        <w:autoSpaceDE w:val="0"/>
        <w:autoSpaceDN w:val="0"/>
        <w:adjustRightInd w:val="0"/>
        <w:spacing w:after="0" w:line="360" w:lineRule="auto"/>
        <w:jc w:val="both"/>
        <w:rPr>
          <w:rFonts w:ascii="Times New Roman" w:hAnsi="Times New Roman" w:cs="Times New Roman"/>
          <w:sz w:val="24"/>
          <w:szCs w:val="24"/>
        </w:rPr>
      </w:pPr>
      <w:r w:rsidRPr="005D3347">
        <w:rPr>
          <w:rFonts w:ascii="Times New Roman" w:hAnsi="Times New Roman" w:cs="Times New Roman"/>
          <w:sz w:val="24"/>
          <w:szCs w:val="24"/>
        </w:rPr>
        <w:t xml:space="preserve">The hydroxyl radical scavenging activity of PTEE was measured by the </w:t>
      </w:r>
      <w:proofErr w:type="spellStart"/>
      <w:r w:rsidRPr="005D3347">
        <w:rPr>
          <w:rFonts w:ascii="Times New Roman" w:hAnsi="Times New Roman" w:cs="Times New Roman"/>
          <w:sz w:val="24"/>
          <w:szCs w:val="24"/>
        </w:rPr>
        <w:t>deoxyribose</w:t>
      </w:r>
      <w:proofErr w:type="spellEnd"/>
      <w:r w:rsidRPr="005D3347">
        <w:rPr>
          <w:rFonts w:ascii="Times New Roman" w:hAnsi="Times New Roman" w:cs="Times New Roman"/>
          <w:sz w:val="24"/>
          <w:szCs w:val="24"/>
        </w:rPr>
        <w:t xml:space="preserve"> method (</w:t>
      </w:r>
      <w:proofErr w:type="spellStart"/>
      <w:r w:rsidRPr="005D3347">
        <w:rPr>
          <w:rFonts w:ascii="Times New Roman" w:hAnsi="Times New Roman" w:cs="Times New Roman"/>
          <w:sz w:val="24"/>
          <w:szCs w:val="24"/>
        </w:rPr>
        <w:t>Halliwell</w:t>
      </w:r>
      <w:proofErr w:type="spellEnd"/>
      <w:r w:rsidRPr="005D3347">
        <w:rPr>
          <w:rFonts w:ascii="Times New Roman" w:hAnsi="Times New Roman" w:cs="Times New Roman"/>
          <w:sz w:val="24"/>
          <w:szCs w:val="24"/>
        </w:rPr>
        <w:t xml:space="preserve"> et al. 1987) and compared with that of </w:t>
      </w:r>
      <w:proofErr w:type="spellStart"/>
      <w:r w:rsidRPr="005D3347">
        <w:rPr>
          <w:rFonts w:ascii="Times New Roman" w:hAnsi="Times New Roman" w:cs="Times New Roman"/>
          <w:sz w:val="24"/>
          <w:szCs w:val="24"/>
        </w:rPr>
        <w:t>catechin</w:t>
      </w:r>
      <w:proofErr w:type="spellEnd"/>
      <w:r w:rsidRPr="005D3347">
        <w:rPr>
          <w:rFonts w:ascii="Times New Roman" w:hAnsi="Times New Roman" w:cs="Times New Roman"/>
          <w:sz w:val="24"/>
          <w:szCs w:val="24"/>
        </w:rPr>
        <w:t xml:space="preserve">. The reaction mixture containing PTEE at various concentrations, </w:t>
      </w:r>
      <w:proofErr w:type="spellStart"/>
      <w:r w:rsidRPr="005D3347">
        <w:rPr>
          <w:rFonts w:ascii="Times New Roman" w:hAnsi="Times New Roman" w:cs="Times New Roman"/>
          <w:sz w:val="24"/>
          <w:szCs w:val="24"/>
        </w:rPr>
        <w:t>deoxyribose</w:t>
      </w:r>
      <w:proofErr w:type="spellEnd"/>
      <w:r w:rsidRPr="005D3347">
        <w:rPr>
          <w:rFonts w:ascii="Times New Roman" w:hAnsi="Times New Roman" w:cs="Times New Roman"/>
          <w:sz w:val="24"/>
          <w:szCs w:val="24"/>
        </w:rPr>
        <w:t xml:space="preserve"> (3.75mM), H</w:t>
      </w:r>
      <w:r w:rsidRPr="005D3347">
        <w:rPr>
          <w:rFonts w:ascii="Times New Roman" w:hAnsi="Times New Roman" w:cs="Times New Roman"/>
          <w:sz w:val="24"/>
          <w:szCs w:val="24"/>
          <w:vertAlign w:val="subscript"/>
        </w:rPr>
        <w:t>2</w:t>
      </w:r>
      <w:r w:rsidRPr="005D3347">
        <w:rPr>
          <w:rFonts w:ascii="Times New Roman" w:hAnsi="Times New Roman" w:cs="Times New Roman"/>
          <w:sz w:val="24"/>
          <w:szCs w:val="24"/>
        </w:rPr>
        <w:t>O</w:t>
      </w:r>
      <w:r w:rsidRPr="005D3347">
        <w:rPr>
          <w:rFonts w:ascii="Times New Roman" w:hAnsi="Times New Roman" w:cs="Times New Roman"/>
          <w:sz w:val="24"/>
          <w:szCs w:val="24"/>
          <w:vertAlign w:val="subscript"/>
        </w:rPr>
        <w:t>2</w:t>
      </w:r>
      <w:r w:rsidRPr="005D3347">
        <w:rPr>
          <w:rFonts w:ascii="Times New Roman" w:hAnsi="Times New Roman" w:cs="Times New Roman"/>
          <w:sz w:val="24"/>
          <w:szCs w:val="24"/>
        </w:rPr>
        <w:t xml:space="preserve"> (1mM), potassium phosphate buffer (20mM, pH 7.4), FeCl3 (0.1mM), EDTA (0.1mM) and ascorbic acid (0.1mM) was </w:t>
      </w:r>
      <w:r w:rsidRPr="005D3347">
        <w:rPr>
          <w:rFonts w:ascii="Times New Roman" w:hAnsi="Times New Roman" w:cs="Times New Roman"/>
          <w:sz w:val="24"/>
          <w:szCs w:val="24"/>
        </w:rPr>
        <w:lastRenderedPageBreak/>
        <w:t>incubated in a water bath at 37</w:t>
      </w:r>
      <w:r w:rsidRPr="005D3347">
        <w:rPr>
          <w:rFonts w:ascii="Times New Roman" w:hAnsi="Times New Roman" w:cs="Times New Roman"/>
          <w:sz w:val="24"/>
          <w:szCs w:val="24"/>
          <w:vertAlign w:val="superscript"/>
        </w:rPr>
        <w:t>ᵒ</w:t>
      </w:r>
      <w:r w:rsidRPr="005D3347">
        <w:rPr>
          <w:rFonts w:ascii="Times New Roman" w:hAnsi="Times New Roman" w:cs="Times New Roman"/>
          <w:sz w:val="24"/>
          <w:szCs w:val="24"/>
        </w:rPr>
        <w:t xml:space="preserve">C for 1h. The extent of </w:t>
      </w:r>
      <w:proofErr w:type="spellStart"/>
      <w:r w:rsidRPr="005D3347">
        <w:rPr>
          <w:rFonts w:ascii="Times New Roman" w:hAnsi="Times New Roman" w:cs="Times New Roman"/>
          <w:sz w:val="24"/>
          <w:szCs w:val="24"/>
        </w:rPr>
        <w:t>deoxyribose</w:t>
      </w:r>
      <w:proofErr w:type="spellEnd"/>
      <w:r w:rsidRPr="005D3347">
        <w:rPr>
          <w:rFonts w:ascii="Times New Roman" w:hAnsi="Times New Roman" w:cs="Times New Roman"/>
          <w:sz w:val="24"/>
          <w:szCs w:val="24"/>
        </w:rPr>
        <w:t xml:space="preserve"> degradation was measured by adding TBA (1%) and TCA (2%) and heated in a water bath at 100</w:t>
      </w:r>
      <w:r w:rsidRPr="005D3347">
        <w:rPr>
          <w:rFonts w:ascii="Times New Roman" w:hAnsi="Times New Roman" w:cs="Times New Roman"/>
          <w:sz w:val="24"/>
          <w:szCs w:val="24"/>
          <w:vertAlign w:val="superscript"/>
        </w:rPr>
        <w:t>ᵒ</w:t>
      </w:r>
      <w:r w:rsidRPr="005D3347">
        <w:rPr>
          <w:rFonts w:ascii="Times New Roman" w:hAnsi="Times New Roman" w:cs="Times New Roman"/>
          <w:sz w:val="24"/>
          <w:szCs w:val="24"/>
        </w:rPr>
        <w:t xml:space="preserve">C for 20 min. The absorbance of the resulting solution was measured </w:t>
      </w:r>
      <w:proofErr w:type="spellStart"/>
      <w:r w:rsidRPr="005D3347">
        <w:rPr>
          <w:rFonts w:ascii="Times New Roman" w:hAnsi="Times New Roman" w:cs="Times New Roman"/>
          <w:sz w:val="24"/>
          <w:szCs w:val="24"/>
        </w:rPr>
        <w:t>spectrophotometrically</w:t>
      </w:r>
      <w:proofErr w:type="spellEnd"/>
      <w:r w:rsidRPr="005D3347">
        <w:rPr>
          <w:rFonts w:ascii="Times New Roman" w:hAnsi="Times New Roman" w:cs="Times New Roman"/>
          <w:sz w:val="24"/>
          <w:szCs w:val="24"/>
        </w:rPr>
        <w:t xml:space="preserve"> at 532 nm (UV-2450PC; Shimadzu, Kyoto, Japan). </w:t>
      </w:r>
    </w:p>
    <w:p w:rsidR="00884DAB" w:rsidRPr="005D3347" w:rsidRDefault="00884DAB" w:rsidP="00022291">
      <w:pPr>
        <w:autoSpaceDE w:val="0"/>
        <w:autoSpaceDN w:val="0"/>
        <w:adjustRightInd w:val="0"/>
        <w:spacing w:after="0" w:line="360" w:lineRule="auto"/>
        <w:jc w:val="both"/>
        <w:rPr>
          <w:rFonts w:ascii="Times New Roman" w:hAnsi="Times New Roman" w:cs="Times New Roman"/>
          <w:color w:val="000000"/>
          <w:sz w:val="24"/>
          <w:szCs w:val="24"/>
        </w:rPr>
      </w:pPr>
      <w:r w:rsidRPr="005D3347">
        <w:rPr>
          <w:rFonts w:ascii="Times New Roman" w:hAnsi="Times New Roman" w:cs="Times New Roman"/>
          <w:color w:val="000000"/>
          <w:sz w:val="24"/>
          <w:szCs w:val="24"/>
        </w:rPr>
        <w:t xml:space="preserve">1.4.6 </w:t>
      </w:r>
      <w:r w:rsidRPr="005D3347">
        <w:rPr>
          <w:rFonts w:ascii="Times New Roman" w:hAnsi="Times New Roman" w:cs="Times New Roman"/>
          <w:i/>
          <w:color w:val="000000"/>
          <w:sz w:val="24"/>
          <w:szCs w:val="24"/>
        </w:rPr>
        <w:t>Superoxide radical scavenging activity</w:t>
      </w:r>
    </w:p>
    <w:p w:rsidR="00022291" w:rsidRPr="005D3347" w:rsidRDefault="00022291" w:rsidP="00022291">
      <w:pPr>
        <w:autoSpaceDE w:val="0"/>
        <w:autoSpaceDN w:val="0"/>
        <w:adjustRightInd w:val="0"/>
        <w:spacing w:after="0" w:line="360" w:lineRule="auto"/>
        <w:ind w:firstLine="720"/>
        <w:jc w:val="both"/>
        <w:rPr>
          <w:rFonts w:ascii="Times New Roman" w:hAnsi="Times New Roman" w:cs="Times New Roman"/>
          <w:sz w:val="24"/>
          <w:szCs w:val="24"/>
        </w:rPr>
      </w:pPr>
      <w:r w:rsidRPr="005D3347">
        <w:rPr>
          <w:rFonts w:ascii="Times New Roman" w:hAnsi="Times New Roman" w:cs="Times New Roman"/>
          <w:sz w:val="24"/>
          <w:szCs w:val="24"/>
        </w:rPr>
        <w:t xml:space="preserve">Superoxide anions were generated in a non-enzymatic </w:t>
      </w:r>
      <w:proofErr w:type="spellStart"/>
      <w:r w:rsidRPr="005D3347">
        <w:rPr>
          <w:rFonts w:ascii="Times New Roman" w:hAnsi="Times New Roman" w:cs="Times New Roman"/>
          <w:sz w:val="24"/>
          <w:szCs w:val="24"/>
        </w:rPr>
        <w:t>phenazine</w:t>
      </w:r>
      <w:proofErr w:type="spellEnd"/>
      <w:r w:rsidRPr="005D3347">
        <w:rPr>
          <w:rFonts w:ascii="Times New Roman" w:hAnsi="Times New Roman" w:cs="Times New Roman"/>
          <w:sz w:val="24"/>
          <w:szCs w:val="24"/>
        </w:rPr>
        <w:t xml:space="preserve"> </w:t>
      </w:r>
      <w:proofErr w:type="spellStart"/>
      <w:r w:rsidRPr="005D3347">
        <w:rPr>
          <w:rFonts w:ascii="Times New Roman" w:hAnsi="Times New Roman" w:cs="Times New Roman"/>
          <w:sz w:val="24"/>
          <w:szCs w:val="24"/>
        </w:rPr>
        <w:t>methosulphate</w:t>
      </w:r>
      <w:proofErr w:type="spellEnd"/>
      <w:r w:rsidRPr="005D3347">
        <w:rPr>
          <w:rFonts w:ascii="Times New Roman" w:hAnsi="Times New Roman" w:cs="Times New Roman"/>
          <w:sz w:val="24"/>
          <w:szCs w:val="24"/>
        </w:rPr>
        <w:t xml:space="preserve"> (PMS)–NADH system through the reactio</w:t>
      </w:r>
      <w:r w:rsidR="00884DAB" w:rsidRPr="005D3347">
        <w:rPr>
          <w:rFonts w:ascii="Times New Roman" w:hAnsi="Times New Roman" w:cs="Times New Roman"/>
          <w:sz w:val="24"/>
          <w:szCs w:val="24"/>
        </w:rPr>
        <w:t>n of PMS, NADH and oxygen (Liu e al.</w:t>
      </w:r>
      <w:r w:rsidRPr="005D3347">
        <w:rPr>
          <w:rFonts w:ascii="Times New Roman" w:hAnsi="Times New Roman" w:cs="Times New Roman"/>
          <w:sz w:val="24"/>
          <w:szCs w:val="24"/>
        </w:rPr>
        <w:t xml:space="preserve"> 1997) and it was assayed by the reduction of NBT. In this assay, the superoxide anions were generated in </w:t>
      </w:r>
      <w:proofErr w:type="spellStart"/>
      <w:r w:rsidRPr="005D3347">
        <w:rPr>
          <w:rFonts w:ascii="Times New Roman" w:hAnsi="Times New Roman" w:cs="Times New Roman"/>
          <w:sz w:val="24"/>
          <w:szCs w:val="24"/>
        </w:rPr>
        <w:t>Tris-HCl</w:t>
      </w:r>
      <w:proofErr w:type="spellEnd"/>
      <w:r w:rsidRPr="005D3347">
        <w:rPr>
          <w:rFonts w:ascii="Times New Roman" w:hAnsi="Times New Roman" w:cs="Times New Roman"/>
          <w:sz w:val="24"/>
          <w:szCs w:val="24"/>
        </w:rPr>
        <w:t xml:space="preserve"> buffer (100 </w:t>
      </w:r>
      <w:proofErr w:type="spellStart"/>
      <w:r w:rsidRPr="005D3347">
        <w:rPr>
          <w:rFonts w:ascii="Times New Roman" w:hAnsi="Times New Roman" w:cs="Times New Roman"/>
          <w:sz w:val="24"/>
          <w:szCs w:val="24"/>
        </w:rPr>
        <w:t>mM</w:t>
      </w:r>
      <w:proofErr w:type="spellEnd"/>
      <w:r w:rsidRPr="005D3347">
        <w:rPr>
          <w:rFonts w:ascii="Times New Roman" w:hAnsi="Times New Roman" w:cs="Times New Roman"/>
          <w:sz w:val="24"/>
          <w:szCs w:val="24"/>
        </w:rPr>
        <w:t xml:space="preserve">, pH 7.4) containing 0.75mL of NBT (300 </w:t>
      </w:r>
      <w:proofErr w:type="spellStart"/>
      <w:r w:rsidRPr="005D3347">
        <w:rPr>
          <w:rFonts w:ascii="Times New Roman" w:hAnsi="Times New Roman" w:cs="Times New Roman"/>
          <w:sz w:val="24"/>
          <w:szCs w:val="24"/>
        </w:rPr>
        <w:t>mM</w:t>
      </w:r>
      <w:proofErr w:type="spellEnd"/>
      <w:r w:rsidRPr="005D3347">
        <w:rPr>
          <w:rFonts w:ascii="Times New Roman" w:hAnsi="Times New Roman" w:cs="Times New Roman"/>
          <w:sz w:val="24"/>
          <w:szCs w:val="24"/>
        </w:rPr>
        <w:t xml:space="preserve">) solution, 0.75mL of NADH (936 </w:t>
      </w:r>
      <w:proofErr w:type="spellStart"/>
      <w:r w:rsidRPr="005D3347">
        <w:rPr>
          <w:rFonts w:ascii="Times New Roman" w:hAnsi="Times New Roman" w:cs="Times New Roman"/>
          <w:sz w:val="24"/>
          <w:szCs w:val="24"/>
        </w:rPr>
        <w:t>mM</w:t>
      </w:r>
      <w:proofErr w:type="spellEnd"/>
      <w:r w:rsidRPr="005D3347">
        <w:rPr>
          <w:rFonts w:ascii="Times New Roman" w:hAnsi="Times New Roman" w:cs="Times New Roman"/>
          <w:sz w:val="24"/>
          <w:szCs w:val="24"/>
        </w:rPr>
        <w:t>) solution and 0.3mL of different concentrations of</w:t>
      </w:r>
      <w:r w:rsidR="00884DAB" w:rsidRPr="005D3347">
        <w:rPr>
          <w:rFonts w:ascii="Times New Roman" w:hAnsi="Times New Roman" w:cs="Times New Roman"/>
          <w:sz w:val="24"/>
          <w:szCs w:val="24"/>
        </w:rPr>
        <w:t xml:space="preserve"> PTEE</w:t>
      </w:r>
      <w:r w:rsidRPr="005D3347">
        <w:rPr>
          <w:rFonts w:ascii="Times New Roman" w:hAnsi="Times New Roman" w:cs="Times New Roman"/>
          <w:sz w:val="24"/>
          <w:szCs w:val="24"/>
        </w:rPr>
        <w:t xml:space="preserve">. The reaction was initiated by adding 0.75mL of PMS (120 </w:t>
      </w:r>
      <w:proofErr w:type="spellStart"/>
      <w:r w:rsidRPr="005D3347">
        <w:rPr>
          <w:rFonts w:ascii="Times New Roman" w:hAnsi="Times New Roman" w:cs="Times New Roman"/>
          <w:sz w:val="24"/>
          <w:szCs w:val="24"/>
        </w:rPr>
        <w:t>mM</w:t>
      </w:r>
      <w:proofErr w:type="spellEnd"/>
      <w:r w:rsidRPr="005D3347">
        <w:rPr>
          <w:rFonts w:ascii="Times New Roman" w:hAnsi="Times New Roman" w:cs="Times New Roman"/>
          <w:sz w:val="24"/>
          <w:szCs w:val="24"/>
        </w:rPr>
        <w:t xml:space="preserve">) solution to the mixture. After 5 minutes of incubation at room temperature, the absorbance at 560nm was measured in a spectrophotometer (UV-2450PC; Shimadzu, Kyoto, Japan). </w:t>
      </w:r>
    </w:p>
    <w:p w:rsidR="00022291" w:rsidRPr="005D3347" w:rsidRDefault="000B22DC" w:rsidP="00022291">
      <w:pPr>
        <w:autoSpaceDE w:val="0"/>
        <w:autoSpaceDN w:val="0"/>
        <w:adjustRightInd w:val="0"/>
        <w:spacing w:after="0" w:line="360" w:lineRule="auto"/>
        <w:rPr>
          <w:rFonts w:ascii="Times New Roman" w:hAnsi="Times New Roman" w:cs="Times New Roman"/>
          <w:sz w:val="24"/>
          <w:szCs w:val="24"/>
        </w:rPr>
      </w:pPr>
      <w:r w:rsidRPr="005D3347">
        <w:rPr>
          <w:rFonts w:ascii="Times New Roman" w:hAnsi="Times New Roman" w:cs="Times New Roman"/>
          <w:sz w:val="24"/>
          <w:szCs w:val="24"/>
        </w:rPr>
        <w:t xml:space="preserve">1.4.7 </w:t>
      </w:r>
      <w:r w:rsidRPr="005D3347">
        <w:rPr>
          <w:rFonts w:ascii="Times New Roman" w:hAnsi="Times New Roman" w:cs="Times New Roman"/>
          <w:i/>
          <w:sz w:val="24"/>
          <w:szCs w:val="24"/>
        </w:rPr>
        <w:t>Determination of total r</w:t>
      </w:r>
      <w:r w:rsidR="00022291" w:rsidRPr="005D3347">
        <w:rPr>
          <w:rFonts w:ascii="Times New Roman" w:hAnsi="Times New Roman" w:cs="Times New Roman"/>
          <w:i/>
          <w:sz w:val="24"/>
          <w:szCs w:val="24"/>
        </w:rPr>
        <w:t>educing power</w:t>
      </w:r>
      <w:r w:rsidR="00022291" w:rsidRPr="005D3347">
        <w:rPr>
          <w:rFonts w:ascii="Times New Roman" w:hAnsi="Times New Roman" w:cs="Times New Roman"/>
          <w:sz w:val="24"/>
          <w:szCs w:val="24"/>
        </w:rPr>
        <w:t xml:space="preserve"> </w:t>
      </w:r>
    </w:p>
    <w:p w:rsidR="00022291" w:rsidRPr="005D3347" w:rsidRDefault="000B22DC" w:rsidP="00022291">
      <w:pPr>
        <w:autoSpaceDE w:val="0"/>
        <w:autoSpaceDN w:val="0"/>
        <w:adjustRightInd w:val="0"/>
        <w:spacing w:after="0" w:line="360" w:lineRule="auto"/>
        <w:ind w:firstLine="720"/>
        <w:jc w:val="both"/>
        <w:rPr>
          <w:rFonts w:ascii="Times New Roman" w:hAnsi="Times New Roman" w:cs="Times New Roman"/>
          <w:sz w:val="24"/>
          <w:szCs w:val="24"/>
        </w:rPr>
      </w:pPr>
      <w:r w:rsidRPr="005D3347">
        <w:rPr>
          <w:rFonts w:ascii="Times New Roman" w:hAnsi="Times New Roman" w:cs="Times New Roman"/>
          <w:sz w:val="24"/>
          <w:szCs w:val="24"/>
        </w:rPr>
        <w:t xml:space="preserve">Total </w:t>
      </w:r>
      <w:r w:rsidR="00022291" w:rsidRPr="005D3347">
        <w:rPr>
          <w:rFonts w:ascii="Times New Roman" w:hAnsi="Times New Roman" w:cs="Times New Roman"/>
          <w:sz w:val="24"/>
          <w:szCs w:val="24"/>
        </w:rPr>
        <w:t>reducing power</w:t>
      </w:r>
      <w:r w:rsidRPr="005D3347">
        <w:rPr>
          <w:rFonts w:ascii="Times New Roman" w:hAnsi="Times New Roman" w:cs="Times New Roman"/>
          <w:sz w:val="24"/>
          <w:szCs w:val="24"/>
        </w:rPr>
        <w:t xml:space="preserve"> (TRP)</w:t>
      </w:r>
      <w:r w:rsidR="00022291" w:rsidRPr="005D3347">
        <w:rPr>
          <w:rFonts w:ascii="Times New Roman" w:hAnsi="Times New Roman" w:cs="Times New Roman"/>
          <w:sz w:val="24"/>
          <w:szCs w:val="24"/>
        </w:rPr>
        <w:t xml:space="preserve"> of</w:t>
      </w:r>
      <w:r w:rsidRPr="005D3347">
        <w:rPr>
          <w:rFonts w:ascii="Times New Roman" w:hAnsi="Times New Roman" w:cs="Times New Roman"/>
          <w:sz w:val="24"/>
          <w:szCs w:val="24"/>
        </w:rPr>
        <w:t xml:space="preserve"> PTEE </w:t>
      </w:r>
      <w:r w:rsidR="00022291" w:rsidRPr="005D3347">
        <w:rPr>
          <w:rFonts w:ascii="Times New Roman" w:hAnsi="Times New Roman" w:cs="Times New Roman"/>
          <w:sz w:val="24"/>
          <w:szCs w:val="24"/>
        </w:rPr>
        <w:t>was determined according to the method of Oyaizu (1986). D</w:t>
      </w:r>
      <w:r w:rsidRPr="005D3347">
        <w:rPr>
          <w:rFonts w:ascii="Times New Roman" w:hAnsi="Times New Roman" w:cs="Times New Roman"/>
          <w:sz w:val="24"/>
          <w:szCs w:val="24"/>
        </w:rPr>
        <w:t xml:space="preserve">ifferent amounts of PTEE </w:t>
      </w:r>
      <w:r w:rsidR="00022291" w:rsidRPr="005D3347">
        <w:rPr>
          <w:rFonts w:ascii="Times New Roman" w:hAnsi="Times New Roman" w:cs="Times New Roman"/>
          <w:sz w:val="24"/>
          <w:szCs w:val="24"/>
        </w:rPr>
        <w:t xml:space="preserve">were mixed with phosphate </w:t>
      </w:r>
      <w:r w:rsidRPr="005D3347">
        <w:rPr>
          <w:rFonts w:ascii="Times New Roman" w:hAnsi="Times New Roman" w:cs="Times New Roman"/>
          <w:sz w:val="24"/>
          <w:szCs w:val="24"/>
        </w:rPr>
        <w:t>buffer (0.2M</w:t>
      </w:r>
      <w:r w:rsidR="00022291" w:rsidRPr="005D3347">
        <w:rPr>
          <w:rFonts w:ascii="Times New Roman" w:hAnsi="Times New Roman" w:cs="Times New Roman"/>
          <w:sz w:val="24"/>
          <w:szCs w:val="24"/>
        </w:rPr>
        <w:t xml:space="preserve">, pH 6.6) and 1% potassium </w:t>
      </w:r>
      <w:proofErr w:type="spellStart"/>
      <w:r w:rsidR="00022291" w:rsidRPr="005D3347">
        <w:rPr>
          <w:rFonts w:ascii="Times New Roman" w:hAnsi="Times New Roman" w:cs="Times New Roman"/>
          <w:sz w:val="24"/>
          <w:szCs w:val="24"/>
        </w:rPr>
        <w:t>ferricyanide</w:t>
      </w:r>
      <w:proofErr w:type="spellEnd"/>
      <w:r w:rsidR="00022291" w:rsidRPr="005D3347">
        <w:rPr>
          <w:rFonts w:ascii="Times New Roman" w:hAnsi="Times New Roman" w:cs="Times New Roman"/>
          <w:sz w:val="24"/>
          <w:szCs w:val="24"/>
        </w:rPr>
        <w:t xml:space="preserve"> [</w:t>
      </w:r>
      <w:proofErr w:type="gramStart"/>
      <w:r w:rsidR="00022291" w:rsidRPr="005D3347">
        <w:rPr>
          <w:rFonts w:ascii="Times New Roman" w:hAnsi="Times New Roman" w:cs="Times New Roman"/>
          <w:sz w:val="24"/>
          <w:szCs w:val="24"/>
        </w:rPr>
        <w:t>K</w:t>
      </w:r>
      <w:r w:rsidR="00022291" w:rsidRPr="005D3347">
        <w:rPr>
          <w:rFonts w:ascii="Times New Roman" w:hAnsi="Times New Roman" w:cs="Times New Roman"/>
          <w:sz w:val="24"/>
          <w:szCs w:val="24"/>
          <w:vertAlign w:val="subscript"/>
        </w:rPr>
        <w:t>3</w:t>
      </w:r>
      <w:r w:rsidR="00022291" w:rsidRPr="005D3347">
        <w:rPr>
          <w:rFonts w:ascii="Times New Roman" w:hAnsi="Times New Roman" w:cs="Times New Roman"/>
          <w:sz w:val="24"/>
          <w:szCs w:val="24"/>
        </w:rPr>
        <w:t>Fe(</w:t>
      </w:r>
      <w:proofErr w:type="gramEnd"/>
      <w:r w:rsidR="00022291" w:rsidRPr="005D3347">
        <w:rPr>
          <w:rFonts w:ascii="Times New Roman" w:hAnsi="Times New Roman" w:cs="Times New Roman"/>
          <w:sz w:val="24"/>
          <w:szCs w:val="24"/>
        </w:rPr>
        <w:t>CN)</w:t>
      </w:r>
      <w:r w:rsidR="00022291" w:rsidRPr="005D3347">
        <w:rPr>
          <w:rFonts w:ascii="Times New Roman" w:hAnsi="Times New Roman" w:cs="Times New Roman"/>
          <w:sz w:val="24"/>
          <w:szCs w:val="24"/>
          <w:vertAlign w:val="subscript"/>
        </w:rPr>
        <w:t>6</w:t>
      </w:r>
      <w:r w:rsidR="00022291" w:rsidRPr="005D3347">
        <w:rPr>
          <w:rFonts w:ascii="Times New Roman" w:hAnsi="Times New Roman" w:cs="Times New Roman"/>
          <w:sz w:val="24"/>
          <w:szCs w:val="24"/>
        </w:rPr>
        <w:t>]. The mixture was incubated at 50</w:t>
      </w:r>
      <w:r w:rsidR="00022291" w:rsidRPr="005D3347">
        <w:rPr>
          <w:rFonts w:ascii="Times New Roman" w:hAnsi="Times New Roman" w:cs="Times New Roman"/>
          <w:sz w:val="24"/>
          <w:szCs w:val="24"/>
          <w:vertAlign w:val="superscript"/>
        </w:rPr>
        <w:t>0</w:t>
      </w:r>
      <w:r w:rsidR="00022291" w:rsidRPr="005D3347">
        <w:rPr>
          <w:rFonts w:ascii="Times New Roman" w:hAnsi="Times New Roman" w:cs="Times New Roman"/>
          <w:sz w:val="24"/>
          <w:szCs w:val="24"/>
        </w:rPr>
        <w:t>C for 20 min. TCA (10%) was added to the mixture, which was then centrifuged for 10 min. The upper layer of solution was mixed with distilled water and FeCl</w:t>
      </w:r>
      <w:r w:rsidR="00022291" w:rsidRPr="005D3347">
        <w:rPr>
          <w:rFonts w:ascii="Times New Roman" w:hAnsi="Times New Roman" w:cs="Times New Roman"/>
          <w:sz w:val="24"/>
          <w:szCs w:val="24"/>
          <w:vertAlign w:val="subscript"/>
        </w:rPr>
        <w:t>3</w:t>
      </w:r>
      <w:r w:rsidR="00022291" w:rsidRPr="005D3347">
        <w:rPr>
          <w:rFonts w:ascii="Times New Roman" w:hAnsi="Times New Roman" w:cs="Times New Roman"/>
          <w:sz w:val="24"/>
          <w:szCs w:val="24"/>
        </w:rPr>
        <w:t xml:space="preserve"> (0.1%), and the absorbance was measured at 700 nm (UV-2450PC; Shimadzu, Kyoto, Japan</w:t>
      </w:r>
      <w:r w:rsidRPr="005D3347">
        <w:rPr>
          <w:rFonts w:ascii="Times New Roman" w:hAnsi="Times New Roman" w:cs="Times New Roman"/>
          <w:sz w:val="24"/>
          <w:szCs w:val="24"/>
        </w:rPr>
        <w:t>).</w:t>
      </w:r>
    </w:p>
    <w:p w:rsidR="00C5474B" w:rsidRPr="005D3347" w:rsidRDefault="00C5474B" w:rsidP="00C5474B">
      <w:pPr>
        <w:pStyle w:val="Normal1"/>
        <w:suppressLineNumbers/>
        <w:tabs>
          <w:tab w:val="left" w:pos="720"/>
        </w:tabs>
        <w:spacing w:after="0" w:line="360" w:lineRule="auto"/>
        <w:jc w:val="both"/>
        <w:rPr>
          <w:rFonts w:ascii="Times New Roman" w:eastAsia="Times New Roman" w:hAnsi="Times New Roman" w:cs="Times New Roman"/>
          <w:b/>
          <w:i/>
          <w:sz w:val="24"/>
          <w:lang w:val="en-GB"/>
        </w:rPr>
      </w:pPr>
      <w:r w:rsidRPr="005D3347">
        <w:rPr>
          <w:rFonts w:ascii="Times New Roman" w:eastAsia="Times New Roman" w:hAnsi="Times New Roman" w:cs="Times New Roman"/>
          <w:b/>
          <w:sz w:val="24"/>
          <w:lang w:val="en-GB"/>
        </w:rPr>
        <w:t xml:space="preserve">1.5. </w:t>
      </w:r>
      <w:r w:rsidRPr="005D3347">
        <w:rPr>
          <w:rFonts w:ascii="Times New Roman" w:eastAsia="Times New Roman" w:hAnsi="Times New Roman" w:cs="Times New Roman"/>
          <w:b/>
          <w:i/>
          <w:sz w:val="24"/>
          <w:lang w:val="en-GB"/>
        </w:rPr>
        <w:t>α-</w:t>
      </w:r>
      <w:proofErr w:type="spellStart"/>
      <w:r w:rsidRPr="005D3347">
        <w:rPr>
          <w:rFonts w:ascii="Times New Roman" w:eastAsia="Times New Roman" w:hAnsi="Times New Roman" w:cs="Times New Roman"/>
          <w:b/>
          <w:i/>
          <w:sz w:val="24"/>
          <w:lang w:val="en-GB"/>
        </w:rPr>
        <w:t>Glucosidase</w:t>
      </w:r>
      <w:proofErr w:type="spellEnd"/>
      <w:r w:rsidRPr="005D3347">
        <w:rPr>
          <w:rFonts w:ascii="Times New Roman" w:eastAsia="Times New Roman" w:hAnsi="Times New Roman" w:cs="Times New Roman"/>
          <w:b/>
          <w:i/>
          <w:sz w:val="24"/>
          <w:lang w:val="en-GB"/>
        </w:rPr>
        <w:t xml:space="preserve"> and α-amylase inhibitory assay</w:t>
      </w:r>
    </w:p>
    <w:p w:rsidR="000B22DC" w:rsidRPr="005D3347" w:rsidRDefault="000B22DC" w:rsidP="000B22DC">
      <w:pPr>
        <w:autoSpaceDE w:val="0"/>
        <w:autoSpaceDN w:val="0"/>
        <w:adjustRightInd w:val="0"/>
        <w:spacing w:after="0" w:line="360" w:lineRule="auto"/>
        <w:jc w:val="both"/>
        <w:rPr>
          <w:rFonts w:ascii="Times New Roman" w:hAnsi="Times New Roman"/>
          <w:sz w:val="24"/>
          <w:szCs w:val="24"/>
        </w:rPr>
      </w:pPr>
      <w:r w:rsidRPr="005D3347">
        <w:rPr>
          <w:rFonts w:ascii="Times New Roman" w:hAnsi="Times New Roman"/>
          <w:sz w:val="24"/>
          <w:szCs w:val="24"/>
        </w:rPr>
        <w:t xml:space="preserve">     </w:t>
      </w:r>
      <w:r w:rsidRPr="005D3347">
        <w:rPr>
          <w:rFonts w:ascii="Times New Roman" w:hAnsi="Times New Roman" w:cs="Times New Roman"/>
          <w:sz w:val="24"/>
          <w:szCs w:val="24"/>
        </w:rPr>
        <w:t>α</w:t>
      </w:r>
      <w:r w:rsidRPr="005D3347">
        <w:rPr>
          <w:rFonts w:ascii="Times New Roman" w:hAnsi="Times New Roman"/>
          <w:sz w:val="24"/>
          <w:szCs w:val="24"/>
        </w:rPr>
        <w:t>-</w:t>
      </w:r>
      <w:proofErr w:type="spellStart"/>
      <w:r w:rsidRPr="005D3347">
        <w:rPr>
          <w:rFonts w:ascii="Times New Roman" w:hAnsi="Times New Roman"/>
          <w:sz w:val="24"/>
          <w:szCs w:val="24"/>
        </w:rPr>
        <w:t>glucosidase</w:t>
      </w:r>
      <w:proofErr w:type="spellEnd"/>
      <w:r w:rsidRPr="005D3347">
        <w:rPr>
          <w:rFonts w:ascii="Times New Roman" w:hAnsi="Times New Roman"/>
          <w:sz w:val="24"/>
          <w:szCs w:val="24"/>
        </w:rPr>
        <w:t xml:space="preserve"> was assayed (</w:t>
      </w:r>
      <w:r w:rsidRPr="005D3347">
        <w:rPr>
          <w:rFonts w:ascii="Times New Roman" w:eastAsia="Times New Roman" w:hAnsi="Times New Roman" w:cs="Times New Roman"/>
          <w:sz w:val="24"/>
          <w:lang w:val="en-GB"/>
        </w:rPr>
        <w:t>Riya et al. 2013</w:t>
      </w:r>
      <w:r w:rsidRPr="005D3347">
        <w:rPr>
          <w:rFonts w:ascii="Times New Roman" w:hAnsi="Times New Roman"/>
          <w:sz w:val="24"/>
          <w:szCs w:val="24"/>
        </w:rPr>
        <w:t xml:space="preserve">) by using 50 </w:t>
      </w:r>
      <w:proofErr w:type="spellStart"/>
      <w:r w:rsidRPr="005D3347">
        <w:rPr>
          <w:rFonts w:ascii="Times New Roman" w:hAnsi="Times New Roman"/>
          <w:sz w:val="24"/>
          <w:szCs w:val="24"/>
        </w:rPr>
        <w:t>μl</w:t>
      </w:r>
      <w:proofErr w:type="spellEnd"/>
      <w:r w:rsidRPr="005D3347">
        <w:rPr>
          <w:rFonts w:ascii="Times New Roman" w:hAnsi="Times New Roman"/>
          <w:sz w:val="24"/>
          <w:szCs w:val="24"/>
        </w:rPr>
        <w:t xml:space="preserve"> of extract (PTEE) and 100 </w:t>
      </w:r>
      <w:proofErr w:type="spellStart"/>
      <w:r w:rsidRPr="005D3347">
        <w:rPr>
          <w:rFonts w:ascii="Times New Roman" w:hAnsi="Times New Roman"/>
          <w:sz w:val="24"/>
          <w:szCs w:val="24"/>
        </w:rPr>
        <w:t>μl</w:t>
      </w:r>
      <w:proofErr w:type="spellEnd"/>
      <w:r w:rsidRPr="005D3347">
        <w:rPr>
          <w:rFonts w:ascii="Times New Roman" w:hAnsi="Times New Roman"/>
          <w:sz w:val="24"/>
          <w:szCs w:val="24"/>
        </w:rPr>
        <w:t xml:space="preserve"> of 0.1 M phosphate buffer (pH 6.9) containing </w:t>
      </w:r>
      <w:r w:rsidRPr="005D3347">
        <w:rPr>
          <w:rFonts w:ascii="Times New Roman" w:hAnsi="Times New Roman" w:cs="Times New Roman"/>
          <w:sz w:val="24"/>
          <w:szCs w:val="24"/>
        </w:rPr>
        <w:t>α</w:t>
      </w:r>
      <w:r w:rsidRPr="005D3347">
        <w:rPr>
          <w:rFonts w:ascii="Times New Roman" w:hAnsi="Times New Roman"/>
          <w:sz w:val="24"/>
          <w:szCs w:val="24"/>
        </w:rPr>
        <w:t xml:space="preserve">- </w:t>
      </w:r>
      <w:proofErr w:type="spellStart"/>
      <w:r w:rsidRPr="005D3347">
        <w:rPr>
          <w:rFonts w:ascii="Times New Roman" w:hAnsi="Times New Roman"/>
          <w:sz w:val="24"/>
          <w:szCs w:val="24"/>
        </w:rPr>
        <w:t>glucosidase</w:t>
      </w:r>
      <w:proofErr w:type="spellEnd"/>
      <w:r w:rsidRPr="005D3347">
        <w:rPr>
          <w:rFonts w:ascii="Times New Roman" w:hAnsi="Times New Roman"/>
          <w:sz w:val="24"/>
          <w:szCs w:val="24"/>
        </w:rPr>
        <w:t xml:space="preserve"> solution (1.0 U/ml) and incubated in 96 well plates at 25</w:t>
      </w:r>
      <w:r w:rsidRPr="005D3347">
        <w:rPr>
          <w:rFonts w:ascii="Times New Roman" w:hAnsi="Times New Roman" w:cs="Times New Roman"/>
          <w:sz w:val="24"/>
          <w:szCs w:val="24"/>
          <w:vertAlign w:val="superscript"/>
        </w:rPr>
        <w:t>ᵒ</w:t>
      </w:r>
      <w:r w:rsidRPr="005D3347">
        <w:rPr>
          <w:rFonts w:ascii="Times New Roman" w:hAnsi="Times New Roman"/>
          <w:sz w:val="24"/>
          <w:szCs w:val="24"/>
        </w:rPr>
        <w:t xml:space="preserve">C for 10 min. After incubation, 50 </w:t>
      </w:r>
      <w:proofErr w:type="spellStart"/>
      <w:r w:rsidRPr="005D3347">
        <w:rPr>
          <w:rFonts w:ascii="Times New Roman" w:hAnsi="Times New Roman"/>
          <w:sz w:val="24"/>
          <w:szCs w:val="24"/>
        </w:rPr>
        <w:t>μl</w:t>
      </w:r>
      <w:proofErr w:type="spellEnd"/>
      <w:r w:rsidRPr="005D3347">
        <w:rPr>
          <w:rFonts w:ascii="Times New Roman" w:hAnsi="Times New Roman"/>
          <w:sz w:val="24"/>
          <w:szCs w:val="24"/>
        </w:rPr>
        <w:t xml:space="preserve"> of 5 </w:t>
      </w:r>
      <w:proofErr w:type="spellStart"/>
      <w:r w:rsidRPr="005D3347">
        <w:rPr>
          <w:rFonts w:ascii="Times New Roman" w:hAnsi="Times New Roman"/>
          <w:sz w:val="24"/>
          <w:szCs w:val="24"/>
        </w:rPr>
        <w:t>mM</w:t>
      </w:r>
      <w:proofErr w:type="spellEnd"/>
      <w:r w:rsidRPr="005D3347">
        <w:rPr>
          <w:rFonts w:ascii="Times New Roman" w:hAnsi="Times New Roman"/>
          <w:sz w:val="24"/>
          <w:szCs w:val="24"/>
        </w:rPr>
        <w:t xml:space="preserve"> p-</w:t>
      </w:r>
      <w:proofErr w:type="spellStart"/>
      <w:r w:rsidRPr="005D3347">
        <w:rPr>
          <w:rFonts w:ascii="Times New Roman" w:hAnsi="Times New Roman"/>
          <w:sz w:val="24"/>
          <w:szCs w:val="24"/>
        </w:rPr>
        <w:t>nitrophenyl</w:t>
      </w:r>
      <w:proofErr w:type="spellEnd"/>
      <w:r w:rsidRPr="005D3347">
        <w:rPr>
          <w:rFonts w:ascii="Times New Roman" w:hAnsi="Times New Roman"/>
          <w:sz w:val="24"/>
          <w:szCs w:val="24"/>
        </w:rPr>
        <w:t>-</w:t>
      </w:r>
      <w:r w:rsidR="00B05F89" w:rsidRPr="005D3347">
        <w:rPr>
          <w:rFonts w:ascii="Times New Roman" w:hAnsi="Times New Roman" w:cs="Times New Roman"/>
          <w:sz w:val="24"/>
          <w:szCs w:val="24"/>
        </w:rPr>
        <w:t>α</w:t>
      </w:r>
      <w:r w:rsidR="00B05F89" w:rsidRPr="005D3347">
        <w:rPr>
          <w:rFonts w:ascii="Times New Roman" w:hAnsi="Times New Roman"/>
          <w:sz w:val="24"/>
          <w:szCs w:val="24"/>
        </w:rPr>
        <w:t xml:space="preserve"> </w:t>
      </w:r>
      <w:r w:rsidRPr="005D3347">
        <w:rPr>
          <w:rFonts w:ascii="Times New Roman" w:hAnsi="Times New Roman"/>
          <w:sz w:val="24"/>
          <w:szCs w:val="24"/>
        </w:rPr>
        <w:t>-D-</w:t>
      </w:r>
      <w:proofErr w:type="spellStart"/>
      <w:r w:rsidRPr="005D3347">
        <w:rPr>
          <w:rFonts w:ascii="Times New Roman" w:hAnsi="Times New Roman"/>
          <w:sz w:val="24"/>
          <w:szCs w:val="24"/>
        </w:rPr>
        <w:t>glucopyranoside</w:t>
      </w:r>
      <w:proofErr w:type="spellEnd"/>
      <w:r w:rsidRPr="005D3347">
        <w:rPr>
          <w:rFonts w:ascii="Times New Roman" w:hAnsi="Times New Roman"/>
          <w:sz w:val="24"/>
          <w:szCs w:val="24"/>
        </w:rPr>
        <w:t xml:space="preserve"> solution in 0.1 M phosphate buffer (pH 6.9) was added. The reaction mixtures were then incubated at 25</w:t>
      </w:r>
      <w:r w:rsidRPr="005D3347">
        <w:rPr>
          <w:rFonts w:ascii="Times New Roman" w:hAnsi="Times New Roman" w:cs="Times New Roman"/>
          <w:sz w:val="24"/>
          <w:szCs w:val="24"/>
          <w:vertAlign w:val="superscript"/>
        </w:rPr>
        <w:t>ᵒ</w:t>
      </w:r>
      <w:r w:rsidRPr="005D3347">
        <w:rPr>
          <w:rFonts w:ascii="Times New Roman" w:hAnsi="Times New Roman"/>
          <w:sz w:val="24"/>
          <w:szCs w:val="24"/>
        </w:rPr>
        <w:t>C for 5 min. Before and after incubation, absorbance was recorded at 405 nm by multimode reader (</w:t>
      </w:r>
      <w:r w:rsidRPr="005D3347">
        <w:rPr>
          <w:rFonts w:ascii="Times New Roman" w:hAnsi="Times New Roman"/>
          <w:bCs/>
          <w:sz w:val="24"/>
          <w:szCs w:val="24"/>
        </w:rPr>
        <w:t xml:space="preserve">Synergy 4, </w:t>
      </w:r>
      <w:proofErr w:type="spellStart"/>
      <w:r w:rsidRPr="005D3347">
        <w:rPr>
          <w:rFonts w:ascii="Times New Roman" w:hAnsi="Times New Roman"/>
          <w:bCs/>
          <w:sz w:val="24"/>
          <w:szCs w:val="24"/>
        </w:rPr>
        <w:t>Biotek</w:t>
      </w:r>
      <w:proofErr w:type="spellEnd"/>
      <w:r w:rsidRPr="005D3347">
        <w:rPr>
          <w:rFonts w:ascii="Times New Roman" w:hAnsi="Times New Roman"/>
          <w:bCs/>
          <w:sz w:val="24"/>
          <w:szCs w:val="24"/>
        </w:rPr>
        <w:t xml:space="preserve"> Instruments, Vermont, </w:t>
      </w:r>
      <w:proofErr w:type="gramStart"/>
      <w:r w:rsidRPr="005D3347">
        <w:rPr>
          <w:rFonts w:ascii="Times New Roman" w:hAnsi="Times New Roman"/>
          <w:bCs/>
          <w:sz w:val="24"/>
          <w:szCs w:val="24"/>
        </w:rPr>
        <w:t>USA</w:t>
      </w:r>
      <w:proofErr w:type="gramEnd"/>
      <w:r w:rsidRPr="005D3347">
        <w:rPr>
          <w:rFonts w:ascii="Times New Roman" w:hAnsi="Times New Roman"/>
          <w:bCs/>
          <w:sz w:val="24"/>
          <w:szCs w:val="24"/>
        </w:rPr>
        <w:t>)</w:t>
      </w:r>
      <w:r w:rsidRPr="005D3347">
        <w:rPr>
          <w:rFonts w:ascii="Times New Roman" w:hAnsi="Times New Roman"/>
          <w:sz w:val="24"/>
          <w:szCs w:val="24"/>
        </w:rPr>
        <w:t xml:space="preserve"> and compared to a control which had 50 </w:t>
      </w:r>
      <w:proofErr w:type="spellStart"/>
      <w:r w:rsidRPr="005D3347">
        <w:rPr>
          <w:rFonts w:ascii="Times New Roman" w:hAnsi="Times New Roman"/>
          <w:sz w:val="24"/>
          <w:szCs w:val="24"/>
        </w:rPr>
        <w:t>μl</w:t>
      </w:r>
      <w:proofErr w:type="spellEnd"/>
      <w:r w:rsidRPr="005D3347">
        <w:rPr>
          <w:rFonts w:ascii="Times New Roman" w:hAnsi="Times New Roman"/>
          <w:sz w:val="24"/>
          <w:szCs w:val="24"/>
        </w:rPr>
        <w:t xml:space="preserve"> of buffer solution in place of the extract. The </w:t>
      </w:r>
      <w:r w:rsidRPr="005D3347">
        <w:rPr>
          <w:rFonts w:ascii="Times New Roman" w:hAnsi="Times New Roman" w:cs="Times New Roman"/>
          <w:sz w:val="24"/>
          <w:szCs w:val="24"/>
        </w:rPr>
        <w:t>α</w:t>
      </w:r>
      <w:r w:rsidRPr="005D3347">
        <w:rPr>
          <w:rFonts w:ascii="Times New Roman" w:hAnsi="Times New Roman"/>
          <w:sz w:val="24"/>
          <w:szCs w:val="24"/>
        </w:rPr>
        <w:t>-</w:t>
      </w:r>
      <w:proofErr w:type="spellStart"/>
      <w:r w:rsidRPr="005D3347">
        <w:rPr>
          <w:rFonts w:ascii="Times New Roman" w:hAnsi="Times New Roman"/>
          <w:sz w:val="24"/>
          <w:szCs w:val="24"/>
        </w:rPr>
        <w:t>glucosidase</w:t>
      </w:r>
      <w:proofErr w:type="spellEnd"/>
      <w:r w:rsidRPr="005D3347">
        <w:rPr>
          <w:rFonts w:ascii="Times New Roman" w:hAnsi="Times New Roman"/>
          <w:sz w:val="24"/>
          <w:szCs w:val="24"/>
        </w:rPr>
        <w:t xml:space="preserve"> inhibitory activity was expressed as % inhibition and was calculated as follows:</w:t>
      </w:r>
    </w:p>
    <w:p w:rsidR="000B22DC" w:rsidRPr="005D3347" w:rsidRDefault="00B05F89" w:rsidP="000B22DC">
      <w:pPr>
        <w:autoSpaceDE w:val="0"/>
        <w:autoSpaceDN w:val="0"/>
        <w:adjustRightInd w:val="0"/>
        <w:spacing w:after="0" w:line="240" w:lineRule="auto"/>
        <w:rPr>
          <w:rFonts w:ascii="Times New Roman" w:hAnsi="Times New Roman"/>
          <w:sz w:val="24"/>
          <w:szCs w:val="24"/>
        </w:rPr>
      </w:pPr>
      <w:r w:rsidRPr="005D3347">
        <w:rPr>
          <w:rFonts w:ascii="Times New Roman" w:hAnsi="Times New Roman"/>
          <w:sz w:val="24"/>
          <w:szCs w:val="24"/>
        </w:rPr>
        <w:t xml:space="preserve">% Inhibition = </w:t>
      </w:r>
      <w:r w:rsidR="000B22DC" w:rsidRPr="005D3347">
        <w:rPr>
          <w:rFonts w:ascii="Times New Roman" w:hAnsi="Times New Roman"/>
          <w:sz w:val="24"/>
          <w:szCs w:val="24"/>
        </w:rPr>
        <w:t>[</w:t>
      </w:r>
      <w:r w:rsidR="000B22DC" w:rsidRPr="005D3347">
        <w:rPr>
          <w:rFonts w:ascii="Times New Roman" w:hAnsi="Times New Roman"/>
          <w:sz w:val="24"/>
          <w:szCs w:val="24"/>
          <w:u w:val="single"/>
        </w:rPr>
        <w:t>ΔA Control-ΔA Extract</w:t>
      </w:r>
      <w:r w:rsidRPr="005D3347">
        <w:rPr>
          <w:rFonts w:ascii="Times New Roman" w:hAnsi="Times New Roman"/>
          <w:sz w:val="24"/>
          <w:szCs w:val="24"/>
        </w:rPr>
        <w:t xml:space="preserve">] </w:t>
      </w:r>
      <w:r w:rsidR="000B22DC" w:rsidRPr="005D3347">
        <w:rPr>
          <w:rFonts w:ascii="Times New Roman" w:hAnsi="Times New Roman"/>
          <w:sz w:val="24"/>
          <w:szCs w:val="24"/>
        </w:rPr>
        <w:t>x 100</w:t>
      </w:r>
    </w:p>
    <w:p w:rsidR="000B22DC" w:rsidRPr="005D3347" w:rsidRDefault="000B22DC" w:rsidP="000B22DC">
      <w:pPr>
        <w:spacing w:after="0" w:line="240" w:lineRule="auto"/>
        <w:jc w:val="both"/>
        <w:rPr>
          <w:rFonts w:ascii="Times New Roman" w:hAnsi="Times New Roman"/>
          <w:sz w:val="24"/>
          <w:szCs w:val="24"/>
        </w:rPr>
      </w:pPr>
      <w:r w:rsidRPr="005D3347">
        <w:rPr>
          <w:rFonts w:ascii="Times New Roman" w:hAnsi="Times New Roman"/>
          <w:sz w:val="24"/>
          <w:szCs w:val="24"/>
        </w:rPr>
        <w:t xml:space="preserve">                                         ΔA control</w:t>
      </w:r>
    </w:p>
    <w:p w:rsidR="000B22DC" w:rsidRPr="005D3347" w:rsidRDefault="000B22DC" w:rsidP="000B22DC">
      <w:pPr>
        <w:pStyle w:val="NormalWeb"/>
        <w:spacing w:before="0" w:beforeAutospacing="0" w:after="0" w:afterAutospacing="0" w:line="360" w:lineRule="auto"/>
        <w:ind w:firstLine="720"/>
        <w:jc w:val="both"/>
      </w:pPr>
      <w:r w:rsidRPr="005D3347">
        <w:t xml:space="preserve"> For </w:t>
      </w:r>
      <w:r w:rsidRPr="005D3347">
        <w:rPr>
          <w:lang w:val="en-GB"/>
        </w:rPr>
        <w:t>α-amylase inhibition assay,</w:t>
      </w:r>
      <w:r w:rsidRPr="005D3347">
        <w:rPr>
          <w:b/>
          <w:i/>
          <w:lang w:val="en-GB"/>
        </w:rPr>
        <w:t xml:space="preserve"> </w:t>
      </w:r>
      <w:r w:rsidRPr="005D3347">
        <w:t xml:space="preserve"> 500 </w:t>
      </w:r>
      <w:proofErr w:type="spellStart"/>
      <w:r w:rsidRPr="005D3347">
        <w:t>μl</w:t>
      </w:r>
      <w:proofErr w:type="spellEnd"/>
      <w:r w:rsidRPr="005D3347">
        <w:t xml:space="preserve"> of PTEE at different concentrations and 500 </w:t>
      </w:r>
      <w:proofErr w:type="spellStart"/>
      <w:r w:rsidRPr="005D3347">
        <w:t>μl</w:t>
      </w:r>
      <w:proofErr w:type="spellEnd"/>
      <w:r w:rsidRPr="005D3347">
        <w:t xml:space="preserve"> of 0.02 M sodium phosphate buffer (pH 6.9 with 0.006 M sodium chloride) containing </w:t>
      </w:r>
      <w:r w:rsidR="00B35C26" w:rsidRPr="005D3347">
        <w:t>α</w:t>
      </w:r>
      <w:r w:rsidRPr="005D3347">
        <w:t>-</w:t>
      </w:r>
      <w:r w:rsidRPr="005D3347">
        <w:lastRenderedPageBreak/>
        <w:t>amylase solution (0.5 mg/ml) were incubated at 25</w:t>
      </w:r>
      <w:r w:rsidR="00B35C26" w:rsidRPr="005D3347">
        <w:rPr>
          <w:vertAlign w:val="superscript"/>
        </w:rPr>
        <w:t>ᵒ</w:t>
      </w:r>
      <w:r w:rsidRPr="005D3347">
        <w:t>C for 10 min (</w:t>
      </w:r>
      <w:r w:rsidRPr="005D3347">
        <w:rPr>
          <w:lang w:val="en-GB"/>
        </w:rPr>
        <w:t>Riya et al. 2013</w:t>
      </w:r>
      <w:r w:rsidRPr="005D3347">
        <w:t xml:space="preserve">).  After incubation, 500 </w:t>
      </w:r>
      <w:proofErr w:type="spellStart"/>
      <w:r w:rsidRPr="005D3347">
        <w:t>μl</w:t>
      </w:r>
      <w:proofErr w:type="spellEnd"/>
      <w:r w:rsidRPr="005D3347">
        <w:t xml:space="preserve"> of 1% starch solution in 0.02 M sodium phosphate buffer (pH 6.9 with 0.006 M sodium chloride) was added to each tube.  The reaction mixtures were then incubated at 25</w:t>
      </w:r>
      <w:r w:rsidR="00B35C26" w:rsidRPr="005D3347">
        <w:rPr>
          <w:vertAlign w:val="superscript"/>
        </w:rPr>
        <w:t>ᵒ</w:t>
      </w:r>
      <w:r w:rsidRPr="005D3347">
        <w:t xml:space="preserve">C for 10 min.  The reaction was stopped with 1.0 ml of </w:t>
      </w:r>
      <w:proofErr w:type="spellStart"/>
      <w:r w:rsidRPr="005D3347">
        <w:t>dinitrosalicylic</w:t>
      </w:r>
      <w:proofErr w:type="spellEnd"/>
      <w:r w:rsidRPr="005D3347">
        <w:t xml:space="preserve"> acid reagent.  The test tubes were then incubated in a boiling water bath for 5 min and cooled to room temperature.  The reaction mixture was then diluted after adding 10 ml distilled water and absorbance was measured at 540 nm using multimode reader (</w:t>
      </w:r>
      <w:r w:rsidRPr="005D3347">
        <w:rPr>
          <w:bCs/>
        </w:rPr>
        <w:t xml:space="preserve">Synergy 4, </w:t>
      </w:r>
      <w:proofErr w:type="spellStart"/>
      <w:r w:rsidRPr="005D3347">
        <w:rPr>
          <w:bCs/>
        </w:rPr>
        <w:t>Biotek</w:t>
      </w:r>
      <w:proofErr w:type="spellEnd"/>
      <w:r w:rsidRPr="005D3347">
        <w:rPr>
          <w:bCs/>
        </w:rPr>
        <w:t xml:space="preserve"> Instruments, Vermont, </w:t>
      </w:r>
      <w:proofErr w:type="gramStart"/>
      <w:r w:rsidRPr="005D3347">
        <w:rPr>
          <w:bCs/>
        </w:rPr>
        <w:t>USA</w:t>
      </w:r>
      <w:proofErr w:type="gramEnd"/>
      <w:r w:rsidRPr="005D3347">
        <w:t>). The results were expressed as % inhibition of enzyme activity and calculated according to the following equation.</w:t>
      </w:r>
    </w:p>
    <w:p w:rsidR="000B22DC" w:rsidRPr="005D3347" w:rsidRDefault="000B22DC" w:rsidP="000B22DC">
      <w:pPr>
        <w:pStyle w:val="NormalWeb"/>
        <w:spacing w:before="0" w:beforeAutospacing="0" w:after="0" w:afterAutospacing="0"/>
        <w:ind w:right="-879"/>
        <w:jc w:val="both"/>
      </w:pPr>
      <w:r w:rsidRPr="005D3347">
        <w:t>% Inhibiti</w:t>
      </w:r>
      <w:r w:rsidR="00B05F89" w:rsidRPr="005D3347">
        <w:t xml:space="preserve">on = </w:t>
      </w:r>
      <w:r w:rsidRPr="005D3347">
        <w:t>[</w:t>
      </w:r>
      <w:r w:rsidRPr="005D3347">
        <w:rPr>
          <w:u w:val="single"/>
        </w:rPr>
        <w:t>Absorbance of control-Absorbance of extract</w:t>
      </w:r>
      <w:r w:rsidR="00B05F89" w:rsidRPr="005D3347">
        <w:t>]</w:t>
      </w:r>
      <w:r w:rsidRPr="005D3347">
        <w:t xml:space="preserve"> x 100</w:t>
      </w:r>
    </w:p>
    <w:p w:rsidR="000B22DC" w:rsidRPr="005D3347" w:rsidRDefault="000B22DC" w:rsidP="000B22DC">
      <w:pPr>
        <w:pStyle w:val="NormalWeb"/>
        <w:spacing w:before="0" w:beforeAutospacing="0" w:after="0" w:afterAutospacing="0"/>
        <w:ind w:right="-879"/>
        <w:jc w:val="both"/>
      </w:pPr>
      <w:r w:rsidRPr="005D3347">
        <w:t xml:space="preserve">                                             Absorbance of control</w:t>
      </w:r>
    </w:p>
    <w:p w:rsidR="00C5474B" w:rsidRPr="005D3347" w:rsidRDefault="00C5474B" w:rsidP="00C5474B">
      <w:pPr>
        <w:pStyle w:val="Normal1"/>
        <w:suppressLineNumbers/>
        <w:tabs>
          <w:tab w:val="left" w:pos="720"/>
        </w:tabs>
        <w:spacing w:after="0" w:line="360" w:lineRule="auto"/>
        <w:jc w:val="both"/>
        <w:rPr>
          <w:rFonts w:ascii="Times New Roman" w:hAnsi="Times New Roman" w:cs="Times New Roman"/>
          <w:lang w:val="en-GB"/>
        </w:rPr>
      </w:pPr>
      <w:r w:rsidRPr="005D3347">
        <w:rPr>
          <w:rFonts w:ascii="Times New Roman" w:eastAsia="Times New Roman" w:hAnsi="Times New Roman" w:cs="Times New Roman"/>
          <w:b/>
          <w:sz w:val="24"/>
          <w:lang w:val="en-GB"/>
        </w:rPr>
        <w:t xml:space="preserve">1.6. </w:t>
      </w:r>
      <w:r w:rsidRPr="005D3347">
        <w:rPr>
          <w:rFonts w:ascii="Times New Roman" w:eastAsia="Times New Roman" w:hAnsi="Times New Roman" w:cs="Times New Roman"/>
          <w:b/>
          <w:i/>
          <w:sz w:val="24"/>
          <w:lang w:val="en-GB"/>
        </w:rPr>
        <w:t xml:space="preserve">Aldose </w:t>
      </w:r>
      <w:proofErr w:type="spellStart"/>
      <w:r w:rsidRPr="005D3347">
        <w:rPr>
          <w:rFonts w:ascii="Times New Roman" w:eastAsia="Times New Roman" w:hAnsi="Times New Roman" w:cs="Times New Roman"/>
          <w:b/>
          <w:i/>
          <w:sz w:val="24"/>
          <w:lang w:val="en-GB"/>
        </w:rPr>
        <w:t>reductase</w:t>
      </w:r>
      <w:proofErr w:type="spellEnd"/>
      <w:r w:rsidRPr="005D3347">
        <w:rPr>
          <w:rFonts w:ascii="Times New Roman" w:eastAsia="Times New Roman" w:hAnsi="Times New Roman" w:cs="Times New Roman"/>
          <w:b/>
          <w:i/>
          <w:sz w:val="24"/>
          <w:lang w:val="en-GB"/>
        </w:rPr>
        <w:t xml:space="preserve"> assay</w:t>
      </w:r>
      <w:r w:rsidRPr="005D3347">
        <w:rPr>
          <w:rFonts w:ascii="Times New Roman" w:hAnsi="Times New Roman" w:cs="Times New Roman"/>
          <w:lang w:val="en-GB"/>
        </w:rPr>
        <w:t xml:space="preserve"> </w:t>
      </w:r>
    </w:p>
    <w:p w:rsidR="00C5474B" w:rsidRPr="005D3347" w:rsidRDefault="00C5474B" w:rsidP="00C5474B">
      <w:pPr>
        <w:pStyle w:val="Normal1"/>
        <w:suppressLineNumbers/>
        <w:spacing w:after="0" w:line="360" w:lineRule="auto"/>
        <w:jc w:val="both"/>
        <w:rPr>
          <w:rFonts w:ascii="Times New Roman" w:hAnsi="Times New Roman" w:cs="Times New Roman"/>
          <w:lang w:val="en-GB"/>
        </w:rPr>
      </w:pPr>
      <w:r w:rsidRPr="005D3347">
        <w:rPr>
          <w:rFonts w:ascii="Times New Roman" w:eastAsia="Times New Roman" w:hAnsi="Times New Roman" w:cs="Times New Roman"/>
          <w:sz w:val="24"/>
          <w:lang w:val="en-GB"/>
        </w:rPr>
        <w:t xml:space="preserve">Lenses from </w:t>
      </w:r>
      <w:proofErr w:type="spellStart"/>
      <w:r w:rsidRPr="005D3347">
        <w:rPr>
          <w:rFonts w:ascii="Times New Roman" w:eastAsia="Times New Roman" w:hAnsi="Times New Roman" w:cs="Times New Roman"/>
          <w:sz w:val="24"/>
          <w:lang w:val="en-GB"/>
        </w:rPr>
        <w:t>streptozotocin</w:t>
      </w:r>
      <w:proofErr w:type="spellEnd"/>
      <w:r w:rsidRPr="005D3347">
        <w:rPr>
          <w:rFonts w:ascii="Times New Roman" w:eastAsia="Times New Roman" w:hAnsi="Times New Roman" w:cs="Times New Roman"/>
          <w:sz w:val="24"/>
          <w:lang w:val="en-GB"/>
        </w:rPr>
        <w:t xml:space="preserve"> induced diabetic rats (male Sprague- </w:t>
      </w:r>
      <w:proofErr w:type="spellStart"/>
      <w:r w:rsidRPr="005D3347">
        <w:rPr>
          <w:rFonts w:ascii="Times New Roman" w:eastAsia="Times New Roman" w:hAnsi="Times New Roman" w:cs="Times New Roman"/>
          <w:sz w:val="24"/>
          <w:lang w:val="en-GB"/>
        </w:rPr>
        <w:t>Dawley</w:t>
      </w:r>
      <w:proofErr w:type="spellEnd"/>
      <w:r w:rsidRPr="005D3347">
        <w:rPr>
          <w:rFonts w:ascii="Times New Roman" w:eastAsia="Times New Roman" w:hAnsi="Times New Roman" w:cs="Times New Roman"/>
          <w:sz w:val="24"/>
          <w:lang w:val="en-GB"/>
        </w:rPr>
        <w:t xml:space="preserve"> strain, weighing between 150-200 g) obtained from Cochin University of Science and Technology after proper ethical clearance was used as aldose </w:t>
      </w:r>
      <w:proofErr w:type="spellStart"/>
      <w:r w:rsidRPr="005D3347">
        <w:rPr>
          <w:rFonts w:ascii="Times New Roman" w:eastAsia="Times New Roman" w:hAnsi="Times New Roman" w:cs="Times New Roman"/>
          <w:sz w:val="24"/>
          <w:lang w:val="en-GB"/>
        </w:rPr>
        <w:t>reductase</w:t>
      </w:r>
      <w:proofErr w:type="spellEnd"/>
      <w:r w:rsidRPr="005D3347">
        <w:rPr>
          <w:rFonts w:ascii="Times New Roman" w:eastAsia="Times New Roman" w:hAnsi="Times New Roman" w:cs="Times New Roman"/>
          <w:sz w:val="24"/>
          <w:lang w:val="en-GB"/>
        </w:rPr>
        <w:t xml:space="preserve"> enzyme source for the study.</w:t>
      </w:r>
      <w:r w:rsidRPr="005D3347">
        <w:rPr>
          <w:rFonts w:ascii="Times New Roman" w:eastAsia="Times New Roman" w:hAnsi="Times New Roman" w:cs="Times New Roman"/>
          <w:color w:val="FF0000"/>
          <w:sz w:val="24"/>
          <w:lang w:val="en-GB"/>
        </w:rPr>
        <w:t xml:space="preserve">  </w:t>
      </w:r>
      <w:r w:rsidRPr="005D3347">
        <w:rPr>
          <w:rFonts w:ascii="Times New Roman" w:eastAsia="Times New Roman" w:hAnsi="Times New Roman" w:cs="Times New Roman"/>
          <w:sz w:val="24"/>
          <w:lang w:val="en-GB"/>
        </w:rPr>
        <w:t xml:space="preserve">The lens homogenate (10%) was prepared in 0.1 M phosphate buffered saline, centrifuged in a refrigerated centrifuge and the supernatant was used for experiments. </w:t>
      </w:r>
    </w:p>
    <w:p w:rsidR="00C5474B" w:rsidRPr="005D3347" w:rsidRDefault="00C5474B" w:rsidP="00C5474B">
      <w:pPr>
        <w:pStyle w:val="Normal1"/>
        <w:suppressLineNumbers/>
        <w:spacing w:after="0" w:line="360" w:lineRule="auto"/>
        <w:ind w:firstLine="720"/>
        <w:jc w:val="both"/>
        <w:rPr>
          <w:rFonts w:ascii="Times New Roman" w:hAnsi="Times New Roman" w:cs="Times New Roman"/>
          <w:lang w:val="en-GB"/>
        </w:rPr>
      </w:pPr>
      <w:r w:rsidRPr="005D3347">
        <w:rPr>
          <w:rFonts w:ascii="Times New Roman" w:eastAsia="Times New Roman" w:hAnsi="Times New Roman" w:cs="Times New Roman"/>
          <w:sz w:val="24"/>
          <w:lang w:val="en-GB"/>
        </w:rPr>
        <w:t xml:space="preserve">Aldose </w:t>
      </w:r>
      <w:proofErr w:type="spellStart"/>
      <w:r w:rsidRPr="005D3347">
        <w:rPr>
          <w:rFonts w:ascii="Times New Roman" w:eastAsia="Times New Roman" w:hAnsi="Times New Roman" w:cs="Times New Roman"/>
          <w:sz w:val="24"/>
          <w:lang w:val="en-GB"/>
        </w:rPr>
        <w:t>reductase</w:t>
      </w:r>
      <w:proofErr w:type="spellEnd"/>
      <w:r w:rsidRPr="005D3347">
        <w:rPr>
          <w:rFonts w:ascii="Times New Roman" w:eastAsia="Times New Roman" w:hAnsi="Times New Roman" w:cs="Times New Roman"/>
          <w:sz w:val="24"/>
          <w:lang w:val="en-GB"/>
        </w:rPr>
        <w:t xml:space="preserve"> inhibitory potential of PTEE was determined by a method described by Hayman and </w:t>
      </w:r>
      <w:proofErr w:type="spellStart"/>
      <w:r w:rsidRPr="005D3347">
        <w:rPr>
          <w:rFonts w:ascii="Times New Roman" w:eastAsia="Times New Roman" w:hAnsi="Times New Roman" w:cs="Times New Roman"/>
          <w:sz w:val="24"/>
          <w:lang w:val="en-GB"/>
        </w:rPr>
        <w:t>Konoshita</w:t>
      </w:r>
      <w:proofErr w:type="spellEnd"/>
      <w:r w:rsidRPr="005D3347">
        <w:rPr>
          <w:rFonts w:ascii="Times New Roman" w:eastAsia="Times New Roman" w:hAnsi="Times New Roman" w:cs="Times New Roman"/>
          <w:sz w:val="24"/>
          <w:lang w:val="en-GB"/>
        </w:rPr>
        <w:t xml:space="preserve"> (1965) with some modifications using </w:t>
      </w:r>
      <w:proofErr w:type="spellStart"/>
      <w:r w:rsidRPr="005D3347">
        <w:rPr>
          <w:rFonts w:ascii="Times New Roman" w:eastAsia="Times New Roman" w:hAnsi="Times New Roman" w:cs="Times New Roman"/>
          <w:sz w:val="24"/>
          <w:lang w:val="en-GB"/>
        </w:rPr>
        <w:t>zopolrestat</w:t>
      </w:r>
      <w:proofErr w:type="spellEnd"/>
      <w:r w:rsidRPr="005D3347">
        <w:rPr>
          <w:rFonts w:ascii="Times New Roman" w:eastAsia="Times New Roman" w:hAnsi="Times New Roman" w:cs="Times New Roman"/>
          <w:sz w:val="24"/>
          <w:lang w:val="en-GB"/>
        </w:rPr>
        <w:t xml:space="preserve"> as standard. Briefly 290 µl of reaction mixture containing 0.046 M sodium phosphate buffer (pH 6.2), 50 </w:t>
      </w:r>
      <w:proofErr w:type="spellStart"/>
      <w:r w:rsidRPr="005D3347">
        <w:rPr>
          <w:rFonts w:ascii="Times New Roman" w:eastAsia="Times New Roman" w:hAnsi="Times New Roman" w:cs="Times New Roman"/>
          <w:sz w:val="24"/>
          <w:lang w:val="en-GB"/>
        </w:rPr>
        <w:t>mM</w:t>
      </w:r>
      <w:proofErr w:type="spellEnd"/>
      <w:r w:rsidRPr="005D3347">
        <w:rPr>
          <w:rFonts w:ascii="Times New Roman" w:eastAsia="Times New Roman" w:hAnsi="Times New Roman" w:cs="Times New Roman"/>
          <w:sz w:val="24"/>
          <w:lang w:val="en-GB"/>
        </w:rPr>
        <w:t xml:space="preserve"> </w:t>
      </w:r>
      <w:r w:rsidRPr="005D3347">
        <w:rPr>
          <w:rFonts w:ascii="Times New Roman" w:eastAsia="Times New Roman" w:hAnsi="Times New Roman" w:cs="Times New Roman"/>
          <w:smallCaps/>
          <w:sz w:val="24"/>
          <w:lang w:val="en-GB"/>
        </w:rPr>
        <w:t>DL-</w:t>
      </w:r>
      <w:proofErr w:type="spellStart"/>
      <w:r w:rsidRPr="005D3347">
        <w:rPr>
          <w:rFonts w:ascii="Times New Roman" w:eastAsia="Times New Roman" w:hAnsi="Times New Roman" w:cs="Times New Roman"/>
          <w:sz w:val="24"/>
          <w:lang w:val="en-GB"/>
        </w:rPr>
        <w:t>Glyceraldehyade</w:t>
      </w:r>
      <w:proofErr w:type="spellEnd"/>
      <w:r w:rsidRPr="005D3347">
        <w:rPr>
          <w:rFonts w:ascii="Times New Roman" w:eastAsia="Times New Roman" w:hAnsi="Times New Roman" w:cs="Times New Roman"/>
          <w:sz w:val="24"/>
          <w:lang w:val="en-GB"/>
        </w:rPr>
        <w:t>, 27.5x10</w:t>
      </w:r>
      <w:r w:rsidRPr="005D3347">
        <w:rPr>
          <w:rFonts w:ascii="Times New Roman" w:eastAsia="Times New Roman" w:hAnsi="Times New Roman" w:cs="Times New Roman"/>
          <w:sz w:val="24"/>
          <w:vertAlign w:val="superscript"/>
          <w:lang w:val="en-GB"/>
        </w:rPr>
        <w:t>-5</w:t>
      </w:r>
      <w:r w:rsidRPr="005D3347">
        <w:rPr>
          <w:rFonts w:ascii="Times New Roman" w:eastAsia="Times New Roman" w:hAnsi="Times New Roman" w:cs="Times New Roman"/>
          <w:sz w:val="24"/>
          <w:lang w:val="en-GB"/>
        </w:rPr>
        <w:t xml:space="preserve"> M NADPH and lens homogenate was taken in a 96 well plate. To this, 10 µl of samples at various concentrations dissolved in 0.1M PBS was added. 10 µl each of PBS and </w:t>
      </w:r>
      <w:proofErr w:type="spellStart"/>
      <w:r w:rsidRPr="005D3347">
        <w:rPr>
          <w:rFonts w:ascii="Times New Roman" w:eastAsia="Times New Roman" w:hAnsi="Times New Roman" w:cs="Times New Roman"/>
          <w:sz w:val="24"/>
          <w:lang w:val="en-GB"/>
        </w:rPr>
        <w:t>zopolrestat</w:t>
      </w:r>
      <w:proofErr w:type="spellEnd"/>
      <w:r w:rsidRPr="005D3347">
        <w:rPr>
          <w:rFonts w:ascii="Times New Roman" w:eastAsia="Times New Roman" w:hAnsi="Times New Roman" w:cs="Times New Roman"/>
          <w:sz w:val="24"/>
          <w:lang w:val="en-GB"/>
        </w:rPr>
        <w:t xml:space="preserve"> was used as negative and positive control respectively. It was incubated at 37 °C for 10 min and the reaction was initiated by the addition of </w:t>
      </w:r>
      <w:r w:rsidRPr="005D3347">
        <w:rPr>
          <w:rFonts w:ascii="Times New Roman" w:eastAsia="Times New Roman" w:hAnsi="Times New Roman" w:cs="Times New Roman"/>
          <w:smallCaps/>
          <w:sz w:val="24"/>
          <w:lang w:val="en-GB"/>
        </w:rPr>
        <w:t>DL</w:t>
      </w:r>
      <w:r w:rsidRPr="005D3347">
        <w:rPr>
          <w:rFonts w:ascii="Times New Roman" w:eastAsia="Times New Roman" w:hAnsi="Times New Roman" w:cs="Times New Roman"/>
          <w:sz w:val="24"/>
          <w:lang w:val="en-GB"/>
        </w:rPr>
        <w:t xml:space="preserve">-glyceraldehyde. The decrease in the absorbance was read at 340 nm in a </w:t>
      </w:r>
      <w:proofErr w:type="spellStart"/>
      <w:r w:rsidRPr="005D3347">
        <w:rPr>
          <w:rFonts w:ascii="Times New Roman" w:eastAsia="Times New Roman" w:hAnsi="Times New Roman" w:cs="Times New Roman"/>
          <w:sz w:val="24"/>
          <w:lang w:val="en-GB"/>
        </w:rPr>
        <w:t>microplate</w:t>
      </w:r>
      <w:proofErr w:type="spellEnd"/>
      <w:r w:rsidRPr="005D3347">
        <w:rPr>
          <w:rFonts w:ascii="Times New Roman" w:eastAsia="Times New Roman" w:hAnsi="Times New Roman" w:cs="Times New Roman"/>
          <w:sz w:val="24"/>
          <w:lang w:val="en-GB"/>
        </w:rPr>
        <w:t xml:space="preserve"> reader (</w:t>
      </w:r>
      <w:proofErr w:type="spellStart"/>
      <w:r w:rsidRPr="005D3347">
        <w:rPr>
          <w:rFonts w:ascii="Times New Roman" w:eastAsia="Times New Roman" w:hAnsi="Times New Roman" w:cs="Times New Roman"/>
          <w:sz w:val="24"/>
          <w:lang w:val="en-GB"/>
        </w:rPr>
        <w:t>Biotek</w:t>
      </w:r>
      <w:proofErr w:type="spellEnd"/>
      <w:r w:rsidRPr="005D3347">
        <w:rPr>
          <w:rFonts w:ascii="Times New Roman" w:eastAsia="Times New Roman" w:hAnsi="Times New Roman" w:cs="Times New Roman"/>
          <w:sz w:val="24"/>
          <w:lang w:val="en-GB"/>
        </w:rPr>
        <w:t xml:space="preserve"> Synergy 4, USA) for 10 min at 1 min interval. </w:t>
      </w:r>
    </w:p>
    <w:p w:rsidR="00C5474B" w:rsidRPr="005D3347" w:rsidRDefault="00C5474B" w:rsidP="00C5474B">
      <w:pPr>
        <w:pStyle w:val="Normal1"/>
        <w:suppressLineNumbers/>
        <w:spacing w:after="0" w:line="360" w:lineRule="auto"/>
        <w:jc w:val="both"/>
        <w:rPr>
          <w:rFonts w:ascii="Times New Roman" w:hAnsi="Times New Roman" w:cs="Times New Roman"/>
          <w:lang w:val="en-GB"/>
        </w:rPr>
      </w:pPr>
      <w:r w:rsidRPr="005D3347">
        <w:rPr>
          <w:rFonts w:ascii="Times New Roman" w:eastAsia="Times New Roman" w:hAnsi="Times New Roman" w:cs="Times New Roman"/>
          <w:b/>
          <w:sz w:val="24"/>
          <w:lang w:val="en-GB"/>
        </w:rPr>
        <w:t xml:space="preserve">1.7. </w:t>
      </w:r>
      <w:proofErr w:type="spellStart"/>
      <w:r w:rsidRPr="005D3347">
        <w:rPr>
          <w:rFonts w:ascii="Times New Roman" w:eastAsia="Times New Roman" w:hAnsi="Times New Roman" w:cs="Times New Roman"/>
          <w:b/>
          <w:i/>
          <w:sz w:val="24"/>
          <w:lang w:val="en-GB"/>
        </w:rPr>
        <w:t>Antiglycation</w:t>
      </w:r>
      <w:proofErr w:type="spellEnd"/>
      <w:r w:rsidRPr="005D3347">
        <w:rPr>
          <w:rFonts w:ascii="Times New Roman" w:eastAsia="Times New Roman" w:hAnsi="Times New Roman" w:cs="Times New Roman"/>
          <w:b/>
          <w:i/>
          <w:sz w:val="24"/>
          <w:lang w:val="en-GB"/>
        </w:rPr>
        <w:t xml:space="preserve"> assay</w:t>
      </w:r>
    </w:p>
    <w:p w:rsidR="00C5474B" w:rsidRPr="005D3347" w:rsidRDefault="00C5474B" w:rsidP="00C5474B">
      <w:pPr>
        <w:pStyle w:val="Normal1"/>
        <w:suppressLineNumbers/>
        <w:tabs>
          <w:tab w:val="left" w:pos="720"/>
        </w:tabs>
        <w:spacing w:after="0" w:line="360" w:lineRule="auto"/>
        <w:jc w:val="both"/>
        <w:rPr>
          <w:rFonts w:ascii="Times New Roman" w:hAnsi="Times New Roman" w:cs="Times New Roman"/>
          <w:lang w:val="en-GB"/>
        </w:rPr>
      </w:pPr>
      <w:r w:rsidRPr="005D3347">
        <w:rPr>
          <w:rFonts w:ascii="Times New Roman" w:eastAsia="Times New Roman" w:hAnsi="Times New Roman" w:cs="Times New Roman"/>
          <w:sz w:val="24"/>
          <w:lang w:val="en-GB"/>
        </w:rPr>
        <w:t xml:space="preserve">The </w:t>
      </w:r>
      <w:proofErr w:type="spellStart"/>
      <w:r w:rsidRPr="005D3347">
        <w:rPr>
          <w:rFonts w:ascii="Times New Roman" w:eastAsia="Times New Roman" w:hAnsi="Times New Roman" w:cs="Times New Roman"/>
          <w:sz w:val="24"/>
          <w:lang w:val="en-GB"/>
        </w:rPr>
        <w:t>antiglycation</w:t>
      </w:r>
      <w:proofErr w:type="spellEnd"/>
      <w:r w:rsidRPr="005D3347">
        <w:rPr>
          <w:rFonts w:ascii="Times New Roman" w:eastAsia="Times New Roman" w:hAnsi="Times New Roman" w:cs="Times New Roman"/>
          <w:sz w:val="24"/>
          <w:lang w:val="en-GB"/>
        </w:rPr>
        <w:t xml:space="preserve"> property of PTEE was examined according to the method of Brownlee et al. (1986)</w:t>
      </w:r>
      <w:r w:rsidRPr="005D3347">
        <w:rPr>
          <w:rFonts w:ascii="Times New Roman" w:eastAsia="Times New Roman" w:hAnsi="Times New Roman" w:cs="Times New Roman"/>
          <w:color w:val="FF0000"/>
          <w:sz w:val="24"/>
          <w:lang w:val="en-GB"/>
        </w:rPr>
        <w:t xml:space="preserve"> </w:t>
      </w:r>
      <w:r w:rsidRPr="005D3347">
        <w:rPr>
          <w:rFonts w:ascii="Times New Roman" w:eastAsia="Times New Roman" w:hAnsi="Times New Roman" w:cs="Times New Roman"/>
          <w:sz w:val="24"/>
          <w:lang w:val="en-GB"/>
        </w:rPr>
        <w:t xml:space="preserve">with slight modifications, BSA (5 mg/mL) was incubated with glucose (500 </w:t>
      </w:r>
      <w:proofErr w:type="spellStart"/>
      <w:r w:rsidRPr="005D3347">
        <w:rPr>
          <w:rFonts w:ascii="Times New Roman" w:eastAsia="Times New Roman" w:hAnsi="Times New Roman" w:cs="Times New Roman"/>
          <w:sz w:val="24"/>
          <w:lang w:val="en-GB"/>
        </w:rPr>
        <w:t>mM</w:t>
      </w:r>
      <w:proofErr w:type="spellEnd"/>
      <w:r w:rsidRPr="005D3347">
        <w:rPr>
          <w:rFonts w:ascii="Times New Roman" w:eastAsia="Times New Roman" w:hAnsi="Times New Roman" w:cs="Times New Roman"/>
          <w:sz w:val="24"/>
          <w:lang w:val="en-GB"/>
        </w:rPr>
        <w:t xml:space="preserve">) in phosphate buffered-saline (PBS) (1mL total volume, pH 7.4) and extract (0.05 to 0.5mg/mL) containing 0.02% sodium </w:t>
      </w:r>
      <w:proofErr w:type="spellStart"/>
      <w:r w:rsidRPr="005D3347">
        <w:rPr>
          <w:rFonts w:ascii="Times New Roman" w:eastAsia="Times New Roman" w:hAnsi="Times New Roman" w:cs="Times New Roman"/>
          <w:sz w:val="24"/>
          <w:lang w:val="en-GB"/>
        </w:rPr>
        <w:t>azide</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Aminoguanidine</w:t>
      </w:r>
      <w:proofErr w:type="spellEnd"/>
      <w:r w:rsidRPr="005D3347">
        <w:rPr>
          <w:rFonts w:ascii="Times New Roman" w:eastAsia="Times New Roman" w:hAnsi="Times New Roman" w:cs="Times New Roman"/>
          <w:sz w:val="24"/>
          <w:lang w:val="en-GB"/>
        </w:rPr>
        <w:t xml:space="preserve"> was used as positive control. Reaction mixtures were kept in the dark at 37 °C for 7 days. After 7 days of incubation, fluorescence intensity (excitation and emission wavelength of 370 nm and 440 nm) was measured.</w:t>
      </w:r>
    </w:p>
    <w:p w:rsidR="00C5474B" w:rsidRPr="005D3347" w:rsidRDefault="00C5474B" w:rsidP="00C5474B">
      <w:pPr>
        <w:pStyle w:val="Normal1"/>
        <w:suppressLineNumbers/>
        <w:spacing w:after="0" w:line="360" w:lineRule="auto"/>
        <w:jc w:val="both"/>
        <w:rPr>
          <w:rFonts w:ascii="Times New Roman" w:hAnsi="Times New Roman" w:cs="Times New Roman"/>
          <w:lang w:val="en-GB"/>
        </w:rPr>
      </w:pPr>
      <w:r w:rsidRPr="005D3347">
        <w:rPr>
          <w:rFonts w:ascii="Times New Roman" w:eastAsia="Times New Roman" w:hAnsi="Times New Roman" w:cs="Times New Roman"/>
          <w:b/>
          <w:sz w:val="24"/>
          <w:lang w:val="en-GB"/>
        </w:rPr>
        <w:lastRenderedPageBreak/>
        <w:t xml:space="preserve">1.8. </w:t>
      </w:r>
      <w:r w:rsidRPr="005D3347">
        <w:rPr>
          <w:rFonts w:ascii="Times New Roman" w:eastAsia="Times New Roman" w:hAnsi="Times New Roman" w:cs="Times New Roman"/>
          <w:b/>
          <w:i/>
          <w:sz w:val="24"/>
          <w:lang w:val="en-GB"/>
        </w:rPr>
        <w:t>Statistical Analysis</w:t>
      </w:r>
    </w:p>
    <w:p w:rsidR="00C5474B" w:rsidRPr="005D3347" w:rsidRDefault="00C5474B" w:rsidP="00C5474B">
      <w:pPr>
        <w:pStyle w:val="Normal1"/>
        <w:suppressLineNumbers/>
        <w:spacing w:after="0" w:line="360" w:lineRule="auto"/>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The experimental results were expressed as mean ± SD (standard deviation) of 3 independent experiments with duplicates (n=6). The data were subjected to one-way analysis of variance (ANOVA) and the significance of differences between means was calculated by Duncan’s multiple range tests using SPSS for Windows, standard version 7.5.1, with the significance accepted at P≤ 0.05.</w:t>
      </w:r>
    </w:p>
    <w:p w:rsidR="00C5474B" w:rsidRPr="005D3347" w:rsidRDefault="00C5474B" w:rsidP="00C5474B">
      <w:pPr>
        <w:spacing w:after="0" w:line="360" w:lineRule="auto"/>
        <w:rPr>
          <w:rFonts w:ascii="Times New Roman" w:hAnsi="Times New Roman" w:cs="Times New Roman"/>
          <w:b/>
          <w:sz w:val="24"/>
          <w:szCs w:val="24"/>
        </w:rPr>
      </w:pPr>
      <w:r w:rsidRPr="005D3347">
        <w:rPr>
          <w:rFonts w:ascii="Times New Roman" w:hAnsi="Times New Roman" w:cs="Times New Roman"/>
          <w:b/>
          <w:sz w:val="24"/>
          <w:szCs w:val="24"/>
        </w:rPr>
        <w:t>References</w:t>
      </w:r>
    </w:p>
    <w:p w:rsidR="00E90A04" w:rsidRPr="005D3347" w:rsidRDefault="00E90A04" w:rsidP="00941417">
      <w:pPr>
        <w:autoSpaceDE w:val="0"/>
        <w:autoSpaceDN w:val="0"/>
        <w:adjustRightInd w:val="0"/>
        <w:spacing w:after="0" w:line="360" w:lineRule="auto"/>
        <w:jc w:val="both"/>
        <w:rPr>
          <w:rFonts w:ascii="Times New Roman" w:hAnsi="Times New Roman" w:cs="Times New Roman"/>
          <w:iCs/>
          <w:sz w:val="24"/>
          <w:szCs w:val="24"/>
        </w:rPr>
      </w:pPr>
      <w:proofErr w:type="gramStart"/>
      <w:r w:rsidRPr="005D3347">
        <w:rPr>
          <w:rFonts w:ascii="Times New Roman" w:hAnsi="Times New Roman" w:cs="Times New Roman"/>
          <w:sz w:val="24"/>
          <w:szCs w:val="24"/>
        </w:rPr>
        <w:t>Association of Official Analytical Chemists (AOAC).</w:t>
      </w:r>
      <w:proofErr w:type="gramEnd"/>
      <w:r w:rsidRPr="005D3347">
        <w:rPr>
          <w:rFonts w:ascii="Times New Roman" w:hAnsi="Times New Roman" w:cs="Times New Roman"/>
          <w:sz w:val="24"/>
          <w:szCs w:val="24"/>
        </w:rPr>
        <w:t xml:space="preserve"> </w:t>
      </w:r>
      <w:r w:rsidRPr="005D3347">
        <w:rPr>
          <w:rFonts w:ascii="Times New Roman" w:hAnsi="Times New Roman" w:cs="Times New Roman"/>
          <w:iCs/>
          <w:sz w:val="24"/>
          <w:szCs w:val="24"/>
        </w:rPr>
        <w:t>Official Methods of Analysis of AOAC</w:t>
      </w:r>
      <w:r w:rsidR="00941417" w:rsidRPr="005D3347">
        <w:rPr>
          <w:rFonts w:ascii="Times New Roman" w:hAnsi="Times New Roman" w:cs="Times New Roman"/>
          <w:iCs/>
          <w:sz w:val="24"/>
          <w:szCs w:val="24"/>
        </w:rPr>
        <w:t xml:space="preserve"> </w:t>
      </w:r>
      <w:r w:rsidRPr="005D3347">
        <w:rPr>
          <w:rFonts w:ascii="Times New Roman" w:hAnsi="Times New Roman" w:cs="Times New Roman"/>
          <w:iCs/>
          <w:sz w:val="24"/>
          <w:szCs w:val="24"/>
        </w:rPr>
        <w:t>International</w:t>
      </w:r>
      <w:r w:rsidRPr="005D3347">
        <w:rPr>
          <w:rFonts w:ascii="Times New Roman" w:hAnsi="Times New Roman" w:cs="Times New Roman"/>
          <w:sz w:val="24"/>
          <w:szCs w:val="24"/>
        </w:rPr>
        <w:t>, 17th ed.; AOAC International: Gaithersburg, MD, USA, 2000.</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Brownlee M, </w:t>
      </w:r>
      <w:proofErr w:type="spellStart"/>
      <w:r w:rsidRPr="005D3347">
        <w:rPr>
          <w:rFonts w:ascii="Times New Roman" w:eastAsia="Times New Roman" w:hAnsi="Times New Roman" w:cs="Times New Roman"/>
          <w:sz w:val="24"/>
          <w:lang w:val="en-GB"/>
        </w:rPr>
        <w:t>Vlassara</w:t>
      </w:r>
      <w:proofErr w:type="spellEnd"/>
      <w:r w:rsidRPr="005D3347">
        <w:rPr>
          <w:rFonts w:ascii="Times New Roman" w:eastAsia="Times New Roman" w:hAnsi="Times New Roman" w:cs="Times New Roman"/>
          <w:sz w:val="24"/>
          <w:lang w:val="en-GB"/>
        </w:rPr>
        <w:t xml:space="preserve"> H, </w:t>
      </w:r>
      <w:proofErr w:type="spellStart"/>
      <w:r w:rsidRPr="005D3347">
        <w:rPr>
          <w:rFonts w:ascii="Times New Roman" w:eastAsia="Times New Roman" w:hAnsi="Times New Roman" w:cs="Times New Roman"/>
          <w:sz w:val="24"/>
          <w:lang w:val="en-GB"/>
        </w:rPr>
        <w:t>Kooney</w:t>
      </w:r>
      <w:proofErr w:type="spellEnd"/>
      <w:r w:rsidRPr="005D3347">
        <w:rPr>
          <w:rFonts w:ascii="Times New Roman" w:eastAsia="Times New Roman" w:hAnsi="Times New Roman" w:cs="Times New Roman"/>
          <w:sz w:val="24"/>
          <w:lang w:val="en-GB"/>
        </w:rPr>
        <w:t xml:space="preserve"> A, Ulrich P, </w:t>
      </w:r>
      <w:proofErr w:type="spellStart"/>
      <w:r w:rsidRPr="005D3347">
        <w:rPr>
          <w:rFonts w:ascii="Times New Roman" w:eastAsia="Times New Roman" w:hAnsi="Times New Roman" w:cs="Times New Roman"/>
          <w:sz w:val="24"/>
          <w:lang w:val="en-GB"/>
        </w:rPr>
        <w:t>Cerami</w:t>
      </w:r>
      <w:proofErr w:type="spellEnd"/>
      <w:r w:rsidRPr="005D3347">
        <w:rPr>
          <w:rFonts w:ascii="Times New Roman" w:eastAsia="Times New Roman" w:hAnsi="Times New Roman" w:cs="Times New Roman"/>
          <w:sz w:val="24"/>
          <w:lang w:val="en-GB"/>
        </w:rPr>
        <w:t xml:space="preserve"> A. 1986. </w:t>
      </w:r>
      <w:proofErr w:type="spellStart"/>
      <w:r w:rsidRPr="005D3347">
        <w:rPr>
          <w:rFonts w:ascii="Times New Roman" w:eastAsia="Times New Roman" w:hAnsi="Times New Roman" w:cs="Times New Roman"/>
          <w:sz w:val="24"/>
          <w:lang w:val="en-GB"/>
        </w:rPr>
        <w:t>Aminoguanidine</w:t>
      </w:r>
      <w:proofErr w:type="spellEnd"/>
      <w:r w:rsidRPr="005D3347">
        <w:rPr>
          <w:rFonts w:ascii="Times New Roman" w:eastAsia="Times New Roman" w:hAnsi="Times New Roman" w:cs="Times New Roman"/>
          <w:sz w:val="24"/>
          <w:lang w:val="en-GB"/>
        </w:rPr>
        <w:t xml:space="preserve"> prevents</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proofErr w:type="gramStart"/>
      <w:r w:rsidRPr="005D3347">
        <w:rPr>
          <w:rFonts w:ascii="Times New Roman" w:eastAsia="Times New Roman" w:hAnsi="Times New Roman" w:cs="Times New Roman"/>
          <w:sz w:val="24"/>
          <w:lang w:val="en-GB"/>
        </w:rPr>
        <w:t>diabetes-induced</w:t>
      </w:r>
      <w:proofErr w:type="gramEnd"/>
      <w:r w:rsidRPr="005D3347">
        <w:rPr>
          <w:rFonts w:ascii="Times New Roman" w:eastAsia="Times New Roman" w:hAnsi="Times New Roman" w:cs="Times New Roman"/>
          <w:sz w:val="24"/>
          <w:lang w:val="en-GB"/>
        </w:rPr>
        <w:t xml:space="preserve"> arterial wall protein cross-linking.  </w:t>
      </w:r>
      <w:proofErr w:type="gramStart"/>
      <w:r w:rsidRPr="005D3347">
        <w:rPr>
          <w:rFonts w:ascii="Times New Roman" w:eastAsia="Times New Roman" w:hAnsi="Times New Roman" w:cs="Times New Roman"/>
          <w:sz w:val="24"/>
          <w:lang w:val="en-GB"/>
        </w:rPr>
        <w:t>Science.</w:t>
      </w:r>
      <w:proofErr w:type="gramEnd"/>
      <w:r w:rsidRPr="005D3347">
        <w:rPr>
          <w:rFonts w:ascii="Times New Roman" w:eastAsia="Times New Roman" w:hAnsi="Times New Roman" w:cs="Times New Roman"/>
          <w:sz w:val="24"/>
          <w:lang w:val="en-GB"/>
        </w:rPr>
        <w:t xml:space="preserve"> 232: 1629-1632. </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proofErr w:type="spellStart"/>
      <w:r w:rsidRPr="005D3347">
        <w:rPr>
          <w:rFonts w:ascii="Times New Roman" w:eastAsia="Times New Roman" w:hAnsi="Times New Roman" w:cs="Times New Roman"/>
          <w:sz w:val="24"/>
          <w:lang w:val="en-GB"/>
        </w:rPr>
        <w:t>Halliwell</w:t>
      </w:r>
      <w:proofErr w:type="spellEnd"/>
      <w:r w:rsidRPr="005D3347">
        <w:rPr>
          <w:rFonts w:ascii="Times New Roman" w:eastAsia="Times New Roman" w:hAnsi="Times New Roman" w:cs="Times New Roman"/>
          <w:sz w:val="24"/>
          <w:lang w:val="en-GB"/>
        </w:rPr>
        <w:t xml:space="preserve"> B, </w:t>
      </w:r>
      <w:proofErr w:type="spellStart"/>
      <w:r w:rsidRPr="005D3347">
        <w:rPr>
          <w:rFonts w:ascii="Times New Roman" w:eastAsia="Times New Roman" w:hAnsi="Times New Roman" w:cs="Times New Roman"/>
          <w:sz w:val="24"/>
          <w:lang w:val="en-GB"/>
        </w:rPr>
        <w:t>Gutteridge</w:t>
      </w:r>
      <w:proofErr w:type="spellEnd"/>
      <w:r w:rsidRPr="005D3347">
        <w:rPr>
          <w:rFonts w:ascii="Times New Roman" w:eastAsia="Times New Roman" w:hAnsi="Times New Roman" w:cs="Times New Roman"/>
          <w:sz w:val="24"/>
          <w:lang w:val="en-GB"/>
        </w:rPr>
        <w:t xml:space="preserve"> JMC, </w:t>
      </w:r>
      <w:proofErr w:type="spellStart"/>
      <w:r w:rsidRPr="005D3347">
        <w:rPr>
          <w:rFonts w:ascii="Times New Roman" w:eastAsia="Times New Roman" w:hAnsi="Times New Roman" w:cs="Times New Roman"/>
          <w:sz w:val="24"/>
          <w:lang w:val="en-GB"/>
        </w:rPr>
        <w:t>Aruoma</w:t>
      </w:r>
      <w:proofErr w:type="spellEnd"/>
      <w:r w:rsidRPr="005D3347">
        <w:rPr>
          <w:rFonts w:ascii="Times New Roman" w:eastAsia="Times New Roman" w:hAnsi="Times New Roman" w:cs="Times New Roman"/>
          <w:sz w:val="24"/>
          <w:lang w:val="en-GB"/>
        </w:rPr>
        <w:t xml:space="preserve"> OI. 1987. The </w:t>
      </w:r>
      <w:proofErr w:type="spellStart"/>
      <w:r w:rsidRPr="005D3347">
        <w:rPr>
          <w:rFonts w:ascii="Times New Roman" w:eastAsia="Times New Roman" w:hAnsi="Times New Roman" w:cs="Times New Roman"/>
          <w:sz w:val="24"/>
          <w:lang w:val="en-GB"/>
        </w:rPr>
        <w:t>deoxyribose</w:t>
      </w:r>
      <w:proofErr w:type="spellEnd"/>
      <w:r w:rsidRPr="005D3347">
        <w:rPr>
          <w:rFonts w:ascii="Times New Roman" w:eastAsia="Times New Roman" w:hAnsi="Times New Roman" w:cs="Times New Roman"/>
          <w:sz w:val="24"/>
          <w:lang w:val="en-GB"/>
        </w:rPr>
        <w:t xml:space="preserve"> method: A simple test tube</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szCs w:val="24"/>
          <w:lang w:val="en-GB"/>
        </w:rPr>
      </w:pPr>
      <w:r w:rsidRPr="005D3347">
        <w:rPr>
          <w:rFonts w:ascii="Times New Roman" w:eastAsia="Times New Roman" w:hAnsi="Times New Roman" w:cs="Times New Roman"/>
          <w:sz w:val="24"/>
          <w:lang w:val="en-GB"/>
        </w:rPr>
        <w:t xml:space="preserve">   </w:t>
      </w:r>
      <w:proofErr w:type="gramStart"/>
      <w:r w:rsidRPr="005D3347">
        <w:rPr>
          <w:rFonts w:ascii="Times New Roman" w:eastAsia="Times New Roman" w:hAnsi="Times New Roman" w:cs="Times New Roman"/>
          <w:sz w:val="24"/>
          <w:lang w:val="en-GB"/>
        </w:rPr>
        <w:t>assay</w:t>
      </w:r>
      <w:proofErr w:type="gramEnd"/>
      <w:r w:rsidRPr="005D3347">
        <w:rPr>
          <w:rFonts w:ascii="Times New Roman" w:eastAsia="Times New Roman" w:hAnsi="Times New Roman" w:cs="Times New Roman"/>
          <w:sz w:val="24"/>
          <w:lang w:val="en-GB"/>
        </w:rPr>
        <w:t xml:space="preserve"> for determination of rate constants for reactions of hydroxyl radicals. </w:t>
      </w:r>
      <w:proofErr w:type="gramStart"/>
      <w:r w:rsidRPr="005D3347">
        <w:rPr>
          <w:rFonts w:ascii="Times New Roman" w:eastAsia="Times New Roman" w:hAnsi="Times New Roman" w:cs="Times New Roman"/>
          <w:sz w:val="24"/>
          <w:lang w:val="en-GB"/>
        </w:rPr>
        <w:t xml:space="preserve">Anal </w:t>
      </w:r>
      <w:proofErr w:type="spellStart"/>
      <w:r w:rsidRPr="005D3347">
        <w:rPr>
          <w:rFonts w:ascii="Times New Roman" w:eastAsia="Times New Roman" w:hAnsi="Times New Roman" w:cs="Times New Roman"/>
          <w:sz w:val="24"/>
          <w:szCs w:val="24"/>
          <w:lang w:val="en-GB"/>
        </w:rPr>
        <w:t>Biochem</w:t>
      </w:r>
      <w:proofErr w:type="spellEnd"/>
      <w:r w:rsidRPr="005D3347">
        <w:rPr>
          <w:rFonts w:ascii="Times New Roman" w:eastAsia="Times New Roman" w:hAnsi="Times New Roman" w:cs="Times New Roman"/>
          <w:sz w:val="24"/>
          <w:szCs w:val="24"/>
          <w:lang w:val="en-GB"/>
        </w:rPr>
        <w:t>.</w:t>
      </w:r>
      <w:proofErr w:type="gramEnd"/>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szCs w:val="24"/>
          <w:lang w:val="en-GB"/>
        </w:rPr>
      </w:pPr>
      <w:r w:rsidRPr="005D3347">
        <w:rPr>
          <w:rFonts w:ascii="Times New Roman" w:eastAsia="Times New Roman" w:hAnsi="Times New Roman" w:cs="Times New Roman"/>
          <w:sz w:val="24"/>
          <w:szCs w:val="24"/>
          <w:lang w:val="en-GB"/>
        </w:rPr>
        <w:t xml:space="preserve">  165: 215-219.</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Hayman S, Kinoshita JH. 1965. Isolation and properties of lens aldose </w:t>
      </w:r>
      <w:proofErr w:type="spellStart"/>
      <w:r w:rsidRPr="005D3347">
        <w:rPr>
          <w:rFonts w:ascii="Times New Roman" w:eastAsia="Times New Roman" w:hAnsi="Times New Roman" w:cs="Times New Roman"/>
          <w:sz w:val="24"/>
          <w:lang w:val="en-GB"/>
        </w:rPr>
        <w:t>reductase</w:t>
      </w:r>
      <w:proofErr w:type="spellEnd"/>
      <w:r w:rsidRPr="005D3347">
        <w:rPr>
          <w:rFonts w:ascii="Times New Roman" w:eastAsia="Times New Roman" w:hAnsi="Times New Roman" w:cs="Times New Roman"/>
          <w:sz w:val="24"/>
          <w:lang w:val="en-GB"/>
        </w:rPr>
        <w:t xml:space="preserve">. J </w:t>
      </w:r>
      <w:proofErr w:type="spellStart"/>
      <w:r w:rsidRPr="005D3347">
        <w:rPr>
          <w:rFonts w:ascii="Times New Roman" w:eastAsia="Times New Roman" w:hAnsi="Times New Roman" w:cs="Times New Roman"/>
          <w:sz w:val="24"/>
          <w:lang w:val="en-GB"/>
        </w:rPr>
        <w:t>Biol</w:t>
      </w:r>
      <w:proofErr w:type="spellEnd"/>
      <w:r w:rsidRPr="005D3347">
        <w:rPr>
          <w:rFonts w:ascii="Times New Roman" w:eastAsia="Times New Roman" w:hAnsi="Times New Roman" w:cs="Times New Roman"/>
          <w:sz w:val="24"/>
          <w:lang w:val="en-GB"/>
        </w:rPr>
        <w:t xml:space="preserve"> </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Chem. 240: 877-882.</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proofErr w:type="spellStart"/>
      <w:r w:rsidRPr="005D3347">
        <w:rPr>
          <w:rFonts w:ascii="Times New Roman" w:eastAsia="Times New Roman" w:hAnsi="Times New Roman" w:cs="Times New Roman"/>
          <w:sz w:val="24"/>
          <w:lang w:val="en-GB"/>
        </w:rPr>
        <w:t>Jia</w:t>
      </w:r>
      <w:proofErr w:type="spellEnd"/>
      <w:r w:rsidRPr="005D3347">
        <w:rPr>
          <w:rFonts w:ascii="Times New Roman" w:eastAsia="Times New Roman" w:hAnsi="Times New Roman" w:cs="Times New Roman"/>
          <w:sz w:val="24"/>
          <w:lang w:val="en-GB"/>
        </w:rPr>
        <w:t xml:space="preserve"> Z, </w:t>
      </w:r>
      <w:proofErr w:type="spellStart"/>
      <w:r w:rsidRPr="005D3347">
        <w:rPr>
          <w:rFonts w:ascii="Times New Roman" w:eastAsia="Times New Roman" w:hAnsi="Times New Roman" w:cs="Times New Roman"/>
          <w:sz w:val="24"/>
          <w:lang w:val="en-GB"/>
        </w:rPr>
        <w:t>Mengcheng</w:t>
      </w:r>
      <w:proofErr w:type="spellEnd"/>
      <w:r w:rsidRPr="005D3347">
        <w:rPr>
          <w:rFonts w:ascii="Times New Roman" w:eastAsia="Times New Roman" w:hAnsi="Times New Roman" w:cs="Times New Roman"/>
          <w:sz w:val="24"/>
          <w:lang w:val="en-GB"/>
        </w:rPr>
        <w:t xml:space="preserve"> T, Wu J. 1999. The determination of flavonoid contents in mulberry and</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proofErr w:type="gramStart"/>
      <w:r w:rsidRPr="005D3347">
        <w:rPr>
          <w:rFonts w:ascii="Times New Roman" w:eastAsia="Times New Roman" w:hAnsi="Times New Roman" w:cs="Times New Roman"/>
          <w:sz w:val="24"/>
          <w:lang w:val="en-GB"/>
        </w:rPr>
        <w:t>their</w:t>
      </w:r>
      <w:proofErr w:type="gramEnd"/>
      <w:r w:rsidRPr="005D3347">
        <w:rPr>
          <w:rFonts w:ascii="Times New Roman" w:eastAsia="Times New Roman" w:hAnsi="Times New Roman" w:cs="Times New Roman"/>
          <w:sz w:val="24"/>
          <w:lang w:val="en-GB"/>
        </w:rPr>
        <w:t xml:space="preserve"> scavenging effects on superoxide radicals. Food Chem. 64: 555-559.</w:t>
      </w:r>
    </w:p>
    <w:p w:rsidR="00C5474B" w:rsidRPr="005D3347" w:rsidRDefault="00C5474B" w:rsidP="00C5474B">
      <w:pPr>
        <w:autoSpaceDE w:val="0"/>
        <w:autoSpaceDN w:val="0"/>
        <w:adjustRightInd w:val="0"/>
        <w:spacing w:after="0" w:line="360" w:lineRule="auto"/>
        <w:jc w:val="both"/>
        <w:rPr>
          <w:rFonts w:ascii="Times New Roman" w:hAnsi="Times New Roman" w:cs="Times New Roman"/>
          <w:color w:val="131413"/>
          <w:sz w:val="24"/>
          <w:szCs w:val="24"/>
          <w:lang w:val="en-GB"/>
        </w:rPr>
      </w:pPr>
      <w:r w:rsidRPr="005D3347">
        <w:rPr>
          <w:rFonts w:ascii="Times New Roman" w:hAnsi="Times New Roman" w:cs="Times New Roman"/>
          <w:color w:val="131413"/>
          <w:sz w:val="24"/>
          <w:szCs w:val="24"/>
          <w:lang w:val="en-GB"/>
        </w:rPr>
        <w:t xml:space="preserve">Lowry OH, </w:t>
      </w:r>
      <w:proofErr w:type="spellStart"/>
      <w:r w:rsidRPr="005D3347">
        <w:rPr>
          <w:rFonts w:ascii="Times New Roman" w:hAnsi="Times New Roman" w:cs="Times New Roman"/>
          <w:color w:val="131413"/>
          <w:sz w:val="24"/>
          <w:szCs w:val="24"/>
          <w:lang w:val="en-GB"/>
        </w:rPr>
        <w:t>Rosebrough</w:t>
      </w:r>
      <w:proofErr w:type="spellEnd"/>
      <w:r w:rsidRPr="005D3347">
        <w:rPr>
          <w:rFonts w:ascii="Times New Roman" w:hAnsi="Times New Roman" w:cs="Times New Roman"/>
          <w:color w:val="131413"/>
          <w:sz w:val="24"/>
          <w:szCs w:val="24"/>
          <w:lang w:val="en-GB"/>
        </w:rPr>
        <w:t xml:space="preserve"> NJ, Farr AL, Randall RJ. 1951. Protein measurement with </w:t>
      </w:r>
      <w:proofErr w:type="spellStart"/>
      <w:r w:rsidRPr="005D3347">
        <w:rPr>
          <w:rFonts w:ascii="Times New Roman" w:hAnsi="Times New Roman" w:cs="Times New Roman"/>
          <w:color w:val="131413"/>
          <w:sz w:val="24"/>
          <w:szCs w:val="24"/>
          <w:lang w:val="en-GB"/>
        </w:rPr>
        <w:t>Folin</w:t>
      </w:r>
      <w:proofErr w:type="spellEnd"/>
      <w:r w:rsidRPr="005D3347">
        <w:rPr>
          <w:rFonts w:ascii="Times New Roman" w:hAnsi="Times New Roman" w:cs="Times New Roman"/>
          <w:color w:val="131413"/>
          <w:sz w:val="24"/>
          <w:szCs w:val="24"/>
          <w:lang w:val="en-GB"/>
        </w:rPr>
        <w:t xml:space="preserve"> </w:t>
      </w:r>
    </w:p>
    <w:p w:rsidR="00C5474B" w:rsidRPr="005D3347" w:rsidRDefault="00C5474B" w:rsidP="00C5474B">
      <w:pPr>
        <w:autoSpaceDE w:val="0"/>
        <w:autoSpaceDN w:val="0"/>
        <w:adjustRightInd w:val="0"/>
        <w:spacing w:after="0" w:line="360" w:lineRule="auto"/>
        <w:ind w:left="-76" w:firstLine="76"/>
        <w:jc w:val="both"/>
        <w:rPr>
          <w:rFonts w:ascii="Times New Roman" w:hAnsi="Times New Roman" w:cs="Times New Roman"/>
          <w:color w:val="131413"/>
          <w:sz w:val="24"/>
          <w:szCs w:val="24"/>
          <w:lang w:val="en-GB"/>
        </w:rPr>
      </w:pPr>
      <w:r w:rsidRPr="005D3347">
        <w:rPr>
          <w:rFonts w:ascii="Times New Roman" w:hAnsi="Times New Roman" w:cs="Times New Roman"/>
          <w:color w:val="131413"/>
          <w:sz w:val="24"/>
          <w:szCs w:val="24"/>
          <w:lang w:val="en-GB"/>
        </w:rPr>
        <w:t xml:space="preserve">  </w:t>
      </w:r>
      <w:proofErr w:type="gramStart"/>
      <w:r w:rsidRPr="005D3347">
        <w:rPr>
          <w:rFonts w:ascii="Times New Roman" w:hAnsi="Times New Roman" w:cs="Times New Roman"/>
          <w:color w:val="131413"/>
          <w:sz w:val="24"/>
          <w:szCs w:val="24"/>
          <w:lang w:val="en-GB"/>
        </w:rPr>
        <w:t>phenol</w:t>
      </w:r>
      <w:proofErr w:type="gramEnd"/>
      <w:r w:rsidRPr="005D3347">
        <w:rPr>
          <w:rFonts w:ascii="Times New Roman" w:hAnsi="Times New Roman" w:cs="Times New Roman"/>
          <w:color w:val="131413"/>
          <w:sz w:val="24"/>
          <w:szCs w:val="24"/>
          <w:lang w:val="en-GB"/>
        </w:rPr>
        <w:t xml:space="preserve"> reagent. J </w:t>
      </w:r>
      <w:proofErr w:type="spellStart"/>
      <w:r w:rsidRPr="005D3347">
        <w:rPr>
          <w:rFonts w:ascii="Times New Roman" w:hAnsi="Times New Roman" w:cs="Times New Roman"/>
          <w:color w:val="131413"/>
          <w:sz w:val="24"/>
          <w:szCs w:val="24"/>
          <w:lang w:val="en-GB"/>
        </w:rPr>
        <w:t>Biol</w:t>
      </w:r>
      <w:proofErr w:type="spellEnd"/>
      <w:r w:rsidRPr="005D3347">
        <w:rPr>
          <w:rFonts w:ascii="Times New Roman" w:hAnsi="Times New Roman" w:cs="Times New Roman"/>
          <w:color w:val="131413"/>
          <w:sz w:val="24"/>
          <w:szCs w:val="24"/>
          <w:lang w:val="en-GB"/>
        </w:rPr>
        <w:t xml:space="preserve"> Chem. 193: 265–275.</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Oyaizu M. 1986. </w:t>
      </w:r>
      <w:proofErr w:type="gramStart"/>
      <w:r w:rsidRPr="005D3347">
        <w:rPr>
          <w:rFonts w:ascii="Times New Roman" w:eastAsia="Times New Roman" w:hAnsi="Times New Roman" w:cs="Times New Roman"/>
          <w:sz w:val="24"/>
          <w:lang w:val="en-GB"/>
        </w:rPr>
        <w:t>Studies on the product of browning reaction prepared by glucosamine.</w:t>
      </w:r>
      <w:proofErr w:type="gram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Jpn</w:t>
      </w:r>
      <w:proofErr w:type="spellEnd"/>
      <w:r w:rsidRPr="005D3347">
        <w:rPr>
          <w:rFonts w:ascii="Times New Roman" w:eastAsia="Times New Roman" w:hAnsi="Times New Roman" w:cs="Times New Roman"/>
          <w:sz w:val="24"/>
          <w:lang w:val="en-GB"/>
        </w:rPr>
        <w:t xml:space="preserve"> J</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proofErr w:type="spellStart"/>
      <w:proofErr w:type="gramStart"/>
      <w:r w:rsidRPr="005D3347">
        <w:rPr>
          <w:rFonts w:ascii="Times New Roman" w:eastAsia="Times New Roman" w:hAnsi="Times New Roman" w:cs="Times New Roman"/>
          <w:sz w:val="24"/>
          <w:lang w:val="en-GB"/>
        </w:rPr>
        <w:t>Nutr</w:t>
      </w:r>
      <w:proofErr w:type="spellEnd"/>
      <w:r w:rsidRPr="005D3347">
        <w:rPr>
          <w:rFonts w:ascii="Times New Roman" w:eastAsia="Times New Roman" w:hAnsi="Times New Roman" w:cs="Times New Roman"/>
          <w:sz w:val="24"/>
          <w:lang w:val="en-GB"/>
        </w:rPr>
        <w:t>.</w:t>
      </w:r>
      <w:proofErr w:type="gramEnd"/>
      <w:r w:rsidRPr="005D3347">
        <w:rPr>
          <w:rFonts w:ascii="Times New Roman" w:eastAsia="Times New Roman" w:hAnsi="Times New Roman" w:cs="Times New Roman"/>
          <w:sz w:val="24"/>
          <w:lang w:val="en-GB"/>
        </w:rPr>
        <w:t xml:space="preserve">  44:307-315.</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Re R, </w:t>
      </w:r>
      <w:proofErr w:type="spellStart"/>
      <w:r w:rsidRPr="005D3347">
        <w:rPr>
          <w:rFonts w:ascii="Times New Roman" w:eastAsia="Times New Roman" w:hAnsi="Times New Roman" w:cs="Times New Roman"/>
          <w:sz w:val="24"/>
          <w:lang w:val="en-GB"/>
        </w:rPr>
        <w:t>Pellegrini</w:t>
      </w:r>
      <w:proofErr w:type="spellEnd"/>
      <w:r w:rsidRPr="005D3347">
        <w:rPr>
          <w:rFonts w:ascii="Times New Roman" w:eastAsia="Times New Roman" w:hAnsi="Times New Roman" w:cs="Times New Roman"/>
          <w:sz w:val="24"/>
          <w:lang w:val="en-GB"/>
        </w:rPr>
        <w:t xml:space="preserve"> N, </w:t>
      </w:r>
      <w:proofErr w:type="spellStart"/>
      <w:r w:rsidRPr="005D3347">
        <w:rPr>
          <w:rFonts w:ascii="Times New Roman" w:eastAsia="Times New Roman" w:hAnsi="Times New Roman" w:cs="Times New Roman"/>
          <w:sz w:val="24"/>
          <w:lang w:val="en-GB"/>
        </w:rPr>
        <w:t>Proteggente</w:t>
      </w:r>
      <w:proofErr w:type="spellEnd"/>
      <w:r w:rsidRPr="005D3347">
        <w:rPr>
          <w:rFonts w:ascii="Times New Roman" w:eastAsia="Times New Roman" w:hAnsi="Times New Roman" w:cs="Times New Roman"/>
          <w:sz w:val="24"/>
          <w:lang w:val="en-GB"/>
        </w:rPr>
        <w:t xml:space="preserve"> A, </w:t>
      </w:r>
      <w:proofErr w:type="spellStart"/>
      <w:r w:rsidRPr="005D3347">
        <w:rPr>
          <w:rFonts w:ascii="Times New Roman" w:eastAsia="Times New Roman" w:hAnsi="Times New Roman" w:cs="Times New Roman"/>
          <w:sz w:val="24"/>
          <w:lang w:val="en-GB"/>
        </w:rPr>
        <w:t>Pannala</w:t>
      </w:r>
      <w:proofErr w:type="spellEnd"/>
      <w:r w:rsidRPr="005D3347">
        <w:rPr>
          <w:rFonts w:ascii="Times New Roman" w:eastAsia="Times New Roman" w:hAnsi="Times New Roman" w:cs="Times New Roman"/>
          <w:sz w:val="24"/>
          <w:lang w:val="en-GB"/>
        </w:rPr>
        <w:t xml:space="preserve"> A, Yang M, Rice-Evans C. 1999. Antioxidant</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proofErr w:type="gramStart"/>
      <w:r w:rsidRPr="005D3347">
        <w:rPr>
          <w:rFonts w:ascii="Times New Roman" w:eastAsia="Times New Roman" w:hAnsi="Times New Roman" w:cs="Times New Roman"/>
          <w:sz w:val="24"/>
          <w:lang w:val="en-GB"/>
        </w:rPr>
        <w:t>activity</w:t>
      </w:r>
      <w:proofErr w:type="gramEnd"/>
      <w:r w:rsidRPr="005D3347">
        <w:rPr>
          <w:rFonts w:ascii="Times New Roman" w:eastAsia="Times New Roman" w:hAnsi="Times New Roman" w:cs="Times New Roman"/>
          <w:sz w:val="24"/>
          <w:lang w:val="en-GB"/>
        </w:rPr>
        <w:t xml:space="preserve"> applying an improved ABTS radical </w:t>
      </w:r>
      <w:proofErr w:type="spellStart"/>
      <w:r w:rsidRPr="005D3347">
        <w:rPr>
          <w:rFonts w:ascii="Times New Roman" w:eastAsia="Times New Roman" w:hAnsi="Times New Roman" w:cs="Times New Roman"/>
          <w:sz w:val="24"/>
          <w:lang w:val="en-GB"/>
        </w:rPr>
        <w:t>cation</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decolorization</w:t>
      </w:r>
      <w:proofErr w:type="spellEnd"/>
      <w:r w:rsidRPr="005D3347">
        <w:rPr>
          <w:rFonts w:ascii="Times New Roman" w:eastAsia="Times New Roman" w:hAnsi="Times New Roman" w:cs="Times New Roman"/>
          <w:sz w:val="24"/>
          <w:lang w:val="en-GB"/>
        </w:rPr>
        <w:t xml:space="preserve"> assay. Free Rad </w:t>
      </w:r>
      <w:proofErr w:type="spellStart"/>
      <w:r w:rsidRPr="005D3347">
        <w:rPr>
          <w:rFonts w:ascii="Times New Roman" w:eastAsia="Times New Roman" w:hAnsi="Times New Roman" w:cs="Times New Roman"/>
          <w:sz w:val="24"/>
          <w:lang w:val="en-GB"/>
        </w:rPr>
        <w:t>Biol</w:t>
      </w:r>
      <w:proofErr w:type="spellEnd"/>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Med. 26:1231-1237.</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i/>
          <w:sz w:val="24"/>
          <w:lang w:val="en-GB"/>
        </w:rPr>
      </w:pPr>
      <w:proofErr w:type="gramStart"/>
      <w:r w:rsidRPr="005D3347">
        <w:rPr>
          <w:rFonts w:ascii="Times New Roman" w:eastAsia="Times New Roman" w:hAnsi="Times New Roman" w:cs="Times New Roman"/>
          <w:sz w:val="24"/>
          <w:lang w:val="en-GB"/>
        </w:rPr>
        <w:t xml:space="preserve">Riya MP, </w:t>
      </w:r>
      <w:proofErr w:type="spellStart"/>
      <w:r w:rsidRPr="005D3347">
        <w:rPr>
          <w:rFonts w:ascii="Times New Roman" w:eastAsia="Times New Roman" w:hAnsi="Times New Roman" w:cs="Times New Roman"/>
          <w:sz w:val="24"/>
          <w:lang w:val="en-GB"/>
        </w:rPr>
        <w:t>Antu</w:t>
      </w:r>
      <w:proofErr w:type="spellEnd"/>
      <w:r w:rsidRPr="005D3347">
        <w:rPr>
          <w:rFonts w:ascii="Times New Roman" w:eastAsia="Times New Roman" w:hAnsi="Times New Roman" w:cs="Times New Roman"/>
          <w:sz w:val="24"/>
          <w:lang w:val="en-GB"/>
        </w:rPr>
        <w:t xml:space="preserve"> KA, </w:t>
      </w:r>
      <w:proofErr w:type="spellStart"/>
      <w:r w:rsidRPr="005D3347">
        <w:rPr>
          <w:rFonts w:ascii="Times New Roman" w:eastAsia="Times New Roman" w:hAnsi="Times New Roman" w:cs="Times New Roman"/>
          <w:sz w:val="24"/>
          <w:lang w:val="en-GB"/>
        </w:rPr>
        <w:t>Vinu</w:t>
      </w:r>
      <w:proofErr w:type="spellEnd"/>
      <w:r w:rsidRPr="005D3347">
        <w:rPr>
          <w:rFonts w:ascii="Times New Roman" w:eastAsia="Times New Roman" w:hAnsi="Times New Roman" w:cs="Times New Roman"/>
          <w:sz w:val="24"/>
          <w:lang w:val="en-GB"/>
        </w:rPr>
        <w:t xml:space="preserve"> T, </w:t>
      </w:r>
      <w:proofErr w:type="spellStart"/>
      <w:r w:rsidRPr="005D3347">
        <w:rPr>
          <w:rFonts w:ascii="Times New Roman" w:eastAsia="Times New Roman" w:hAnsi="Times New Roman" w:cs="Times New Roman"/>
          <w:sz w:val="24"/>
          <w:lang w:val="en-GB"/>
        </w:rPr>
        <w:t>Chandrakanth</w:t>
      </w:r>
      <w:proofErr w:type="spellEnd"/>
      <w:r w:rsidRPr="005D3347">
        <w:rPr>
          <w:rFonts w:ascii="Times New Roman" w:eastAsia="Times New Roman" w:hAnsi="Times New Roman" w:cs="Times New Roman"/>
          <w:sz w:val="24"/>
          <w:lang w:val="en-GB"/>
        </w:rPr>
        <w:t xml:space="preserve"> KC, </w:t>
      </w:r>
      <w:proofErr w:type="spellStart"/>
      <w:r w:rsidRPr="005D3347">
        <w:rPr>
          <w:rFonts w:ascii="Times New Roman" w:eastAsia="Times New Roman" w:hAnsi="Times New Roman" w:cs="Times New Roman"/>
          <w:sz w:val="24"/>
          <w:lang w:val="en-GB"/>
        </w:rPr>
        <w:t>Anilkumar</w:t>
      </w:r>
      <w:proofErr w:type="spellEnd"/>
      <w:r w:rsidRPr="005D3347">
        <w:rPr>
          <w:rFonts w:ascii="Times New Roman" w:eastAsia="Times New Roman" w:hAnsi="Times New Roman" w:cs="Times New Roman"/>
          <w:sz w:val="24"/>
          <w:lang w:val="en-GB"/>
        </w:rPr>
        <w:t xml:space="preserve"> KS, Raghu K.G. 2013.</w:t>
      </w:r>
      <w:proofErr w:type="gramEnd"/>
      <w:r w:rsidRPr="005D3347">
        <w:rPr>
          <w:rFonts w:ascii="Times New Roman" w:eastAsia="Times New Roman" w:hAnsi="Times New Roman" w:cs="Times New Roman"/>
          <w:sz w:val="24"/>
          <w:lang w:val="en-GB"/>
        </w:rPr>
        <w:t xml:space="preserve"> An </w:t>
      </w:r>
      <w:r w:rsidRPr="005D3347">
        <w:rPr>
          <w:rFonts w:ascii="Times New Roman" w:eastAsia="Times New Roman" w:hAnsi="Times New Roman" w:cs="Times New Roman"/>
          <w:i/>
          <w:sz w:val="24"/>
          <w:lang w:val="en-GB"/>
        </w:rPr>
        <w:t>in</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i/>
          <w:sz w:val="24"/>
          <w:lang w:val="en-GB"/>
        </w:rPr>
        <w:t xml:space="preserve">   </w:t>
      </w:r>
      <w:proofErr w:type="gramStart"/>
      <w:r w:rsidRPr="005D3347">
        <w:rPr>
          <w:rFonts w:ascii="Times New Roman" w:eastAsia="Times New Roman" w:hAnsi="Times New Roman" w:cs="Times New Roman"/>
          <w:i/>
          <w:sz w:val="24"/>
          <w:lang w:val="en-GB"/>
        </w:rPr>
        <w:t>vitro</w:t>
      </w:r>
      <w:proofErr w:type="gramEnd"/>
      <w:r w:rsidRPr="005D3347">
        <w:rPr>
          <w:rFonts w:ascii="Times New Roman" w:eastAsia="Times New Roman" w:hAnsi="Times New Roman" w:cs="Times New Roman"/>
          <w:sz w:val="24"/>
          <w:lang w:val="en-GB"/>
        </w:rPr>
        <w:t xml:space="preserve"> study reveals the </w:t>
      </w:r>
      <w:proofErr w:type="spellStart"/>
      <w:r w:rsidRPr="005D3347">
        <w:rPr>
          <w:rFonts w:ascii="Times New Roman" w:eastAsia="Times New Roman" w:hAnsi="Times New Roman" w:cs="Times New Roman"/>
          <w:sz w:val="24"/>
          <w:lang w:val="en-GB"/>
        </w:rPr>
        <w:t>nutraceutical</w:t>
      </w:r>
      <w:proofErr w:type="spellEnd"/>
      <w:r w:rsidRPr="005D3347">
        <w:rPr>
          <w:rFonts w:ascii="Times New Roman" w:eastAsia="Times New Roman" w:hAnsi="Times New Roman" w:cs="Times New Roman"/>
          <w:sz w:val="24"/>
          <w:lang w:val="en-GB"/>
        </w:rPr>
        <w:t xml:space="preserve"> properties of </w:t>
      </w:r>
      <w:proofErr w:type="spellStart"/>
      <w:r w:rsidRPr="005D3347">
        <w:rPr>
          <w:rFonts w:ascii="Times New Roman" w:eastAsia="Times New Roman" w:hAnsi="Times New Roman" w:cs="Times New Roman"/>
          <w:i/>
          <w:sz w:val="24"/>
          <w:lang w:val="en-GB"/>
        </w:rPr>
        <w:t>Ananas</w:t>
      </w:r>
      <w:proofErr w:type="spellEnd"/>
      <w:r w:rsidRPr="005D3347">
        <w:rPr>
          <w:rFonts w:ascii="Times New Roman" w:eastAsia="Times New Roman" w:hAnsi="Times New Roman" w:cs="Times New Roman"/>
          <w:i/>
          <w:sz w:val="24"/>
          <w:lang w:val="en-GB"/>
        </w:rPr>
        <w:t xml:space="preserve"> </w:t>
      </w:r>
      <w:proofErr w:type="spellStart"/>
      <w:r w:rsidRPr="005D3347">
        <w:rPr>
          <w:rFonts w:ascii="Times New Roman" w:eastAsia="Times New Roman" w:hAnsi="Times New Roman" w:cs="Times New Roman"/>
          <w:i/>
          <w:sz w:val="24"/>
          <w:lang w:val="en-GB"/>
        </w:rPr>
        <w:t>comosus</w:t>
      </w:r>
      <w:proofErr w:type="spellEnd"/>
      <w:r w:rsidRPr="005D3347">
        <w:rPr>
          <w:rFonts w:ascii="Times New Roman" w:eastAsia="Times New Roman" w:hAnsi="Times New Roman" w:cs="Times New Roman"/>
          <w:i/>
          <w:sz w:val="24"/>
          <w:lang w:val="en-GB"/>
        </w:rPr>
        <w:t xml:space="preserve"> </w:t>
      </w:r>
      <w:r w:rsidRPr="005D3347">
        <w:rPr>
          <w:rFonts w:ascii="Times New Roman" w:eastAsia="Times New Roman" w:hAnsi="Times New Roman" w:cs="Times New Roman"/>
          <w:sz w:val="24"/>
          <w:lang w:val="en-GB"/>
        </w:rPr>
        <w:t>(L.) Merr.var. Mauritius</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i/>
          <w:sz w:val="24"/>
          <w:lang w:val="en-GB"/>
        </w:rPr>
      </w:pPr>
      <w:r w:rsidRPr="005D3347">
        <w:rPr>
          <w:rFonts w:ascii="Times New Roman" w:eastAsia="Times New Roman" w:hAnsi="Times New Roman" w:cs="Times New Roman"/>
          <w:sz w:val="24"/>
          <w:lang w:val="en-GB"/>
        </w:rPr>
        <w:t xml:space="preserve">   </w:t>
      </w:r>
      <w:proofErr w:type="gramStart"/>
      <w:r w:rsidRPr="005D3347">
        <w:rPr>
          <w:rFonts w:ascii="Times New Roman" w:eastAsia="Times New Roman" w:hAnsi="Times New Roman" w:cs="Times New Roman"/>
          <w:sz w:val="24"/>
          <w:lang w:val="en-GB"/>
        </w:rPr>
        <w:t>fruit</w:t>
      </w:r>
      <w:proofErr w:type="gramEnd"/>
      <w:r w:rsidRPr="005D3347">
        <w:rPr>
          <w:rFonts w:ascii="Times New Roman" w:eastAsia="Times New Roman" w:hAnsi="Times New Roman" w:cs="Times New Roman"/>
          <w:i/>
          <w:sz w:val="24"/>
          <w:lang w:val="en-GB"/>
        </w:rPr>
        <w:t xml:space="preserve"> </w:t>
      </w:r>
      <w:r w:rsidRPr="005D3347">
        <w:rPr>
          <w:rFonts w:ascii="Times New Roman" w:eastAsia="Times New Roman" w:hAnsi="Times New Roman" w:cs="Times New Roman"/>
          <w:sz w:val="24"/>
          <w:lang w:val="en-GB"/>
        </w:rPr>
        <w:t xml:space="preserve">residue beneficial to diabetes. J </w:t>
      </w:r>
      <w:proofErr w:type="spellStart"/>
      <w:r w:rsidRPr="005D3347">
        <w:rPr>
          <w:rFonts w:ascii="Times New Roman" w:eastAsia="Times New Roman" w:hAnsi="Times New Roman" w:cs="Times New Roman"/>
          <w:sz w:val="24"/>
          <w:lang w:val="en-GB"/>
        </w:rPr>
        <w:t>Sci</w:t>
      </w:r>
      <w:proofErr w:type="spellEnd"/>
      <w:r w:rsidRPr="005D3347">
        <w:rPr>
          <w:rFonts w:ascii="Times New Roman" w:eastAsia="Times New Roman" w:hAnsi="Times New Roman" w:cs="Times New Roman"/>
          <w:sz w:val="24"/>
          <w:lang w:val="en-GB"/>
        </w:rPr>
        <w:t xml:space="preserve"> Food Agri. </w:t>
      </w:r>
      <w:proofErr w:type="spellStart"/>
      <w:r w:rsidRPr="005D3347">
        <w:rPr>
          <w:rFonts w:ascii="Times New Roman" w:eastAsia="Times New Roman" w:hAnsi="Times New Roman" w:cs="Times New Roman"/>
          <w:sz w:val="24"/>
          <w:lang w:val="en-GB"/>
        </w:rPr>
        <w:t>doi</w:t>
      </w:r>
      <w:proofErr w:type="spellEnd"/>
      <w:r w:rsidRPr="005D3347">
        <w:rPr>
          <w:rFonts w:ascii="Times New Roman" w:eastAsia="Times New Roman" w:hAnsi="Times New Roman" w:cs="Times New Roman"/>
          <w:sz w:val="24"/>
          <w:lang w:val="en-GB"/>
        </w:rPr>
        <w:t>: 10.1002/jsfa.6340.</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Shimada K, </w:t>
      </w:r>
      <w:proofErr w:type="spellStart"/>
      <w:r w:rsidRPr="005D3347">
        <w:rPr>
          <w:rFonts w:ascii="Times New Roman" w:eastAsia="Times New Roman" w:hAnsi="Times New Roman" w:cs="Times New Roman"/>
          <w:sz w:val="24"/>
          <w:lang w:val="en-GB"/>
        </w:rPr>
        <w:t>Fujikawa</w:t>
      </w:r>
      <w:proofErr w:type="spellEnd"/>
      <w:r w:rsidRPr="005D3347">
        <w:rPr>
          <w:rFonts w:ascii="Times New Roman" w:eastAsia="Times New Roman" w:hAnsi="Times New Roman" w:cs="Times New Roman"/>
          <w:sz w:val="24"/>
          <w:lang w:val="en-GB"/>
        </w:rPr>
        <w:t xml:space="preserve"> K, </w:t>
      </w:r>
      <w:proofErr w:type="spellStart"/>
      <w:r w:rsidRPr="005D3347">
        <w:rPr>
          <w:rFonts w:ascii="Times New Roman" w:eastAsia="Times New Roman" w:hAnsi="Times New Roman" w:cs="Times New Roman"/>
          <w:sz w:val="24"/>
          <w:lang w:val="en-GB"/>
        </w:rPr>
        <w:t>Yahara</w:t>
      </w:r>
      <w:proofErr w:type="spellEnd"/>
      <w:r w:rsidRPr="005D3347">
        <w:rPr>
          <w:rFonts w:ascii="Times New Roman" w:eastAsia="Times New Roman" w:hAnsi="Times New Roman" w:cs="Times New Roman"/>
          <w:sz w:val="24"/>
          <w:lang w:val="en-GB"/>
        </w:rPr>
        <w:t xml:space="preserve"> K, Nakamura T. 1992. </w:t>
      </w:r>
      <w:proofErr w:type="spellStart"/>
      <w:r w:rsidRPr="005D3347">
        <w:rPr>
          <w:rFonts w:ascii="Times New Roman" w:eastAsia="Times New Roman" w:hAnsi="Times New Roman" w:cs="Times New Roman"/>
          <w:sz w:val="24"/>
          <w:lang w:val="en-GB"/>
        </w:rPr>
        <w:t>Antioxidative</w:t>
      </w:r>
      <w:proofErr w:type="spellEnd"/>
      <w:r w:rsidRPr="005D3347">
        <w:rPr>
          <w:rFonts w:ascii="Times New Roman" w:eastAsia="Times New Roman" w:hAnsi="Times New Roman" w:cs="Times New Roman"/>
          <w:sz w:val="24"/>
          <w:lang w:val="en-GB"/>
        </w:rPr>
        <w:t xml:space="preserve"> properties of xanthan </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proofErr w:type="gramStart"/>
      <w:r w:rsidRPr="005D3347">
        <w:rPr>
          <w:rFonts w:ascii="Times New Roman" w:eastAsia="Times New Roman" w:hAnsi="Times New Roman" w:cs="Times New Roman"/>
          <w:sz w:val="24"/>
          <w:lang w:val="en-GB"/>
        </w:rPr>
        <w:t>on</w:t>
      </w:r>
      <w:proofErr w:type="gramEnd"/>
      <w:r w:rsidRPr="005D3347">
        <w:rPr>
          <w:rFonts w:ascii="Times New Roman" w:eastAsia="Times New Roman" w:hAnsi="Times New Roman" w:cs="Times New Roman"/>
          <w:sz w:val="24"/>
          <w:lang w:val="en-GB"/>
        </w:rPr>
        <w:t xml:space="preserve"> the </w:t>
      </w:r>
      <w:proofErr w:type="spellStart"/>
      <w:r w:rsidRPr="005D3347">
        <w:rPr>
          <w:rFonts w:ascii="Times New Roman" w:eastAsia="Times New Roman" w:hAnsi="Times New Roman" w:cs="Times New Roman"/>
          <w:sz w:val="24"/>
          <w:lang w:val="en-GB"/>
        </w:rPr>
        <w:t>autooxidation</w:t>
      </w:r>
      <w:proofErr w:type="spellEnd"/>
      <w:r w:rsidRPr="005D3347">
        <w:rPr>
          <w:rFonts w:ascii="Times New Roman" w:eastAsia="Times New Roman" w:hAnsi="Times New Roman" w:cs="Times New Roman"/>
          <w:sz w:val="24"/>
          <w:lang w:val="en-GB"/>
        </w:rPr>
        <w:t xml:space="preserve"> of soybean oil in </w:t>
      </w:r>
      <w:proofErr w:type="spellStart"/>
      <w:r w:rsidRPr="005D3347">
        <w:rPr>
          <w:rFonts w:ascii="Times New Roman" w:eastAsia="Times New Roman" w:hAnsi="Times New Roman" w:cs="Times New Roman"/>
          <w:sz w:val="24"/>
          <w:lang w:val="en-GB"/>
        </w:rPr>
        <w:t>cyclodextrin</w:t>
      </w:r>
      <w:proofErr w:type="spellEnd"/>
      <w:r w:rsidRPr="005D3347">
        <w:rPr>
          <w:rFonts w:ascii="Times New Roman" w:eastAsia="Times New Roman" w:hAnsi="Times New Roman" w:cs="Times New Roman"/>
          <w:sz w:val="24"/>
          <w:lang w:val="en-GB"/>
        </w:rPr>
        <w:t xml:space="preserve"> emulsion. J </w:t>
      </w:r>
      <w:proofErr w:type="spellStart"/>
      <w:r w:rsidRPr="005D3347">
        <w:rPr>
          <w:rFonts w:ascii="Times New Roman" w:eastAsia="Times New Roman" w:hAnsi="Times New Roman" w:cs="Times New Roman"/>
          <w:sz w:val="24"/>
          <w:lang w:val="en-GB"/>
        </w:rPr>
        <w:t>Agri</w:t>
      </w:r>
      <w:proofErr w:type="spellEnd"/>
      <w:r w:rsidRPr="005D3347">
        <w:rPr>
          <w:rFonts w:ascii="Times New Roman" w:eastAsia="Times New Roman" w:hAnsi="Times New Roman" w:cs="Times New Roman"/>
          <w:sz w:val="24"/>
          <w:lang w:val="en-GB"/>
        </w:rPr>
        <w:t xml:space="preserve"> Food Chem. 40: 945-</w:t>
      </w:r>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948.</w:t>
      </w:r>
    </w:p>
    <w:p w:rsidR="00C5474B" w:rsidRPr="005D3347" w:rsidRDefault="00C5474B" w:rsidP="00C5474B">
      <w:pPr>
        <w:pStyle w:val="Normal1"/>
        <w:suppressLineNumbers/>
        <w:spacing w:after="0" w:line="360" w:lineRule="auto"/>
        <w:contextualSpacing/>
        <w:jc w:val="both"/>
        <w:rPr>
          <w:rFonts w:ascii="Times New Roman" w:eastAsia="Times New Roman" w:hAnsi="Times New Roman" w:cs="Times New Roman"/>
          <w:sz w:val="24"/>
          <w:lang w:val="en-GB"/>
        </w:rPr>
      </w:pPr>
      <w:proofErr w:type="gramStart"/>
      <w:r w:rsidRPr="005D3347">
        <w:rPr>
          <w:rFonts w:ascii="Times New Roman" w:eastAsia="Times New Roman" w:hAnsi="Times New Roman" w:cs="Times New Roman"/>
          <w:sz w:val="24"/>
          <w:lang w:val="en-GB"/>
        </w:rPr>
        <w:t>Singleton VL, Rossi JA.</w:t>
      </w:r>
      <w:proofErr w:type="gramEnd"/>
      <w:r w:rsidRPr="005D3347">
        <w:rPr>
          <w:rFonts w:ascii="Times New Roman" w:eastAsia="Times New Roman" w:hAnsi="Times New Roman" w:cs="Times New Roman"/>
          <w:sz w:val="24"/>
          <w:lang w:val="en-GB"/>
        </w:rPr>
        <w:t xml:space="preserve"> 1965. </w:t>
      </w:r>
      <w:proofErr w:type="spellStart"/>
      <w:r w:rsidRPr="005D3347">
        <w:rPr>
          <w:rFonts w:ascii="Times New Roman" w:eastAsia="Times New Roman" w:hAnsi="Times New Roman" w:cs="Times New Roman"/>
          <w:sz w:val="24"/>
          <w:lang w:val="en-GB"/>
        </w:rPr>
        <w:t>Colorimetry</w:t>
      </w:r>
      <w:proofErr w:type="spellEnd"/>
      <w:r w:rsidRPr="005D3347">
        <w:rPr>
          <w:rFonts w:ascii="Times New Roman" w:eastAsia="Times New Roman" w:hAnsi="Times New Roman" w:cs="Times New Roman"/>
          <w:sz w:val="24"/>
          <w:lang w:val="en-GB"/>
        </w:rPr>
        <w:t xml:space="preserve"> of total </w:t>
      </w:r>
      <w:proofErr w:type="spellStart"/>
      <w:r w:rsidRPr="005D3347">
        <w:rPr>
          <w:rFonts w:ascii="Times New Roman" w:eastAsia="Times New Roman" w:hAnsi="Times New Roman" w:cs="Times New Roman"/>
          <w:sz w:val="24"/>
          <w:lang w:val="en-GB"/>
        </w:rPr>
        <w:t>phenolics</w:t>
      </w:r>
      <w:proofErr w:type="spellEnd"/>
      <w:r w:rsidRPr="005D3347">
        <w:rPr>
          <w:rFonts w:ascii="Times New Roman" w:eastAsia="Times New Roman" w:hAnsi="Times New Roman" w:cs="Times New Roman"/>
          <w:sz w:val="24"/>
          <w:lang w:val="en-GB"/>
        </w:rPr>
        <w:t xml:space="preserve"> with </w:t>
      </w:r>
      <w:proofErr w:type="spellStart"/>
      <w:r w:rsidRPr="005D3347">
        <w:rPr>
          <w:rFonts w:ascii="Times New Roman" w:eastAsia="Times New Roman" w:hAnsi="Times New Roman" w:cs="Times New Roman"/>
          <w:sz w:val="24"/>
          <w:lang w:val="en-GB"/>
        </w:rPr>
        <w:t>phosphomolybdic</w:t>
      </w:r>
      <w:proofErr w:type="spellEnd"/>
    </w:p>
    <w:p w:rsidR="00C5474B" w:rsidRPr="005D3347" w:rsidRDefault="00C5474B" w:rsidP="00C5474B">
      <w:pPr>
        <w:pStyle w:val="Normal1"/>
        <w:suppressLineNumbers/>
        <w:spacing w:after="0" w:line="360" w:lineRule="auto"/>
        <w:ind w:left="-76" w:firstLine="76"/>
        <w:contextualSpacing/>
        <w:jc w:val="both"/>
        <w:rPr>
          <w:rFonts w:ascii="Times New Roman" w:eastAsia="Times New Roman" w:hAnsi="Times New Roman" w:cs="Times New Roman"/>
          <w:sz w:val="24"/>
          <w:lang w:val="en-GB"/>
        </w:rPr>
      </w:pPr>
      <w:r w:rsidRPr="005D3347">
        <w:rPr>
          <w:rFonts w:ascii="Times New Roman" w:eastAsia="Times New Roman" w:hAnsi="Times New Roman" w:cs="Times New Roman"/>
          <w:sz w:val="24"/>
          <w:lang w:val="en-GB"/>
        </w:rPr>
        <w:t xml:space="preserve">   </w:t>
      </w:r>
      <w:proofErr w:type="spellStart"/>
      <w:proofErr w:type="gramStart"/>
      <w:r w:rsidRPr="005D3347">
        <w:rPr>
          <w:rFonts w:ascii="Times New Roman" w:eastAsia="Times New Roman" w:hAnsi="Times New Roman" w:cs="Times New Roman"/>
          <w:sz w:val="24"/>
          <w:lang w:val="en-GB"/>
        </w:rPr>
        <w:t>phosphotungstic</w:t>
      </w:r>
      <w:proofErr w:type="spellEnd"/>
      <w:proofErr w:type="gramEnd"/>
      <w:r w:rsidRPr="005D3347">
        <w:rPr>
          <w:rFonts w:ascii="Times New Roman" w:eastAsia="Times New Roman" w:hAnsi="Times New Roman" w:cs="Times New Roman"/>
          <w:sz w:val="24"/>
          <w:lang w:val="en-GB"/>
        </w:rPr>
        <w:t xml:space="preserve"> acid reagents. </w:t>
      </w:r>
      <w:proofErr w:type="gramStart"/>
      <w:r w:rsidRPr="005D3347">
        <w:rPr>
          <w:rFonts w:ascii="Times New Roman" w:eastAsia="Times New Roman" w:hAnsi="Times New Roman" w:cs="Times New Roman"/>
          <w:sz w:val="24"/>
          <w:lang w:val="en-GB"/>
        </w:rPr>
        <w:t xml:space="preserve">Am J </w:t>
      </w:r>
      <w:proofErr w:type="spellStart"/>
      <w:r w:rsidRPr="005D3347">
        <w:rPr>
          <w:rFonts w:ascii="Times New Roman" w:eastAsia="Times New Roman" w:hAnsi="Times New Roman" w:cs="Times New Roman"/>
          <w:sz w:val="24"/>
          <w:lang w:val="en-GB"/>
        </w:rPr>
        <w:t>Enol</w:t>
      </w:r>
      <w:proofErr w:type="spellEnd"/>
      <w:r w:rsidRPr="005D3347">
        <w:rPr>
          <w:rFonts w:ascii="Times New Roman" w:eastAsia="Times New Roman" w:hAnsi="Times New Roman" w:cs="Times New Roman"/>
          <w:sz w:val="24"/>
          <w:lang w:val="en-GB"/>
        </w:rPr>
        <w:t xml:space="preserve"> </w:t>
      </w:r>
      <w:proofErr w:type="spellStart"/>
      <w:r w:rsidRPr="005D3347">
        <w:rPr>
          <w:rFonts w:ascii="Times New Roman" w:eastAsia="Times New Roman" w:hAnsi="Times New Roman" w:cs="Times New Roman"/>
          <w:sz w:val="24"/>
          <w:lang w:val="en-GB"/>
        </w:rPr>
        <w:t>Viticult</w:t>
      </w:r>
      <w:proofErr w:type="spellEnd"/>
      <w:r w:rsidRPr="005D3347">
        <w:rPr>
          <w:rFonts w:ascii="Times New Roman" w:eastAsia="Times New Roman" w:hAnsi="Times New Roman" w:cs="Times New Roman"/>
          <w:sz w:val="24"/>
          <w:lang w:val="en-GB"/>
        </w:rPr>
        <w:t>.</w:t>
      </w:r>
      <w:proofErr w:type="gramEnd"/>
      <w:r w:rsidRPr="005D3347">
        <w:rPr>
          <w:rFonts w:ascii="Times New Roman" w:eastAsia="Times New Roman" w:hAnsi="Times New Roman" w:cs="Times New Roman"/>
          <w:sz w:val="24"/>
          <w:lang w:val="en-GB"/>
        </w:rPr>
        <w:t xml:space="preserve"> 16:144-158.</w:t>
      </w:r>
    </w:p>
    <w:p w:rsidR="0000381B" w:rsidRPr="005D3347" w:rsidRDefault="0000381B" w:rsidP="00E743C9">
      <w:pPr>
        <w:autoSpaceDE w:val="0"/>
        <w:autoSpaceDN w:val="0"/>
        <w:adjustRightInd w:val="0"/>
        <w:spacing w:after="0" w:line="360" w:lineRule="auto"/>
        <w:rPr>
          <w:rFonts w:ascii="Times New Roman" w:hAnsi="Times New Roman" w:cs="Times New Roman"/>
          <w:color w:val="131413"/>
          <w:sz w:val="24"/>
          <w:szCs w:val="24"/>
          <w:lang w:val="en-GB"/>
        </w:rPr>
      </w:pPr>
    </w:p>
    <w:p w:rsidR="00A82211" w:rsidRPr="005D3347" w:rsidRDefault="001F0FCE" w:rsidP="00E743C9">
      <w:pPr>
        <w:autoSpaceDE w:val="0"/>
        <w:autoSpaceDN w:val="0"/>
        <w:adjustRightInd w:val="0"/>
        <w:spacing w:after="0" w:line="360" w:lineRule="auto"/>
        <w:rPr>
          <w:rFonts w:ascii="Times New Roman" w:hAnsi="Times New Roman" w:cs="Times New Roman"/>
          <w:i/>
          <w:sz w:val="24"/>
          <w:szCs w:val="24"/>
        </w:rPr>
      </w:pPr>
      <w:r w:rsidRPr="005D3347">
        <w:rPr>
          <w:rFonts w:ascii="Times New Roman" w:hAnsi="Times New Roman" w:cs="Times New Roman"/>
          <w:b/>
          <w:sz w:val="24"/>
          <w:szCs w:val="24"/>
        </w:rPr>
        <w:lastRenderedPageBreak/>
        <w:t>Table.S1.</w:t>
      </w:r>
      <w:r w:rsidRPr="005D3347">
        <w:rPr>
          <w:rFonts w:ascii="Times New Roman" w:hAnsi="Times New Roman" w:cs="Times New Roman"/>
          <w:sz w:val="24"/>
          <w:szCs w:val="24"/>
        </w:rPr>
        <w:t xml:space="preserve"> Proximate composition of </w:t>
      </w:r>
      <w:r w:rsidRPr="005D3347">
        <w:rPr>
          <w:rFonts w:ascii="Times New Roman" w:hAnsi="Times New Roman" w:cs="Times New Roman"/>
          <w:i/>
          <w:sz w:val="24"/>
          <w:szCs w:val="24"/>
        </w:rPr>
        <w:t xml:space="preserve">P. </w:t>
      </w:r>
      <w:proofErr w:type="spellStart"/>
      <w:r w:rsidRPr="005D3347">
        <w:rPr>
          <w:rFonts w:ascii="Times New Roman" w:hAnsi="Times New Roman" w:cs="Times New Roman"/>
          <w:i/>
          <w:sz w:val="24"/>
          <w:szCs w:val="24"/>
        </w:rPr>
        <w:t>tinctorum</w:t>
      </w:r>
      <w:proofErr w:type="spellEnd"/>
    </w:p>
    <w:p w:rsidR="00710A5E" w:rsidRPr="005D3347" w:rsidRDefault="00710A5E" w:rsidP="00E743C9">
      <w:pPr>
        <w:autoSpaceDE w:val="0"/>
        <w:autoSpaceDN w:val="0"/>
        <w:adjustRightInd w:val="0"/>
        <w:spacing w:after="0" w:line="360" w:lineRule="auto"/>
        <w:rPr>
          <w:rFonts w:ascii="Times New Roman" w:hAnsi="Times New Roman" w:cs="Times New Roman"/>
          <w:sz w:val="24"/>
          <w:szCs w:val="24"/>
        </w:rPr>
      </w:pPr>
    </w:p>
    <w:tbl>
      <w:tblPr>
        <w:tblStyle w:val="TableGrid"/>
        <w:tblW w:w="3735" w:type="dxa"/>
        <w:tblInd w:w="133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175"/>
        <w:gridCol w:w="1560"/>
      </w:tblGrid>
      <w:tr w:rsidR="00A82211" w:rsidRPr="005D3347" w:rsidTr="00A72222">
        <w:trPr>
          <w:trHeight w:hRule="exact" w:val="397"/>
        </w:trPr>
        <w:tc>
          <w:tcPr>
            <w:tcW w:w="2175" w:type="dxa"/>
            <w:tcBorders>
              <w:bottom w:val="single" w:sz="4" w:space="0" w:color="auto"/>
            </w:tcBorders>
          </w:tcPr>
          <w:p w:rsidR="00A82211" w:rsidRPr="005D3347" w:rsidRDefault="00A82211" w:rsidP="00A72222">
            <w:pPr>
              <w:spacing w:line="360" w:lineRule="auto"/>
              <w:rPr>
                <w:rFonts w:ascii="Times New Roman" w:hAnsi="Times New Roman" w:cs="Times New Roman"/>
                <w:b/>
                <w:bCs/>
                <w:iCs/>
                <w:sz w:val="24"/>
                <w:szCs w:val="24"/>
              </w:rPr>
            </w:pPr>
            <w:r w:rsidRPr="005D3347">
              <w:rPr>
                <w:rFonts w:ascii="Times New Roman" w:hAnsi="Times New Roman" w:cs="Times New Roman"/>
                <w:b/>
                <w:iCs/>
                <w:sz w:val="24"/>
                <w:szCs w:val="24"/>
              </w:rPr>
              <w:t>Parameters</w:t>
            </w:r>
          </w:p>
        </w:tc>
        <w:tc>
          <w:tcPr>
            <w:tcW w:w="1560" w:type="dxa"/>
            <w:tcBorders>
              <w:bottom w:val="single" w:sz="4" w:space="0" w:color="auto"/>
            </w:tcBorders>
          </w:tcPr>
          <w:p w:rsidR="00A82211" w:rsidRPr="005D3347" w:rsidRDefault="00A82211" w:rsidP="00A72222">
            <w:pPr>
              <w:spacing w:line="360" w:lineRule="auto"/>
              <w:rPr>
                <w:rFonts w:ascii="Times New Roman" w:hAnsi="Times New Roman" w:cs="Times New Roman"/>
                <w:b/>
                <w:bCs/>
                <w:iCs/>
                <w:sz w:val="24"/>
                <w:szCs w:val="24"/>
              </w:rPr>
            </w:pPr>
            <w:r w:rsidRPr="005D3347">
              <w:rPr>
                <w:rFonts w:ascii="Times New Roman" w:hAnsi="Times New Roman" w:cs="Times New Roman"/>
                <w:b/>
                <w:iCs/>
                <w:sz w:val="24"/>
                <w:szCs w:val="24"/>
              </w:rPr>
              <w:t>Yield (%)</w:t>
            </w:r>
          </w:p>
        </w:tc>
      </w:tr>
      <w:tr w:rsidR="00A82211" w:rsidRPr="005D3347" w:rsidTr="00A72222">
        <w:trPr>
          <w:trHeight w:hRule="exact" w:val="397"/>
        </w:trPr>
        <w:tc>
          <w:tcPr>
            <w:tcW w:w="2175" w:type="dxa"/>
            <w:tcBorders>
              <w:top w:val="single" w:sz="4" w:space="0" w:color="auto"/>
              <w:bottom w:val="nil"/>
            </w:tcBorders>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iCs/>
                <w:sz w:val="24"/>
                <w:szCs w:val="24"/>
              </w:rPr>
              <w:t>Crude Fiber</w:t>
            </w:r>
          </w:p>
        </w:tc>
        <w:tc>
          <w:tcPr>
            <w:tcW w:w="1560" w:type="dxa"/>
            <w:tcBorders>
              <w:top w:val="single" w:sz="4" w:space="0" w:color="auto"/>
              <w:bottom w:val="nil"/>
            </w:tcBorders>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bCs/>
                <w:iCs/>
                <w:sz w:val="24"/>
                <w:szCs w:val="24"/>
              </w:rPr>
              <w:t>19.0 ± 0.5</w:t>
            </w:r>
          </w:p>
        </w:tc>
      </w:tr>
      <w:tr w:rsidR="00A82211" w:rsidRPr="005D3347" w:rsidTr="00A72222">
        <w:trPr>
          <w:trHeight w:hRule="exact" w:val="397"/>
        </w:trPr>
        <w:tc>
          <w:tcPr>
            <w:tcW w:w="2175" w:type="dxa"/>
            <w:tcBorders>
              <w:top w:val="nil"/>
            </w:tcBorders>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iCs/>
                <w:sz w:val="24"/>
                <w:szCs w:val="24"/>
              </w:rPr>
              <w:t>Dry weight</w:t>
            </w:r>
          </w:p>
        </w:tc>
        <w:tc>
          <w:tcPr>
            <w:tcW w:w="1560" w:type="dxa"/>
            <w:tcBorders>
              <w:top w:val="nil"/>
            </w:tcBorders>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bCs/>
                <w:iCs/>
                <w:sz w:val="24"/>
                <w:szCs w:val="24"/>
              </w:rPr>
              <w:t>0.87 ± 0.2</w:t>
            </w:r>
          </w:p>
        </w:tc>
      </w:tr>
      <w:tr w:rsidR="00A82211" w:rsidRPr="005D3347" w:rsidTr="00A72222">
        <w:trPr>
          <w:trHeight w:hRule="exact" w:val="397"/>
        </w:trPr>
        <w:tc>
          <w:tcPr>
            <w:tcW w:w="2175"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iCs/>
                <w:sz w:val="24"/>
                <w:szCs w:val="24"/>
              </w:rPr>
              <w:t>Ash content</w:t>
            </w:r>
          </w:p>
        </w:tc>
        <w:tc>
          <w:tcPr>
            <w:tcW w:w="1560"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bCs/>
                <w:iCs/>
                <w:sz w:val="24"/>
                <w:szCs w:val="24"/>
              </w:rPr>
              <w:t>11.65 ± 1.2</w:t>
            </w:r>
          </w:p>
        </w:tc>
      </w:tr>
      <w:tr w:rsidR="00A82211" w:rsidRPr="005D3347" w:rsidTr="00A72222">
        <w:trPr>
          <w:trHeight w:hRule="exact" w:val="397"/>
        </w:trPr>
        <w:tc>
          <w:tcPr>
            <w:tcW w:w="2175"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iCs/>
                <w:sz w:val="24"/>
                <w:szCs w:val="24"/>
              </w:rPr>
              <w:t>Total Carbohydrate</w:t>
            </w:r>
          </w:p>
        </w:tc>
        <w:tc>
          <w:tcPr>
            <w:tcW w:w="1560"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bCs/>
                <w:iCs/>
                <w:sz w:val="24"/>
                <w:szCs w:val="24"/>
              </w:rPr>
              <w:t>32.35 ± 3.4</w:t>
            </w:r>
          </w:p>
        </w:tc>
      </w:tr>
      <w:tr w:rsidR="00A82211" w:rsidRPr="005D3347" w:rsidTr="00A72222">
        <w:trPr>
          <w:trHeight w:hRule="exact" w:val="397"/>
        </w:trPr>
        <w:tc>
          <w:tcPr>
            <w:tcW w:w="2175"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iCs/>
                <w:sz w:val="24"/>
                <w:szCs w:val="24"/>
              </w:rPr>
              <w:t>Total Protein</w:t>
            </w:r>
          </w:p>
        </w:tc>
        <w:tc>
          <w:tcPr>
            <w:tcW w:w="1560"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bCs/>
                <w:iCs/>
                <w:sz w:val="24"/>
                <w:szCs w:val="24"/>
              </w:rPr>
              <w:t>31.33 ± 2.3</w:t>
            </w:r>
          </w:p>
        </w:tc>
      </w:tr>
      <w:tr w:rsidR="00A82211" w:rsidRPr="005D3347" w:rsidTr="00A72222">
        <w:trPr>
          <w:trHeight w:hRule="exact" w:val="397"/>
        </w:trPr>
        <w:tc>
          <w:tcPr>
            <w:tcW w:w="2175"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iCs/>
                <w:sz w:val="24"/>
                <w:szCs w:val="24"/>
              </w:rPr>
              <w:t>Total Fat</w:t>
            </w:r>
          </w:p>
        </w:tc>
        <w:tc>
          <w:tcPr>
            <w:tcW w:w="1560" w:type="dxa"/>
          </w:tcPr>
          <w:p w:rsidR="00A82211" w:rsidRPr="005D3347" w:rsidRDefault="00A82211" w:rsidP="00A72222">
            <w:pPr>
              <w:spacing w:line="360" w:lineRule="auto"/>
              <w:rPr>
                <w:rFonts w:ascii="Times New Roman" w:hAnsi="Times New Roman" w:cs="Times New Roman"/>
                <w:bCs/>
                <w:iCs/>
                <w:sz w:val="24"/>
                <w:szCs w:val="24"/>
              </w:rPr>
            </w:pPr>
            <w:r w:rsidRPr="005D3347">
              <w:rPr>
                <w:rFonts w:ascii="Times New Roman" w:hAnsi="Times New Roman" w:cs="Times New Roman"/>
                <w:bCs/>
                <w:iCs/>
                <w:sz w:val="24"/>
                <w:szCs w:val="24"/>
              </w:rPr>
              <w:t>1.8 ± 0.8</w:t>
            </w:r>
          </w:p>
        </w:tc>
      </w:tr>
    </w:tbl>
    <w:p w:rsidR="00A82211" w:rsidRPr="005D3347" w:rsidRDefault="00A82211" w:rsidP="00E743C9">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293C1C" w:rsidRPr="005D3347" w:rsidRDefault="00293C1C" w:rsidP="0091099F">
      <w:pPr>
        <w:autoSpaceDE w:val="0"/>
        <w:autoSpaceDN w:val="0"/>
        <w:adjustRightInd w:val="0"/>
        <w:spacing w:after="0" w:line="360" w:lineRule="auto"/>
        <w:rPr>
          <w:rFonts w:ascii="Times New Roman" w:hAnsi="Times New Roman" w:cs="Times New Roman"/>
          <w:b/>
          <w:sz w:val="24"/>
          <w:szCs w:val="24"/>
        </w:rPr>
      </w:pPr>
    </w:p>
    <w:p w:rsidR="001F0FCE" w:rsidRPr="005D3347" w:rsidRDefault="001F0FCE" w:rsidP="0091099F">
      <w:pPr>
        <w:autoSpaceDE w:val="0"/>
        <w:autoSpaceDN w:val="0"/>
        <w:adjustRightInd w:val="0"/>
        <w:spacing w:after="0" w:line="360" w:lineRule="auto"/>
        <w:rPr>
          <w:rFonts w:ascii="Times New Roman" w:hAnsi="Times New Roman" w:cs="Times New Roman"/>
          <w:sz w:val="24"/>
          <w:szCs w:val="24"/>
        </w:rPr>
      </w:pPr>
      <w:r w:rsidRPr="005D3347">
        <w:rPr>
          <w:rFonts w:ascii="Times New Roman" w:hAnsi="Times New Roman" w:cs="Times New Roman"/>
          <w:b/>
          <w:sz w:val="24"/>
          <w:szCs w:val="24"/>
        </w:rPr>
        <w:lastRenderedPageBreak/>
        <w:t>Table.S2</w:t>
      </w:r>
      <w:r w:rsidRPr="005D3347">
        <w:rPr>
          <w:rFonts w:ascii="Times New Roman" w:hAnsi="Times New Roman" w:cs="Times New Roman"/>
          <w:sz w:val="24"/>
          <w:szCs w:val="24"/>
        </w:rPr>
        <w:t>. Estimated IC</w:t>
      </w:r>
      <w:r w:rsidRPr="005D3347">
        <w:rPr>
          <w:rFonts w:ascii="Times New Roman" w:hAnsi="Times New Roman" w:cs="Times New Roman"/>
          <w:sz w:val="24"/>
          <w:szCs w:val="24"/>
          <w:vertAlign w:val="subscript"/>
        </w:rPr>
        <w:t>50</w:t>
      </w:r>
      <w:r w:rsidRPr="005D3347">
        <w:rPr>
          <w:rFonts w:ascii="Times New Roman" w:hAnsi="Times New Roman" w:cs="Times New Roman"/>
          <w:sz w:val="24"/>
          <w:szCs w:val="24"/>
        </w:rPr>
        <w:t xml:space="preserve"> values of DPPH, ABTS, Superoxide and Hydroxyl radical scavenging activities exhibited by standard compounds and PTEE</w:t>
      </w:r>
      <w:r w:rsidR="00B45362" w:rsidRPr="005D3347">
        <w:rPr>
          <w:rFonts w:ascii="Times New Roman" w:hAnsi="Times New Roman" w:cs="Times New Roman"/>
          <w:sz w:val="24"/>
          <w:szCs w:val="24"/>
        </w:rPr>
        <w:t>.</w:t>
      </w:r>
    </w:p>
    <w:p w:rsidR="007C5A8C" w:rsidRPr="005D3347" w:rsidRDefault="007C5A8C" w:rsidP="0091099F">
      <w:pPr>
        <w:autoSpaceDE w:val="0"/>
        <w:autoSpaceDN w:val="0"/>
        <w:adjustRightInd w:val="0"/>
        <w:spacing w:after="0" w:line="360" w:lineRule="auto"/>
        <w:rPr>
          <w:rFonts w:ascii="Times New Roman" w:hAnsi="Times New Roman" w:cs="Times New Roman"/>
          <w:sz w:val="24"/>
          <w:szCs w:val="24"/>
        </w:rPr>
      </w:pPr>
    </w:p>
    <w:tbl>
      <w:tblPr>
        <w:tblStyle w:val="LightShading1"/>
        <w:tblpPr w:leftFromText="180" w:rightFromText="180" w:vertAnchor="text" w:tblpY="1"/>
        <w:tblOverlap w:val="never"/>
        <w:tblW w:w="0" w:type="auto"/>
        <w:tblInd w:w="710" w:type="dxa"/>
        <w:tblBorders>
          <w:top w:val="none" w:sz="0" w:space="0" w:color="auto"/>
          <w:bottom w:val="none" w:sz="0" w:space="0" w:color="auto"/>
        </w:tblBorders>
        <w:tblLook w:val="04A0" w:firstRow="1" w:lastRow="0" w:firstColumn="1" w:lastColumn="0" w:noHBand="0" w:noVBand="1"/>
      </w:tblPr>
      <w:tblGrid>
        <w:gridCol w:w="1242"/>
        <w:gridCol w:w="1428"/>
        <w:gridCol w:w="1428"/>
        <w:gridCol w:w="1680"/>
        <w:gridCol w:w="1843"/>
      </w:tblGrid>
      <w:tr w:rsidR="00416C8F" w:rsidRPr="005D3347" w:rsidTr="00A72222">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shd w:val="clear" w:color="auto" w:fill="auto"/>
          </w:tcPr>
          <w:p w:rsidR="00416C8F" w:rsidRPr="005D3347" w:rsidRDefault="00416C8F" w:rsidP="00A72222">
            <w:pPr>
              <w:jc w:val="center"/>
              <w:rPr>
                <w:rFonts w:ascii="Times New Roman" w:hAnsi="Times New Roman" w:cs="Times New Roman"/>
                <w:b w:val="0"/>
                <w:sz w:val="24"/>
                <w:szCs w:val="24"/>
              </w:rPr>
            </w:pPr>
            <w:r w:rsidRPr="005D3347">
              <w:rPr>
                <w:rFonts w:ascii="Times New Roman" w:hAnsi="Times New Roman" w:cs="Times New Roman"/>
                <w:b w:val="0"/>
                <w:sz w:val="24"/>
                <w:szCs w:val="24"/>
              </w:rPr>
              <w:t>Sample</w:t>
            </w:r>
          </w:p>
        </w:tc>
        <w:tc>
          <w:tcPr>
            <w:tcW w:w="6379" w:type="dxa"/>
            <w:gridSpan w:val="4"/>
            <w:tcBorders>
              <w:top w:val="single" w:sz="4" w:space="0" w:color="auto"/>
              <w:bottom w:val="single" w:sz="4" w:space="0" w:color="auto"/>
            </w:tcBorders>
            <w:shd w:val="clear" w:color="auto" w:fill="auto"/>
          </w:tcPr>
          <w:p w:rsidR="00416C8F" w:rsidRPr="005D3347" w:rsidRDefault="00416C8F" w:rsidP="00A722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3347">
              <w:rPr>
                <w:rFonts w:ascii="Times New Roman" w:hAnsi="Times New Roman" w:cs="Times New Roman"/>
                <w:b w:val="0"/>
                <w:sz w:val="24"/>
                <w:szCs w:val="24"/>
              </w:rPr>
              <w:t xml:space="preserve">              IC</w:t>
            </w:r>
            <w:r w:rsidRPr="005D3347">
              <w:rPr>
                <w:rFonts w:ascii="Times New Roman" w:hAnsi="Times New Roman" w:cs="Times New Roman"/>
                <w:b w:val="0"/>
                <w:sz w:val="24"/>
                <w:szCs w:val="24"/>
                <w:vertAlign w:val="subscript"/>
              </w:rPr>
              <w:t>50</w:t>
            </w:r>
            <w:r w:rsidRPr="005D3347">
              <w:rPr>
                <w:rFonts w:ascii="Times New Roman" w:hAnsi="Times New Roman" w:cs="Times New Roman"/>
                <w:b w:val="0"/>
                <w:sz w:val="24"/>
                <w:szCs w:val="24"/>
              </w:rPr>
              <w:t xml:space="preserve"> values of radical scavenging assays (µg/ml)</w:t>
            </w:r>
          </w:p>
          <w:p w:rsidR="00416C8F" w:rsidRPr="005D3347" w:rsidRDefault="00416C8F" w:rsidP="00A72222">
            <w:pPr>
              <w:tabs>
                <w:tab w:val="left" w:pos="441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3347">
              <w:rPr>
                <w:rFonts w:ascii="Times New Roman" w:hAnsi="Times New Roman" w:cs="Times New Roman"/>
                <w:b w:val="0"/>
                <w:sz w:val="24"/>
                <w:szCs w:val="24"/>
              </w:rPr>
              <w:tab/>
            </w:r>
          </w:p>
        </w:tc>
      </w:tr>
      <w:tr w:rsidR="00416C8F" w:rsidRPr="005D3347" w:rsidTr="00A7222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bottom w:val="single" w:sz="4" w:space="0" w:color="auto"/>
              <w:right w:val="none" w:sz="0" w:space="0" w:color="auto"/>
            </w:tcBorders>
            <w:shd w:val="clear" w:color="auto" w:fill="auto"/>
          </w:tcPr>
          <w:p w:rsidR="00416C8F" w:rsidRPr="005D3347" w:rsidRDefault="00416C8F" w:rsidP="00A72222">
            <w:pPr>
              <w:jc w:val="center"/>
              <w:rPr>
                <w:rFonts w:ascii="Times New Roman" w:hAnsi="Times New Roman" w:cs="Times New Roman"/>
                <w:b w:val="0"/>
                <w:sz w:val="24"/>
                <w:szCs w:val="24"/>
              </w:rPr>
            </w:pPr>
          </w:p>
        </w:tc>
        <w:tc>
          <w:tcPr>
            <w:tcW w:w="1428" w:type="dxa"/>
            <w:tcBorders>
              <w:top w:val="single" w:sz="4" w:space="0" w:color="auto"/>
              <w:left w:val="none" w:sz="0" w:space="0" w:color="auto"/>
              <w:bottom w:val="single" w:sz="4"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DPPH</w:t>
            </w:r>
          </w:p>
        </w:tc>
        <w:tc>
          <w:tcPr>
            <w:tcW w:w="1428" w:type="dxa"/>
            <w:tcBorders>
              <w:top w:val="single" w:sz="4" w:space="0" w:color="auto"/>
              <w:left w:val="none" w:sz="0" w:space="0" w:color="auto"/>
              <w:bottom w:val="single" w:sz="4"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ABTS</w:t>
            </w:r>
          </w:p>
        </w:tc>
        <w:tc>
          <w:tcPr>
            <w:tcW w:w="1680" w:type="dxa"/>
            <w:tcBorders>
              <w:top w:val="single" w:sz="4" w:space="0" w:color="auto"/>
              <w:left w:val="none" w:sz="0" w:space="0" w:color="auto"/>
              <w:bottom w:val="single" w:sz="4"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Superoxide</w:t>
            </w:r>
          </w:p>
        </w:tc>
        <w:tc>
          <w:tcPr>
            <w:tcW w:w="1843" w:type="dxa"/>
            <w:tcBorders>
              <w:top w:val="single" w:sz="4" w:space="0" w:color="auto"/>
              <w:left w:val="none" w:sz="0" w:space="0" w:color="auto"/>
              <w:bottom w:val="single" w:sz="4"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Hydroxyl</w:t>
            </w:r>
          </w:p>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8F" w:rsidRPr="005D3347" w:rsidTr="00A72222">
        <w:trPr>
          <w:trHeight w:hRule="exact" w:val="397"/>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tcPr>
          <w:p w:rsidR="00416C8F" w:rsidRPr="005D3347" w:rsidRDefault="00416C8F" w:rsidP="00A72222">
            <w:pPr>
              <w:rPr>
                <w:rFonts w:ascii="Times New Roman" w:hAnsi="Times New Roman" w:cs="Times New Roman"/>
                <w:b w:val="0"/>
                <w:sz w:val="24"/>
                <w:szCs w:val="24"/>
              </w:rPr>
            </w:pPr>
            <w:r w:rsidRPr="005D3347">
              <w:rPr>
                <w:rFonts w:ascii="Times New Roman" w:hAnsi="Times New Roman" w:cs="Times New Roman"/>
                <w:b w:val="0"/>
                <w:sz w:val="24"/>
                <w:szCs w:val="24"/>
              </w:rPr>
              <w:t>PTEE</w:t>
            </w:r>
          </w:p>
        </w:tc>
        <w:tc>
          <w:tcPr>
            <w:tcW w:w="1428" w:type="dxa"/>
            <w:tcBorders>
              <w:top w:val="single" w:sz="4" w:space="0" w:color="auto"/>
            </w:tcBorders>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bCs/>
                <w:iCs/>
                <w:sz w:val="24"/>
                <w:szCs w:val="24"/>
              </w:rPr>
              <w:t>396.83±2.98</w:t>
            </w:r>
          </w:p>
        </w:tc>
        <w:tc>
          <w:tcPr>
            <w:tcW w:w="1428" w:type="dxa"/>
            <w:tcBorders>
              <w:top w:val="single" w:sz="4" w:space="0" w:color="auto"/>
            </w:tcBorders>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151.34±1.79</w:t>
            </w:r>
          </w:p>
        </w:tc>
        <w:tc>
          <w:tcPr>
            <w:tcW w:w="1680" w:type="dxa"/>
            <w:tcBorders>
              <w:top w:val="single" w:sz="4" w:space="0" w:color="auto"/>
            </w:tcBorders>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30.29±1.17</w:t>
            </w:r>
          </w:p>
        </w:tc>
        <w:tc>
          <w:tcPr>
            <w:tcW w:w="1843" w:type="dxa"/>
            <w:tcBorders>
              <w:top w:val="single" w:sz="4" w:space="0" w:color="auto"/>
            </w:tcBorders>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35.42±1.22</w:t>
            </w:r>
          </w:p>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8F" w:rsidRPr="005D3347" w:rsidTr="00A7222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rsidR="00416C8F" w:rsidRPr="005D3347" w:rsidRDefault="00416C8F" w:rsidP="00A72222">
            <w:pPr>
              <w:rPr>
                <w:rFonts w:ascii="Times New Roman" w:hAnsi="Times New Roman" w:cs="Times New Roman"/>
                <w:b w:val="0"/>
                <w:sz w:val="24"/>
                <w:szCs w:val="24"/>
              </w:rPr>
            </w:pPr>
            <w:r w:rsidRPr="005D3347">
              <w:rPr>
                <w:rFonts w:ascii="Times New Roman" w:hAnsi="Times New Roman" w:cs="Times New Roman"/>
                <w:b w:val="0"/>
                <w:sz w:val="24"/>
                <w:szCs w:val="24"/>
              </w:rPr>
              <w:t>GA</w:t>
            </w:r>
          </w:p>
        </w:tc>
        <w:tc>
          <w:tcPr>
            <w:tcW w:w="1428" w:type="dxa"/>
            <w:tcBorders>
              <w:left w:val="none" w:sz="0"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2.43</w:t>
            </w:r>
            <w:r w:rsidRPr="005D3347">
              <w:rPr>
                <w:rFonts w:ascii="Times New Roman" w:hAnsi="Times New Roman" w:cs="Times New Roman"/>
                <w:bCs/>
                <w:iCs/>
                <w:sz w:val="24"/>
                <w:szCs w:val="24"/>
              </w:rPr>
              <w:t>±0.36</w:t>
            </w:r>
          </w:p>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8" w:type="dxa"/>
            <w:tcBorders>
              <w:left w:val="none" w:sz="0"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c>
          <w:tcPr>
            <w:tcW w:w="1680" w:type="dxa"/>
            <w:tcBorders>
              <w:left w:val="none" w:sz="0"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c>
          <w:tcPr>
            <w:tcW w:w="1843" w:type="dxa"/>
            <w:tcBorders>
              <w:left w:val="none" w:sz="0" w:space="0" w:color="auto"/>
              <w:right w:val="none" w:sz="0" w:space="0" w:color="auto"/>
            </w:tcBorders>
            <w:shd w:val="clear" w:color="auto" w:fill="auto"/>
          </w:tcPr>
          <w:p w:rsidR="00416C8F" w:rsidRPr="005D3347" w:rsidRDefault="00416C8F" w:rsidP="00A722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r>
      <w:tr w:rsidR="00416C8F" w:rsidRPr="005D3347" w:rsidTr="00416C8F">
        <w:trPr>
          <w:trHeight w:hRule="exact" w:val="397"/>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416C8F" w:rsidRPr="005D3347" w:rsidRDefault="00416C8F" w:rsidP="00A72222">
            <w:pPr>
              <w:rPr>
                <w:rFonts w:ascii="Times New Roman" w:hAnsi="Times New Roman" w:cs="Times New Roman"/>
                <w:b w:val="0"/>
                <w:sz w:val="24"/>
                <w:szCs w:val="24"/>
              </w:rPr>
            </w:pPr>
            <w:proofErr w:type="spellStart"/>
            <w:r w:rsidRPr="005D3347">
              <w:rPr>
                <w:rFonts w:ascii="Times New Roman" w:hAnsi="Times New Roman" w:cs="Times New Roman"/>
                <w:b w:val="0"/>
                <w:sz w:val="24"/>
                <w:szCs w:val="24"/>
              </w:rPr>
              <w:t>Trolox</w:t>
            </w:r>
            <w:proofErr w:type="spellEnd"/>
          </w:p>
        </w:tc>
        <w:tc>
          <w:tcPr>
            <w:tcW w:w="1428" w:type="dxa"/>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c>
          <w:tcPr>
            <w:tcW w:w="1428" w:type="dxa"/>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 xml:space="preserve">3.14 </w:t>
            </w:r>
            <w:r w:rsidRPr="005D3347">
              <w:rPr>
                <w:rFonts w:ascii="Times New Roman" w:hAnsi="Times New Roman" w:cs="Times New Roman"/>
                <w:bCs/>
                <w:iCs/>
                <w:sz w:val="24"/>
                <w:szCs w:val="24"/>
              </w:rPr>
              <w:t>±0.58</w:t>
            </w:r>
          </w:p>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0" w:type="dxa"/>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5.54</w:t>
            </w:r>
            <w:r w:rsidRPr="005D3347">
              <w:rPr>
                <w:rFonts w:ascii="Times New Roman" w:hAnsi="Times New Roman" w:cs="Times New Roman"/>
                <w:bCs/>
                <w:iCs/>
                <w:sz w:val="24"/>
                <w:szCs w:val="24"/>
              </w:rPr>
              <w:t>±0.93</w:t>
            </w:r>
          </w:p>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shd w:val="clear" w:color="auto" w:fill="auto"/>
          </w:tcPr>
          <w:p w:rsidR="00416C8F" w:rsidRPr="005D3347" w:rsidRDefault="00416C8F" w:rsidP="00A722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r>
      <w:tr w:rsidR="00416C8F" w:rsidRPr="005D3347" w:rsidTr="00416C8F">
        <w:trPr>
          <w:cnfStyle w:val="000000100000" w:firstRow="0" w:lastRow="0" w:firstColumn="0" w:lastColumn="0" w:oddVBand="0" w:evenVBand="0" w:oddHBand="1" w:evenHBand="0" w:firstRowFirstColumn="0" w:firstRowLastColumn="0" w:lastRowFirstColumn="0" w:lastRowLastColumn="0"/>
          <w:trHeight w:hRule="exact" w:val="263"/>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single" w:sz="4" w:space="0" w:color="auto"/>
              <w:right w:val="none" w:sz="0" w:space="0" w:color="auto"/>
            </w:tcBorders>
            <w:shd w:val="clear" w:color="auto" w:fill="auto"/>
          </w:tcPr>
          <w:p w:rsidR="00416C8F" w:rsidRPr="005D3347" w:rsidRDefault="00416C8F" w:rsidP="00A72222">
            <w:pPr>
              <w:contextualSpacing/>
              <w:rPr>
                <w:rFonts w:ascii="Times New Roman" w:hAnsi="Times New Roman" w:cs="Times New Roman"/>
                <w:b w:val="0"/>
                <w:sz w:val="24"/>
                <w:szCs w:val="24"/>
              </w:rPr>
            </w:pPr>
            <w:proofErr w:type="spellStart"/>
            <w:r w:rsidRPr="005D3347">
              <w:rPr>
                <w:rFonts w:ascii="Times New Roman" w:hAnsi="Times New Roman" w:cs="Times New Roman"/>
                <w:b w:val="0"/>
                <w:sz w:val="24"/>
                <w:szCs w:val="24"/>
              </w:rPr>
              <w:t>Catechin</w:t>
            </w:r>
            <w:proofErr w:type="spellEnd"/>
          </w:p>
        </w:tc>
        <w:tc>
          <w:tcPr>
            <w:tcW w:w="1428" w:type="dxa"/>
            <w:tcBorders>
              <w:left w:val="none" w:sz="0" w:space="0" w:color="auto"/>
              <w:bottom w:val="single" w:sz="4" w:space="0" w:color="auto"/>
              <w:right w:val="none" w:sz="0" w:space="0" w:color="auto"/>
            </w:tcBorders>
            <w:shd w:val="clear" w:color="auto" w:fill="auto"/>
          </w:tcPr>
          <w:p w:rsidR="00416C8F" w:rsidRPr="005D3347" w:rsidRDefault="00416C8F" w:rsidP="00A7222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c>
          <w:tcPr>
            <w:tcW w:w="1428" w:type="dxa"/>
            <w:tcBorders>
              <w:left w:val="none" w:sz="0" w:space="0" w:color="auto"/>
              <w:bottom w:val="single" w:sz="4" w:space="0" w:color="auto"/>
              <w:right w:val="none" w:sz="0" w:space="0" w:color="auto"/>
            </w:tcBorders>
            <w:shd w:val="clear" w:color="auto" w:fill="auto"/>
          </w:tcPr>
          <w:p w:rsidR="00416C8F" w:rsidRPr="005D3347" w:rsidRDefault="00416C8F" w:rsidP="00A7222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c>
          <w:tcPr>
            <w:tcW w:w="1680" w:type="dxa"/>
            <w:tcBorders>
              <w:left w:val="none" w:sz="0" w:space="0" w:color="auto"/>
              <w:bottom w:val="single" w:sz="4" w:space="0" w:color="auto"/>
              <w:right w:val="none" w:sz="0" w:space="0" w:color="auto"/>
            </w:tcBorders>
            <w:shd w:val="clear" w:color="auto" w:fill="auto"/>
          </w:tcPr>
          <w:p w:rsidR="00416C8F" w:rsidRPr="005D3347" w:rsidRDefault="00416C8F" w:rsidP="00A7222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w:t>
            </w:r>
          </w:p>
        </w:tc>
        <w:tc>
          <w:tcPr>
            <w:tcW w:w="1843" w:type="dxa"/>
            <w:tcBorders>
              <w:left w:val="none" w:sz="0" w:space="0" w:color="auto"/>
              <w:bottom w:val="single" w:sz="4" w:space="0" w:color="auto"/>
              <w:right w:val="none" w:sz="0" w:space="0" w:color="auto"/>
            </w:tcBorders>
            <w:shd w:val="clear" w:color="auto" w:fill="auto"/>
          </w:tcPr>
          <w:p w:rsidR="00416C8F" w:rsidRPr="005D3347" w:rsidRDefault="00416C8F" w:rsidP="00A7222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3347">
              <w:rPr>
                <w:rFonts w:ascii="Times New Roman" w:hAnsi="Times New Roman" w:cs="Times New Roman"/>
                <w:sz w:val="24"/>
                <w:szCs w:val="24"/>
              </w:rPr>
              <w:t>9.86±0.79</w:t>
            </w:r>
          </w:p>
          <w:p w:rsidR="00416C8F" w:rsidRPr="005D3347" w:rsidRDefault="00416C8F" w:rsidP="00A7222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14400" w:rsidRPr="005D3347" w:rsidRDefault="00914400" w:rsidP="0091099F">
      <w:pPr>
        <w:spacing w:after="0" w:line="360" w:lineRule="auto"/>
        <w:contextualSpacing/>
        <w:rPr>
          <w:rFonts w:ascii="Times New Roman" w:hAnsi="Times New Roman" w:cs="Times New Roman"/>
          <w:sz w:val="24"/>
          <w:szCs w:val="24"/>
        </w:rPr>
      </w:pPr>
    </w:p>
    <w:p w:rsidR="00914400" w:rsidRPr="005D3347" w:rsidRDefault="00914400" w:rsidP="0091099F">
      <w:pPr>
        <w:spacing w:after="0" w:line="360" w:lineRule="auto"/>
        <w:contextualSpacing/>
        <w:rPr>
          <w:rFonts w:ascii="Times New Roman" w:hAnsi="Times New Roman" w:cs="Times New Roman"/>
          <w:sz w:val="24"/>
          <w:szCs w:val="24"/>
        </w:rPr>
      </w:pPr>
    </w:p>
    <w:p w:rsidR="00227A81" w:rsidRPr="005D3347" w:rsidRDefault="00227A81" w:rsidP="0091099F">
      <w:pPr>
        <w:spacing w:after="0" w:line="360" w:lineRule="auto"/>
        <w:contextualSpacing/>
        <w:rPr>
          <w:rFonts w:ascii="Times New Roman" w:hAnsi="Times New Roman" w:cs="Times New Roman"/>
          <w:sz w:val="24"/>
          <w:szCs w:val="24"/>
        </w:rPr>
      </w:pPr>
    </w:p>
    <w:p w:rsidR="00047CBE" w:rsidRPr="005D3347" w:rsidRDefault="00047CBE" w:rsidP="0091099F">
      <w:pPr>
        <w:spacing w:after="0" w:line="360" w:lineRule="auto"/>
        <w:contextualSpacing/>
        <w:rPr>
          <w:rFonts w:ascii="Times New Roman" w:hAnsi="Times New Roman" w:cs="Times New Roman"/>
          <w:sz w:val="24"/>
          <w:szCs w:val="24"/>
        </w:rPr>
      </w:pPr>
    </w:p>
    <w:p w:rsidR="00047CBE" w:rsidRPr="005D3347" w:rsidRDefault="00047CBE" w:rsidP="0091099F">
      <w:pPr>
        <w:spacing w:after="0" w:line="360" w:lineRule="auto"/>
        <w:contextualSpacing/>
        <w:rPr>
          <w:rFonts w:ascii="Times New Roman" w:hAnsi="Times New Roman" w:cs="Times New Roman"/>
          <w:sz w:val="24"/>
          <w:szCs w:val="24"/>
        </w:rPr>
      </w:pPr>
    </w:p>
    <w:p w:rsidR="003B5FA4" w:rsidRPr="005D3347" w:rsidRDefault="003B5FA4" w:rsidP="0091099F">
      <w:pPr>
        <w:spacing w:after="0" w:line="360" w:lineRule="auto"/>
        <w:contextualSpacing/>
        <w:rPr>
          <w:rFonts w:ascii="Times New Roman" w:hAnsi="Times New Roman" w:cs="Times New Roman"/>
          <w:sz w:val="24"/>
          <w:szCs w:val="24"/>
        </w:rPr>
      </w:pPr>
    </w:p>
    <w:p w:rsidR="001F0FCE" w:rsidRPr="005D3347" w:rsidRDefault="001F0FCE" w:rsidP="00227A81">
      <w:pPr>
        <w:spacing w:after="0" w:line="360" w:lineRule="auto"/>
        <w:rPr>
          <w:rFonts w:ascii="Times New Roman" w:hAnsi="Times New Roman" w:cs="Times New Roman"/>
          <w:sz w:val="24"/>
          <w:szCs w:val="24"/>
        </w:rPr>
      </w:pPr>
      <w:r w:rsidRPr="005D3347">
        <w:rPr>
          <w:rFonts w:ascii="Times New Roman" w:hAnsi="Times New Roman" w:cs="Times New Roman"/>
          <w:sz w:val="24"/>
          <w:szCs w:val="24"/>
        </w:rPr>
        <w:t xml:space="preserve">PTEE – </w:t>
      </w:r>
      <w:proofErr w:type="spellStart"/>
      <w:r w:rsidRPr="005D3347">
        <w:rPr>
          <w:rFonts w:ascii="Times New Roman" w:hAnsi="Times New Roman" w:cs="Times New Roman"/>
          <w:i/>
          <w:sz w:val="24"/>
          <w:szCs w:val="24"/>
        </w:rPr>
        <w:t>Parmotrema</w:t>
      </w:r>
      <w:proofErr w:type="spellEnd"/>
      <w:r w:rsidRPr="005D3347">
        <w:rPr>
          <w:rFonts w:ascii="Times New Roman" w:hAnsi="Times New Roman" w:cs="Times New Roman"/>
          <w:i/>
          <w:sz w:val="24"/>
          <w:szCs w:val="24"/>
        </w:rPr>
        <w:t xml:space="preserve"> </w:t>
      </w:r>
      <w:proofErr w:type="spellStart"/>
      <w:r w:rsidRPr="005D3347">
        <w:rPr>
          <w:rFonts w:ascii="Times New Roman" w:hAnsi="Times New Roman" w:cs="Times New Roman"/>
          <w:i/>
          <w:sz w:val="24"/>
          <w:szCs w:val="24"/>
        </w:rPr>
        <w:t>tinctorum</w:t>
      </w:r>
      <w:proofErr w:type="spellEnd"/>
      <w:r w:rsidRPr="005D3347">
        <w:rPr>
          <w:rFonts w:ascii="Times New Roman" w:hAnsi="Times New Roman" w:cs="Times New Roman"/>
          <w:sz w:val="24"/>
          <w:szCs w:val="24"/>
        </w:rPr>
        <w:t xml:space="preserve"> ethyl acetate extract, GA- Gallic acid. Results expressed as mean ± SD of 3 independent experiments (n=6).</w:t>
      </w: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293C1C" w:rsidRPr="005D3347" w:rsidRDefault="00293C1C" w:rsidP="005145DC">
      <w:pPr>
        <w:pStyle w:val="Normal1"/>
        <w:suppressLineNumbers/>
        <w:tabs>
          <w:tab w:val="left" w:pos="1993"/>
        </w:tabs>
        <w:spacing w:after="0" w:line="360" w:lineRule="auto"/>
        <w:rPr>
          <w:rFonts w:ascii="Times New Roman" w:hAnsi="Times New Roman" w:cs="Times New Roman"/>
          <w:b/>
          <w:sz w:val="24"/>
          <w:szCs w:val="24"/>
        </w:rPr>
      </w:pPr>
    </w:p>
    <w:p w:rsidR="001F0FCE" w:rsidRPr="005D3347" w:rsidRDefault="001F0FCE" w:rsidP="005145DC">
      <w:pPr>
        <w:pStyle w:val="Normal1"/>
        <w:suppressLineNumbers/>
        <w:tabs>
          <w:tab w:val="left" w:pos="1993"/>
        </w:tabs>
        <w:spacing w:after="0" w:line="360" w:lineRule="auto"/>
        <w:rPr>
          <w:rFonts w:ascii="Times New Roman" w:eastAsia="Times New Roman" w:hAnsi="Times New Roman" w:cs="Times New Roman"/>
          <w:sz w:val="24"/>
          <w:lang w:val="en-GB"/>
        </w:rPr>
      </w:pPr>
      <w:proofErr w:type="gramStart"/>
      <w:r w:rsidRPr="005D3347">
        <w:rPr>
          <w:rFonts w:ascii="Times New Roman" w:hAnsi="Times New Roman" w:cs="Times New Roman"/>
          <w:b/>
          <w:sz w:val="24"/>
          <w:szCs w:val="24"/>
        </w:rPr>
        <w:t>Fig.</w:t>
      </w:r>
      <w:proofErr w:type="gramEnd"/>
      <w:r w:rsidRPr="005D3347">
        <w:rPr>
          <w:rFonts w:ascii="Times New Roman" w:hAnsi="Times New Roman" w:cs="Times New Roman"/>
          <w:b/>
          <w:sz w:val="24"/>
          <w:szCs w:val="24"/>
        </w:rPr>
        <w:t xml:space="preserve"> S1</w:t>
      </w:r>
      <w:r w:rsidRPr="005D3347">
        <w:rPr>
          <w:rFonts w:ascii="Times New Roman" w:hAnsi="Times New Roman" w:cs="Times New Roman"/>
          <w:sz w:val="24"/>
          <w:szCs w:val="24"/>
        </w:rPr>
        <w:t xml:space="preserve"> Total reducing power of PTEE, </w:t>
      </w:r>
      <w:proofErr w:type="spellStart"/>
      <w:r w:rsidRPr="005D3347">
        <w:rPr>
          <w:rFonts w:ascii="Times New Roman" w:hAnsi="Times New Roman" w:cs="Times New Roman"/>
          <w:sz w:val="24"/>
          <w:szCs w:val="24"/>
        </w:rPr>
        <w:t>gallic</w:t>
      </w:r>
      <w:proofErr w:type="spellEnd"/>
      <w:r w:rsidRPr="005D3347">
        <w:rPr>
          <w:rFonts w:ascii="Times New Roman" w:hAnsi="Times New Roman" w:cs="Times New Roman"/>
          <w:sz w:val="24"/>
          <w:szCs w:val="24"/>
        </w:rPr>
        <w:t xml:space="preserve"> acid and ascorbic acid</w:t>
      </w:r>
    </w:p>
    <w:p w:rsidR="007C5A8C" w:rsidRPr="005D3347" w:rsidRDefault="00934B70" w:rsidP="00E743C9">
      <w:pPr>
        <w:spacing w:line="360" w:lineRule="auto"/>
      </w:pPr>
      <w:r>
        <w:rPr>
          <w:noProof/>
        </w:rPr>
        <w:pict>
          <v:shapetype id="_x0000_t202" coordsize="21600,21600" o:spt="202" path="m,l,21600r21600,l21600,xe">
            <v:stroke joinstyle="miter"/>
            <v:path gradientshapeok="t" o:connecttype="rect"/>
          </v:shapetype>
          <v:shape id="_x0000_s1026" type="#_x0000_t202" style="position:absolute;margin-left:278.65pt;margin-top:11.8pt;width:20.2pt;height:20.15pt;z-index:251660288" stroked="f">
            <v:textbox style="mso-next-textbox:#_x0000_s1026">
              <w:txbxContent>
                <w:p w:rsidR="001F0FCE" w:rsidRPr="00F91189" w:rsidRDefault="001F0FCE" w:rsidP="001F0FCE">
                  <w:pPr>
                    <w:rPr>
                      <w:rFonts w:ascii="Times New Roman" w:hAnsi="Times New Roman" w:cs="Times New Roman"/>
                      <w:sz w:val="24"/>
                      <w:szCs w:val="24"/>
                    </w:rPr>
                  </w:pPr>
                  <w:r w:rsidRPr="00F91189">
                    <w:rPr>
                      <w:rFonts w:ascii="Times New Roman" w:hAnsi="Times New Roman" w:cs="Times New Roman"/>
                      <w:sz w:val="24"/>
                      <w:szCs w:val="24"/>
                    </w:rPr>
                    <w:t>*</w:t>
                  </w:r>
                </w:p>
              </w:txbxContent>
            </v:textbox>
          </v:shape>
        </w:pict>
      </w:r>
      <w:r w:rsidR="005145DC" w:rsidRPr="005D3347">
        <w:t xml:space="preserve">             </w:t>
      </w:r>
      <w:r w:rsidR="001F0FCE" w:rsidRPr="005D3347">
        <w:rPr>
          <w:noProof/>
          <w:lang w:val="en-GB" w:eastAsia="en-GB"/>
        </w:rPr>
        <w:drawing>
          <wp:inline distT="0" distB="0" distL="0" distR="0">
            <wp:extent cx="4317558" cy="2806811"/>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F0FCE" w:rsidRPr="005D3347" w:rsidRDefault="001F0FCE" w:rsidP="00570744">
      <w:pPr>
        <w:autoSpaceDE w:val="0"/>
        <w:autoSpaceDN w:val="0"/>
        <w:adjustRightInd w:val="0"/>
        <w:spacing w:after="0" w:line="360" w:lineRule="auto"/>
        <w:contextualSpacing/>
        <w:rPr>
          <w:rFonts w:ascii="Times New Roman" w:hAnsi="Times New Roman" w:cs="Times New Roman"/>
          <w:sz w:val="24"/>
          <w:szCs w:val="24"/>
        </w:rPr>
      </w:pPr>
      <w:r w:rsidRPr="005D3347">
        <w:rPr>
          <w:rFonts w:ascii="Times New Roman" w:hAnsi="Times New Roman" w:cs="Times New Roman"/>
          <w:sz w:val="24"/>
          <w:szCs w:val="24"/>
        </w:rPr>
        <w:t xml:space="preserve">Results expressed as </w:t>
      </w:r>
      <w:proofErr w:type="spellStart"/>
      <w:r w:rsidRPr="005D3347">
        <w:rPr>
          <w:rFonts w:ascii="Times New Roman" w:hAnsi="Times New Roman" w:cs="Times New Roman"/>
          <w:sz w:val="24"/>
          <w:szCs w:val="24"/>
        </w:rPr>
        <w:t>mean±SD</w:t>
      </w:r>
      <w:proofErr w:type="spellEnd"/>
      <w:r w:rsidRPr="005D3347">
        <w:rPr>
          <w:rFonts w:ascii="Times New Roman" w:hAnsi="Times New Roman" w:cs="Times New Roman"/>
          <w:sz w:val="24"/>
          <w:szCs w:val="24"/>
        </w:rPr>
        <w:t xml:space="preserve"> of three independent experiments with duplicates (n=6) and the significance accepted at P</w:t>
      </w:r>
      <w:r w:rsidRPr="005D3347">
        <w:rPr>
          <w:rFonts w:ascii="Times New Roman" w:eastAsia="AdvTT5235d5a9+22" w:hAnsi="Times New Roman" w:cs="Times New Roman"/>
          <w:sz w:val="24"/>
          <w:szCs w:val="24"/>
        </w:rPr>
        <w:t>≤</w:t>
      </w:r>
      <w:r w:rsidR="00710A5E" w:rsidRPr="005D3347">
        <w:rPr>
          <w:rFonts w:ascii="Times New Roman" w:hAnsi="Times New Roman" w:cs="Times New Roman"/>
          <w:sz w:val="24"/>
          <w:szCs w:val="24"/>
        </w:rPr>
        <w:t xml:space="preserve">0.05. ‘*’ indicates values are significantly different from each other for PTEE, </w:t>
      </w:r>
      <w:r w:rsidR="00293261" w:rsidRPr="005D3347">
        <w:rPr>
          <w:rFonts w:ascii="Times New Roman" w:hAnsi="Times New Roman" w:cs="Times New Roman"/>
          <w:sz w:val="24"/>
          <w:szCs w:val="24"/>
        </w:rPr>
        <w:t>GA</w:t>
      </w:r>
      <w:r w:rsidR="00710A5E" w:rsidRPr="005D3347">
        <w:rPr>
          <w:rFonts w:ascii="Times New Roman" w:hAnsi="Times New Roman" w:cs="Times New Roman"/>
          <w:sz w:val="24"/>
          <w:szCs w:val="24"/>
        </w:rPr>
        <w:t xml:space="preserve"> and </w:t>
      </w:r>
      <w:r w:rsidR="00293261" w:rsidRPr="005D3347">
        <w:rPr>
          <w:rFonts w:ascii="Times New Roman" w:hAnsi="Times New Roman" w:cs="Times New Roman"/>
          <w:sz w:val="24"/>
          <w:szCs w:val="24"/>
        </w:rPr>
        <w:t>AA</w:t>
      </w:r>
      <w:r w:rsidR="00710A5E" w:rsidRPr="005D3347">
        <w:rPr>
          <w:rFonts w:ascii="Times New Roman" w:hAnsi="Times New Roman" w:cs="Times New Roman"/>
          <w:sz w:val="24"/>
          <w:szCs w:val="24"/>
        </w:rPr>
        <w:t>.</w:t>
      </w:r>
    </w:p>
    <w:p w:rsidR="001F0FCE" w:rsidRPr="005D3347" w:rsidRDefault="001F0FCE" w:rsidP="00570744">
      <w:pPr>
        <w:spacing w:after="0" w:line="360" w:lineRule="auto"/>
        <w:contextualSpacing/>
        <w:rPr>
          <w:rFonts w:ascii="Times New Roman" w:hAnsi="Times New Roman" w:cs="Times New Roman"/>
          <w:sz w:val="24"/>
          <w:szCs w:val="24"/>
        </w:rPr>
      </w:pPr>
      <w:r w:rsidRPr="005D3347">
        <w:rPr>
          <w:rFonts w:ascii="Times New Roman" w:hAnsi="Times New Roman" w:cs="Times New Roman"/>
          <w:sz w:val="24"/>
          <w:szCs w:val="24"/>
        </w:rPr>
        <w:t>PTEE-</w:t>
      </w:r>
      <w:r w:rsidRPr="005D3347">
        <w:rPr>
          <w:rFonts w:ascii="Times New Roman" w:eastAsia="Times New Roman" w:hAnsi="Times New Roman" w:cs="Times New Roman"/>
          <w:i/>
          <w:sz w:val="24"/>
          <w:szCs w:val="24"/>
        </w:rPr>
        <w:t xml:space="preserve"> </w:t>
      </w:r>
      <w:proofErr w:type="spellStart"/>
      <w:r w:rsidRPr="005D3347">
        <w:rPr>
          <w:rFonts w:ascii="Times New Roman" w:eastAsia="Times New Roman" w:hAnsi="Times New Roman" w:cs="Times New Roman"/>
          <w:i/>
          <w:sz w:val="24"/>
          <w:szCs w:val="24"/>
        </w:rPr>
        <w:t>Parmotrema</w:t>
      </w:r>
      <w:proofErr w:type="spellEnd"/>
      <w:r w:rsidRPr="005D3347">
        <w:rPr>
          <w:rFonts w:ascii="Times New Roman" w:eastAsia="Times New Roman" w:hAnsi="Times New Roman" w:cs="Times New Roman"/>
          <w:i/>
          <w:sz w:val="24"/>
          <w:szCs w:val="24"/>
        </w:rPr>
        <w:t xml:space="preserve"> </w:t>
      </w:r>
      <w:proofErr w:type="spellStart"/>
      <w:r w:rsidRPr="005D3347">
        <w:rPr>
          <w:rFonts w:ascii="Times New Roman" w:eastAsia="Times New Roman" w:hAnsi="Times New Roman" w:cs="Times New Roman"/>
          <w:i/>
          <w:sz w:val="24"/>
          <w:szCs w:val="24"/>
        </w:rPr>
        <w:t>tinctorum</w:t>
      </w:r>
      <w:proofErr w:type="spellEnd"/>
      <w:r w:rsidRPr="005D3347">
        <w:rPr>
          <w:rFonts w:ascii="Times New Roman" w:eastAsia="Times New Roman" w:hAnsi="Times New Roman" w:cs="Times New Roman"/>
          <w:i/>
          <w:sz w:val="24"/>
          <w:szCs w:val="24"/>
        </w:rPr>
        <w:t xml:space="preserve"> </w:t>
      </w:r>
      <w:r w:rsidRPr="005D3347">
        <w:rPr>
          <w:rFonts w:ascii="Times New Roman" w:eastAsia="Times New Roman" w:hAnsi="Times New Roman" w:cs="Times New Roman"/>
          <w:sz w:val="24"/>
          <w:szCs w:val="24"/>
        </w:rPr>
        <w:t>ethyl acetate extract; GA-</w:t>
      </w:r>
      <w:proofErr w:type="spellStart"/>
      <w:r w:rsidRPr="005D3347">
        <w:rPr>
          <w:rFonts w:ascii="Times New Roman" w:eastAsia="Times New Roman" w:hAnsi="Times New Roman" w:cs="Times New Roman"/>
          <w:sz w:val="24"/>
          <w:szCs w:val="24"/>
        </w:rPr>
        <w:t>gallic</w:t>
      </w:r>
      <w:proofErr w:type="spellEnd"/>
      <w:r w:rsidRPr="005D3347">
        <w:rPr>
          <w:rFonts w:ascii="Times New Roman" w:eastAsia="Times New Roman" w:hAnsi="Times New Roman" w:cs="Times New Roman"/>
          <w:sz w:val="24"/>
          <w:szCs w:val="24"/>
        </w:rPr>
        <w:t xml:space="preserve"> acid; AA-ascorbic acid</w:t>
      </w:r>
    </w:p>
    <w:p w:rsidR="00A82211" w:rsidRPr="005D3347" w:rsidRDefault="00A82211"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1F0FCE" w:rsidRPr="005D3347" w:rsidRDefault="001F0FCE" w:rsidP="00E743C9">
      <w:pPr>
        <w:spacing w:line="360" w:lineRule="auto"/>
        <w:rPr>
          <w:rFonts w:ascii="Times New Roman" w:hAnsi="Times New Roman" w:cs="Times New Roman"/>
          <w:sz w:val="24"/>
          <w:szCs w:val="24"/>
        </w:rPr>
      </w:pPr>
      <w:proofErr w:type="gramStart"/>
      <w:r w:rsidRPr="005D3347">
        <w:rPr>
          <w:rFonts w:ascii="Times New Roman" w:hAnsi="Times New Roman" w:cs="Times New Roman"/>
          <w:b/>
          <w:sz w:val="24"/>
          <w:szCs w:val="24"/>
        </w:rPr>
        <w:t>Fig.</w:t>
      </w:r>
      <w:proofErr w:type="gramEnd"/>
      <w:r w:rsidRPr="005D3347">
        <w:rPr>
          <w:rFonts w:ascii="Times New Roman" w:hAnsi="Times New Roman" w:cs="Times New Roman"/>
          <w:b/>
          <w:sz w:val="24"/>
          <w:szCs w:val="24"/>
        </w:rPr>
        <w:t xml:space="preserve"> S2</w:t>
      </w:r>
      <w:r w:rsidRPr="005D3347">
        <w:rPr>
          <w:rFonts w:ascii="Times New Roman" w:hAnsi="Times New Roman" w:cs="Times New Roman"/>
          <w:sz w:val="24"/>
          <w:szCs w:val="24"/>
        </w:rPr>
        <w:t xml:space="preserve"> Aldose </w:t>
      </w:r>
      <w:proofErr w:type="spellStart"/>
      <w:r w:rsidRPr="005D3347">
        <w:rPr>
          <w:rFonts w:ascii="Times New Roman" w:hAnsi="Times New Roman" w:cs="Times New Roman"/>
          <w:sz w:val="24"/>
          <w:szCs w:val="24"/>
        </w:rPr>
        <w:t>reductase</w:t>
      </w:r>
      <w:proofErr w:type="spellEnd"/>
      <w:r w:rsidRPr="005D3347">
        <w:rPr>
          <w:rFonts w:ascii="Times New Roman" w:hAnsi="Times New Roman" w:cs="Times New Roman"/>
          <w:sz w:val="24"/>
          <w:szCs w:val="24"/>
        </w:rPr>
        <w:t xml:space="preserve"> inhibitory potential of PTEE</w:t>
      </w:r>
      <w:r w:rsidR="00934B70">
        <w:rPr>
          <w:rFonts w:ascii="Times New Roman" w:hAnsi="Times New Roman" w:cs="Times New Roman"/>
          <w:noProof/>
          <w:sz w:val="24"/>
          <w:szCs w:val="24"/>
        </w:rPr>
        <w:pict>
          <v:shape id="_x0000_s1030" type="#_x0000_t202" style="position:absolute;margin-left:234pt;margin-top:14.4pt;width:16.7pt;height:19.55pt;z-index:251664384;mso-position-horizontal-relative:text;mso-position-vertical-relative:text"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p>
    <w:p w:rsidR="0092676C" w:rsidRPr="005D3347" w:rsidRDefault="00934B70" w:rsidP="0092676C">
      <w:pPr>
        <w:tabs>
          <w:tab w:val="left" w:pos="8605"/>
        </w:tabs>
        <w:spacing w:line="360" w:lineRule="auto"/>
      </w:pPr>
      <w:r>
        <w:rPr>
          <w:noProof/>
        </w:rPr>
        <w:pict>
          <v:shape id="_x0000_s1034" type="#_x0000_t202" style="position:absolute;margin-left:209.8pt;margin-top:78.3pt;width:11.7pt;height:16.65pt;z-index:251668480"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5" type="#_x0000_t202" style="position:absolute;margin-left:250.7pt;margin-top:67.95pt;width:16.7pt;height:19.55pt;z-index:251669504"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3" type="#_x0000_t202" style="position:absolute;margin-left:167.75pt;margin-top:87.5pt;width:16.7pt;height:19.55pt;z-index:251667456"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2" type="#_x0000_t202" style="position:absolute;margin-left:125.15pt;margin-top:113.45pt;width:16.7pt;height:19.55pt;z-index:251666432"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1" type="#_x0000_t202" style="position:absolute;margin-left:83.5pt;margin-top:126.1pt;width:16.7pt;height:19.55pt;z-index:251665408"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rFonts w:ascii="Times New Roman" w:hAnsi="Times New Roman" w:cs="Times New Roman"/>
          <w:noProof/>
          <w:sz w:val="24"/>
          <w:szCs w:val="24"/>
        </w:rPr>
        <w:pict>
          <v:shape id="_x0000_s1029" type="#_x0000_t202" style="position:absolute;margin-left:193.7pt;margin-top:8.5pt;width:16.7pt;height:19.55pt;z-index:251663360"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rFonts w:ascii="Times New Roman" w:hAnsi="Times New Roman" w:cs="Times New Roman"/>
          <w:noProof/>
          <w:sz w:val="24"/>
          <w:szCs w:val="24"/>
        </w:rPr>
        <w:pict>
          <v:shape id="_x0000_s1028" type="#_x0000_t202" style="position:absolute;margin-left:151.05pt;margin-top:23.6pt;width:16.7pt;height:19.55pt;z-index:251662336"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27" type="#_x0000_t202" style="position:absolute;margin-left:66.8pt;margin-top:47.75pt;width:16.7pt;height:19.55pt;z-index:251661312" stroked="f">
            <v:textbox style="mso-next-textbox:#_x0000_s1027">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sidR="001F0FCE" w:rsidRPr="005D3347">
        <w:rPr>
          <w:noProof/>
          <w:lang w:val="en-GB" w:eastAsia="en-GB"/>
        </w:rPr>
        <w:drawing>
          <wp:inline distT="0" distB="0" distL="0" distR="0">
            <wp:extent cx="4572000" cy="27432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1F0FCE" w:rsidRPr="005D3347">
        <w:tab/>
      </w:r>
    </w:p>
    <w:p w:rsidR="001F0FCE" w:rsidRPr="005D3347" w:rsidRDefault="001F0FCE" w:rsidP="0092676C">
      <w:pPr>
        <w:tabs>
          <w:tab w:val="left" w:pos="8605"/>
        </w:tabs>
        <w:spacing w:after="0" w:line="360" w:lineRule="auto"/>
        <w:contextualSpacing/>
      </w:pPr>
      <w:r w:rsidRPr="005D3347">
        <w:rPr>
          <w:rFonts w:ascii="Times New Roman" w:hAnsi="Times New Roman" w:cs="Times New Roman"/>
          <w:sz w:val="24"/>
          <w:szCs w:val="24"/>
        </w:rPr>
        <w:t xml:space="preserve">Results expressed as </w:t>
      </w:r>
      <w:proofErr w:type="spellStart"/>
      <w:r w:rsidRPr="005D3347">
        <w:rPr>
          <w:rFonts w:ascii="Times New Roman" w:hAnsi="Times New Roman" w:cs="Times New Roman"/>
          <w:sz w:val="24"/>
          <w:szCs w:val="24"/>
        </w:rPr>
        <w:t>mean±SD</w:t>
      </w:r>
      <w:proofErr w:type="spellEnd"/>
      <w:r w:rsidRPr="005D3347">
        <w:rPr>
          <w:rFonts w:ascii="Times New Roman" w:hAnsi="Times New Roman" w:cs="Times New Roman"/>
          <w:sz w:val="24"/>
          <w:szCs w:val="24"/>
        </w:rPr>
        <w:t xml:space="preserve"> of three independent experiments with duplicates (n=6) and the significance (*) accepted at P</w:t>
      </w:r>
      <w:r w:rsidRPr="005D3347">
        <w:rPr>
          <w:rFonts w:ascii="Times New Roman" w:eastAsia="AdvTT5235d5a9+22" w:hAnsi="Times New Roman" w:cs="Times New Roman"/>
          <w:sz w:val="24"/>
          <w:szCs w:val="24"/>
        </w:rPr>
        <w:t>≤</w:t>
      </w:r>
      <w:r w:rsidRPr="005D3347">
        <w:rPr>
          <w:rFonts w:ascii="Times New Roman" w:hAnsi="Times New Roman" w:cs="Times New Roman"/>
          <w:sz w:val="24"/>
          <w:szCs w:val="24"/>
        </w:rPr>
        <w:t>0.05 when compared to the control.</w:t>
      </w:r>
    </w:p>
    <w:p w:rsidR="001F0FCE" w:rsidRPr="005D3347" w:rsidRDefault="001F0FCE" w:rsidP="0092676C">
      <w:pPr>
        <w:spacing w:after="0" w:line="360" w:lineRule="auto"/>
        <w:contextualSpacing/>
      </w:pPr>
      <w:r w:rsidRPr="005D3347">
        <w:rPr>
          <w:rFonts w:ascii="Times New Roman" w:hAnsi="Times New Roman" w:cs="Times New Roman"/>
          <w:sz w:val="24"/>
          <w:szCs w:val="24"/>
        </w:rPr>
        <w:t>PTEE-</w:t>
      </w:r>
      <w:r w:rsidRPr="005D3347">
        <w:rPr>
          <w:rFonts w:ascii="Times New Roman" w:eastAsia="Times New Roman" w:hAnsi="Times New Roman" w:cs="Times New Roman"/>
          <w:i/>
          <w:sz w:val="24"/>
          <w:szCs w:val="24"/>
        </w:rPr>
        <w:t xml:space="preserve"> </w:t>
      </w:r>
      <w:proofErr w:type="spellStart"/>
      <w:r w:rsidRPr="005D3347">
        <w:rPr>
          <w:rFonts w:ascii="Times New Roman" w:eastAsia="Times New Roman" w:hAnsi="Times New Roman" w:cs="Times New Roman"/>
          <w:i/>
          <w:sz w:val="24"/>
          <w:szCs w:val="24"/>
        </w:rPr>
        <w:t>Parmotrema</w:t>
      </w:r>
      <w:proofErr w:type="spellEnd"/>
      <w:r w:rsidRPr="005D3347">
        <w:rPr>
          <w:rFonts w:ascii="Times New Roman" w:eastAsia="Times New Roman" w:hAnsi="Times New Roman" w:cs="Times New Roman"/>
          <w:i/>
          <w:sz w:val="24"/>
          <w:szCs w:val="24"/>
        </w:rPr>
        <w:t xml:space="preserve"> </w:t>
      </w:r>
      <w:proofErr w:type="spellStart"/>
      <w:r w:rsidRPr="005D3347">
        <w:rPr>
          <w:rFonts w:ascii="Times New Roman" w:eastAsia="Times New Roman" w:hAnsi="Times New Roman" w:cs="Times New Roman"/>
          <w:i/>
          <w:sz w:val="24"/>
          <w:szCs w:val="24"/>
        </w:rPr>
        <w:t>tinctorum</w:t>
      </w:r>
      <w:proofErr w:type="spellEnd"/>
      <w:r w:rsidRPr="005D3347">
        <w:rPr>
          <w:rFonts w:ascii="Times New Roman" w:eastAsia="Times New Roman" w:hAnsi="Times New Roman" w:cs="Times New Roman"/>
          <w:i/>
          <w:sz w:val="24"/>
          <w:szCs w:val="24"/>
        </w:rPr>
        <w:t xml:space="preserve"> </w:t>
      </w:r>
      <w:r w:rsidRPr="005D3347">
        <w:rPr>
          <w:rFonts w:ascii="Times New Roman" w:eastAsia="Times New Roman" w:hAnsi="Times New Roman" w:cs="Times New Roman"/>
          <w:sz w:val="24"/>
          <w:szCs w:val="24"/>
        </w:rPr>
        <w:t>ethyl acetate extract</w:t>
      </w: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293C1C" w:rsidRPr="005D3347" w:rsidRDefault="00293C1C" w:rsidP="00E743C9">
      <w:pPr>
        <w:spacing w:line="360" w:lineRule="auto"/>
        <w:rPr>
          <w:rFonts w:ascii="Times New Roman" w:hAnsi="Times New Roman" w:cs="Times New Roman"/>
          <w:b/>
          <w:sz w:val="24"/>
          <w:szCs w:val="24"/>
        </w:rPr>
      </w:pPr>
    </w:p>
    <w:p w:rsidR="001F0FCE" w:rsidRPr="005D3347" w:rsidRDefault="001F0FCE" w:rsidP="00E743C9">
      <w:pPr>
        <w:spacing w:line="360" w:lineRule="auto"/>
        <w:rPr>
          <w:rFonts w:ascii="Times New Roman" w:hAnsi="Times New Roman" w:cs="Times New Roman"/>
          <w:sz w:val="24"/>
          <w:szCs w:val="24"/>
        </w:rPr>
      </w:pPr>
      <w:r w:rsidRPr="005D3347">
        <w:rPr>
          <w:rFonts w:ascii="Times New Roman" w:hAnsi="Times New Roman" w:cs="Times New Roman"/>
          <w:b/>
          <w:sz w:val="24"/>
          <w:szCs w:val="24"/>
        </w:rPr>
        <w:t>Fig. S3</w:t>
      </w:r>
      <w:r w:rsidRPr="005D3347">
        <w:rPr>
          <w:rFonts w:ascii="Times New Roman" w:hAnsi="Times New Roman" w:cs="Times New Roman"/>
          <w:sz w:val="24"/>
          <w:szCs w:val="24"/>
        </w:rPr>
        <w:t xml:space="preserve"> </w:t>
      </w:r>
      <w:proofErr w:type="spellStart"/>
      <w:r w:rsidRPr="005D3347">
        <w:rPr>
          <w:rFonts w:ascii="Times New Roman" w:hAnsi="Times New Roman" w:cs="Times New Roman"/>
          <w:sz w:val="24"/>
          <w:szCs w:val="24"/>
        </w:rPr>
        <w:t>Antiglycation</w:t>
      </w:r>
      <w:proofErr w:type="spellEnd"/>
      <w:r w:rsidRPr="005D3347">
        <w:rPr>
          <w:rFonts w:ascii="Times New Roman" w:hAnsi="Times New Roman" w:cs="Times New Roman"/>
          <w:sz w:val="24"/>
          <w:szCs w:val="24"/>
        </w:rPr>
        <w:t xml:space="preserve"> potential of PTEE</w:t>
      </w:r>
    </w:p>
    <w:p w:rsidR="003024DC" w:rsidRPr="005D3347" w:rsidRDefault="00934B70" w:rsidP="003024DC">
      <w:pPr>
        <w:spacing w:after="0" w:line="360" w:lineRule="auto"/>
        <w:contextualSpacing/>
      </w:pPr>
      <w:r>
        <w:rPr>
          <w:noProof/>
        </w:rPr>
        <w:pict>
          <v:shape id="_x0000_s1040" type="#_x0000_t202" style="position:absolute;margin-left:185.6pt;margin-top:.55pt;width:16.7pt;height:19.55pt;z-index:251674624"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9" type="#_x0000_t202" style="position:absolute;margin-left:148.1pt;margin-top:20.1pt;width:16.7pt;height:19.55pt;z-index:251673600"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8" type="#_x0000_t202" style="position:absolute;margin-left:115.9pt;margin-top:34.05pt;width:16.7pt;height:19.55pt;z-index:251672576"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7" type="#_x0000_t202" style="position:absolute;margin-left:79.5pt;margin-top:48.45pt;width:16.7pt;height:19.55pt;z-index:251671552"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Pr>
          <w:noProof/>
        </w:rPr>
        <w:pict>
          <v:shape id="_x0000_s1036" type="#_x0000_t202" style="position:absolute;margin-left:58.2pt;margin-top:73.2pt;width:16.7pt;height:19.55pt;z-index:251670528" stroked="f">
            <v:textbox>
              <w:txbxContent>
                <w:p w:rsidR="001F0FCE" w:rsidRPr="00EA3100" w:rsidRDefault="001F0FCE" w:rsidP="001F0FCE">
                  <w:pPr>
                    <w:rPr>
                      <w:rFonts w:ascii="Times New Roman" w:hAnsi="Times New Roman" w:cs="Times New Roman"/>
                      <w:sz w:val="24"/>
                      <w:szCs w:val="24"/>
                    </w:rPr>
                  </w:pPr>
                  <w:r w:rsidRPr="00EA3100">
                    <w:rPr>
                      <w:rFonts w:ascii="Times New Roman" w:hAnsi="Times New Roman" w:cs="Times New Roman"/>
                      <w:sz w:val="24"/>
                      <w:szCs w:val="24"/>
                    </w:rPr>
                    <w:t>*</w:t>
                  </w:r>
                </w:p>
              </w:txbxContent>
            </v:textbox>
          </v:shape>
        </w:pict>
      </w:r>
      <w:r w:rsidR="001F0FCE" w:rsidRPr="005D3347">
        <w:rPr>
          <w:noProof/>
          <w:lang w:val="en-GB" w:eastAsia="en-GB"/>
        </w:rPr>
        <w:drawing>
          <wp:inline distT="0" distB="0" distL="0" distR="0">
            <wp:extent cx="4572000"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0FCE" w:rsidRPr="005D3347" w:rsidRDefault="001F0FCE" w:rsidP="003024DC">
      <w:pPr>
        <w:spacing w:after="0" w:line="360" w:lineRule="auto"/>
        <w:contextualSpacing/>
      </w:pPr>
      <w:r w:rsidRPr="005D3347">
        <w:rPr>
          <w:rFonts w:ascii="Times New Roman" w:hAnsi="Times New Roman" w:cs="Times New Roman"/>
          <w:sz w:val="24"/>
          <w:szCs w:val="24"/>
        </w:rPr>
        <w:t xml:space="preserve">Results expressed as </w:t>
      </w:r>
      <w:proofErr w:type="spellStart"/>
      <w:r w:rsidRPr="005D3347">
        <w:rPr>
          <w:rFonts w:ascii="Times New Roman" w:hAnsi="Times New Roman" w:cs="Times New Roman"/>
          <w:sz w:val="24"/>
          <w:szCs w:val="24"/>
        </w:rPr>
        <w:t>mean±SD</w:t>
      </w:r>
      <w:proofErr w:type="spellEnd"/>
      <w:r w:rsidRPr="005D3347">
        <w:rPr>
          <w:rFonts w:ascii="Times New Roman" w:hAnsi="Times New Roman" w:cs="Times New Roman"/>
          <w:sz w:val="24"/>
          <w:szCs w:val="24"/>
        </w:rPr>
        <w:t xml:space="preserve"> of three independent experiments with duplicates (n=6) and the significance (*) accepted at P</w:t>
      </w:r>
      <w:r w:rsidRPr="005D3347">
        <w:rPr>
          <w:rFonts w:ascii="Times New Roman" w:eastAsia="AdvTT5235d5a9+22" w:hAnsi="Times New Roman" w:cs="Times New Roman"/>
          <w:sz w:val="24"/>
          <w:szCs w:val="24"/>
        </w:rPr>
        <w:t>≤</w:t>
      </w:r>
      <w:r w:rsidRPr="005D3347">
        <w:rPr>
          <w:rFonts w:ascii="Times New Roman" w:hAnsi="Times New Roman" w:cs="Times New Roman"/>
          <w:sz w:val="24"/>
          <w:szCs w:val="24"/>
        </w:rPr>
        <w:t>0.05 when compared to the control.</w:t>
      </w:r>
    </w:p>
    <w:p w:rsidR="001F0FCE" w:rsidRDefault="001F0FCE" w:rsidP="003024DC">
      <w:pPr>
        <w:spacing w:after="0" w:line="360" w:lineRule="auto"/>
        <w:contextualSpacing/>
      </w:pPr>
      <w:r w:rsidRPr="005D3347">
        <w:rPr>
          <w:rFonts w:ascii="Times New Roman" w:hAnsi="Times New Roman" w:cs="Times New Roman"/>
          <w:sz w:val="24"/>
          <w:szCs w:val="24"/>
        </w:rPr>
        <w:t>PTEE-</w:t>
      </w:r>
      <w:r w:rsidRPr="005D3347">
        <w:rPr>
          <w:rFonts w:ascii="Times New Roman" w:eastAsia="Times New Roman" w:hAnsi="Times New Roman" w:cs="Times New Roman"/>
          <w:i/>
          <w:sz w:val="24"/>
          <w:szCs w:val="24"/>
        </w:rPr>
        <w:t xml:space="preserve"> </w:t>
      </w:r>
      <w:proofErr w:type="spellStart"/>
      <w:r w:rsidRPr="005D3347">
        <w:rPr>
          <w:rFonts w:ascii="Times New Roman" w:eastAsia="Times New Roman" w:hAnsi="Times New Roman" w:cs="Times New Roman"/>
          <w:i/>
          <w:sz w:val="24"/>
          <w:szCs w:val="24"/>
        </w:rPr>
        <w:t>Parmotrema</w:t>
      </w:r>
      <w:proofErr w:type="spellEnd"/>
      <w:r w:rsidRPr="005D3347">
        <w:rPr>
          <w:rFonts w:ascii="Times New Roman" w:eastAsia="Times New Roman" w:hAnsi="Times New Roman" w:cs="Times New Roman"/>
          <w:i/>
          <w:sz w:val="24"/>
          <w:szCs w:val="24"/>
        </w:rPr>
        <w:t xml:space="preserve"> </w:t>
      </w:r>
      <w:proofErr w:type="spellStart"/>
      <w:r w:rsidRPr="005D3347">
        <w:rPr>
          <w:rFonts w:ascii="Times New Roman" w:eastAsia="Times New Roman" w:hAnsi="Times New Roman" w:cs="Times New Roman"/>
          <w:i/>
          <w:sz w:val="24"/>
          <w:szCs w:val="24"/>
        </w:rPr>
        <w:t>tinctorum</w:t>
      </w:r>
      <w:proofErr w:type="spellEnd"/>
      <w:r w:rsidRPr="005D3347">
        <w:rPr>
          <w:rFonts w:ascii="Times New Roman" w:eastAsia="Times New Roman" w:hAnsi="Times New Roman" w:cs="Times New Roman"/>
          <w:i/>
          <w:sz w:val="24"/>
          <w:szCs w:val="24"/>
        </w:rPr>
        <w:t xml:space="preserve"> </w:t>
      </w:r>
      <w:r w:rsidRPr="005D3347">
        <w:rPr>
          <w:rFonts w:ascii="Times New Roman" w:eastAsia="Times New Roman" w:hAnsi="Times New Roman" w:cs="Times New Roman"/>
          <w:sz w:val="24"/>
          <w:szCs w:val="24"/>
        </w:rPr>
        <w:t>ethyl acetate extract</w:t>
      </w:r>
    </w:p>
    <w:sectPr w:rsidR="001F0FCE" w:rsidSect="00801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235d5a9+2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A322BC"/>
    <w:rsid w:val="0000381B"/>
    <w:rsid w:val="000107D6"/>
    <w:rsid w:val="00022291"/>
    <w:rsid w:val="00047CBE"/>
    <w:rsid w:val="000B22DC"/>
    <w:rsid w:val="00190F28"/>
    <w:rsid w:val="001C0743"/>
    <w:rsid w:val="001F0FCE"/>
    <w:rsid w:val="001F2F03"/>
    <w:rsid w:val="00227A81"/>
    <w:rsid w:val="0026620A"/>
    <w:rsid w:val="00293261"/>
    <w:rsid w:val="00293C1C"/>
    <w:rsid w:val="002A51D7"/>
    <w:rsid w:val="002B20D9"/>
    <w:rsid w:val="002D13F5"/>
    <w:rsid w:val="002F3F81"/>
    <w:rsid w:val="003024DC"/>
    <w:rsid w:val="00305F07"/>
    <w:rsid w:val="003219DD"/>
    <w:rsid w:val="00364533"/>
    <w:rsid w:val="00380E4A"/>
    <w:rsid w:val="00394F18"/>
    <w:rsid w:val="003B5FA4"/>
    <w:rsid w:val="00416C8F"/>
    <w:rsid w:val="004F10F2"/>
    <w:rsid w:val="0051216F"/>
    <w:rsid w:val="005145DC"/>
    <w:rsid w:val="00570744"/>
    <w:rsid w:val="005A2D2D"/>
    <w:rsid w:val="005B6316"/>
    <w:rsid w:val="005D3347"/>
    <w:rsid w:val="005E01FE"/>
    <w:rsid w:val="006B13E7"/>
    <w:rsid w:val="006E0AC2"/>
    <w:rsid w:val="00710A5E"/>
    <w:rsid w:val="007168C9"/>
    <w:rsid w:val="00745C0E"/>
    <w:rsid w:val="007C5A8C"/>
    <w:rsid w:val="00801D76"/>
    <w:rsid w:val="00844911"/>
    <w:rsid w:val="0085266E"/>
    <w:rsid w:val="008545CA"/>
    <w:rsid w:val="00884DAB"/>
    <w:rsid w:val="008B68E4"/>
    <w:rsid w:val="0091099F"/>
    <w:rsid w:val="00914400"/>
    <w:rsid w:val="0092676C"/>
    <w:rsid w:val="00934B70"/>
    <w:rsid w:val="00941417"/>
    <w:rsid w:val="00973E5E"/>
    <w:rsid w:val="009836B5"/>
    <w:rsid w:val="00991F4E"/>
    <w:rsid w:val="009F259E"/>
    <w:rsid w:val="00A322BC"/>
    <w:rsid w:val="00A61E36"/>
    <w:rsid w:val="00A82211"/>
    <w:rsid w:val="00AC3C35"/>
    <w:rsid w:val="00B05F89"/>
    <w:rsid w:val="00B35354"/>
    <w:rsid w:val="00B35C26"/>
    <w:rsid w:val="00B45362"/>
    <w:rsid w:val="00BC0603"/>
    <w:rsid w:val="00BD5BA6"/>
    <w:rsid w:val="00C040E4"/>
    <w:rsid w:val="00C06EB4"/>
    <w:rsid w:val="00C5474B"/>
    <w:rsid w:val="00C562C5"/>
    <w:rsid w:val="00C72517"/>
    <w:rsid w:val="00C906C6"/>
    <w:rsid w:val="00CB55EB"/>
    <w:rsid w:val="00CC3378"/>
    <w:rsid w:val="00CE2CCC"/>
    <w:rsid w:val="00CF50D4"/>
    <w:rsid w:val="00D17427"/>
    <w:rsid w:val="00D27C9C"/>
    <w:rsid w:val="00D74E00"/>
    <w:rsid w:val="00DC0696"/>
    <w:rsid w:val="00DE411A"/>
    <w:rsid w:val="00E743C9"/>
    <w:rsid w:val="00E90A04"/>
    <w:rsid w:val="00ED5FCF"/>
    <w:rsid w:val="00ED64A2"/>
    <w:rsid w:val="00EF3146"/>
    <w:rsid w:val="00EF5841"/>
    <w:rsid w:val="00F1401A"/>
    <w:rsid w:val="00FB449F"/>
    <w:rsid w:val="00FD07B5"/>
    <w:rsid w:val="00FE133E"/>
    <w:rsid w:val="00FE13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22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rsid w:val="00A322BC"/>
    <w:rPr>
      <w:rFonts w:ascii="Calibri" w:eastAsia="Calibri" w:hAnsi="Calibri" w:cs="Calibri"/>
      <w:color w:val="000000"/>
    </w:rPr>
  </w:style>
  <w:style w:type="table" w:customStyle="1" w:styleId="LightShading1">
    <w:name w:val="Light Shading1"/>
    <w:basedOn w:val="TableNormal"/>
    <w:uiPriority w:val="60"/>
    <w:rsid w:val="001F0FCE"/>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F0FCE"/>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lin\Desktop\Lichen\Lichen%20trp.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alin\Desktop\Lichen\Lichen%20tr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lin\Desktop\Lichen\Worksheet%20lich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PTEE</c:v>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6200000" scaled="1"/>
              <a:tileRect/>
            </a:gradFill>
          </c:spPr>
          <c:invertIfNegative val="0"/>
          <c:errBars>
            <c:errBarType val="both"/>
            <c:errValType val="percentage"/>
            <c:noEndCap val="0"/>
            <c:val val="5"/>
          </c:errBars>
          <c:cat>
            <c:numRef>
              <c:f>Sheet3!$A$3:$A$7</c:f>
              <c:numCache>
                <c:formatCode>General</c:formatCode>
                <c:ptCount val="5"/>
                <c:pt idx="0">
                  <c:v>20</c:v>
                </c:pt>
                <c:pt idx="1">
                  <c:v>40</c:v>
                </c:pt>
                <c:pt idx="2">
                  <c:v>60</c:v>
                </c:pt>
                <c:pt idx="3">
                  <c:v>80</c:v>
                </c:pt>
                <c:pt idx="4">
                  <c:v>100</c:v>
                </c:pt>
              </c:numCache>
            </c:numRef>
          </c:cat>
          <c:val>
            <c:numRef>
              <c:f>Sheet3!$B$3:$B$7</c:f>
              <c:numCache>
                <c:formatCode>General</c:formatCode>
                <c:ptCount val="5"/>
                <c:pt idx="0">
                  <c:v>3.9000000000000215E-2</c:v>
                </c:pt>
                <c:pt idx="1">
                  <c:v>6.3000000000000014E-2</c:v>
                </c:pt>
                <c:pt idx="2">
                  <c:v>9.0000000000000066E-2</c:v>
                </c:pt>
                <c:pt idx="3">
                  <c:v>0.11000000000000018</c:v>
                </c:pt>
                <c:pt idx="4">
                  <c:v>0.14000000000000001</c:v>
                </c:pt>
              </c:numCache>
            </c:numRef>
          </c:val>
        </c:ser>
        <c:ser>
          <c:idx val="1"/>
          <c:order val="1"/>
          <c:tx>
            <c:v>GA</c:v>
          </c:tx>
          <c:spPr>
            <a:gradFill flip="none" rotWithShape="1">
              <a:gsLst>
                <a:gs pos="0">
                  <a:srgbClr val="F79646">
                    <a:lumMod val="75000"/>
                    <a:shade val="30000"/>
                    <a:satMod val="115000"/>
                  </a:srgbClr>
                </a:gs>
                <a:gs pos="50000">
                  <a:srgbClr val="F79646">
                    <a:lumMod val="75000"/>
                    <a:shade val="67500"/>
                    <a:satMod val="115000"/>
                  </a:srgbClr>
                </a:gs>
                <a:gs pos="100000">
                  <a:srgbClr val="F79646">
                    <a:lumMod val="75000"/>
                    <a:shade val="100000"/>
                    <a:satMod val="115000"/>
                  </a:srgbClr>
                </a:gs>
              </a:gsLst>
              <a:lin ang="16200000" scaled="1"/>
              <a:tileRect/>
            </a:gradFill>
          </c:spPr>
          <c:invertIfNegative val="0"/>
          <c:errBars>
            <c:errBarType val="both"/>
            <c:errValType val="percentage"/>
            <c:noEndCap val="0"/>
            <c:val val="5"/>
          </c:errBars>
          <c:cat>
            <c:numRef>
              <c:f>Sheet3!$A$3:$A$7</c:f>
              <c:numCache>
                <c:formatCode>General</c:formatCode>
                <c:ptCount val="5"/>
                <c:pt idx="0">
                  <c:v>20</c:v>
                </c:pt>
                <c:pt idx="1">
                  <c:v>40</c:v>
                </c:pt>
                <c:pt idx="2">
                  <c:v>60</c:v>
                </c:pt>
                <c:pt idx="3">
                  <c:v>80</c:v>
                </c:pt>
                <c:pt idx="4">
                  <c:v>100</c:v>
                </c:pt>
              </c:numCache>
            </c:numRef>
          </c:cat>
          <c:val>
            <c:numRef>
              <c:f>Sheet3!$C$3:$C$7</c:f>
              <c:numCache>
                <c:formatCode>General</c:formatCode>
                <c:ptCount val="5"/>
                <c:pt idx="0">
                  <c:v>0.18400000000000041</c:v>
                </c:pt>
                <c:pt idx="1">
                  <c:v>0.21400000000000041</c:v>
                </c:pt>
                <c:pt idx="2">
                  <c:v>0.23700000000000004</c:v>
                </c:pt>
                <c:pt idx="3">
                  <c:v>0.27500000000000002</c:v>
                </c:pt>
                <c:pt idx="4">
                  <c:v>0.32200000000000267</c:v>
                </c:pt>
              </c:numCache>
            </c:numRef>
          </c:val>
        </c:ser>
        <c:ser>
          <c:idx val="2"/>
          <c:order val="2"/>
          <c:tx>
            <c:v>AA</c:v>
          </c:tx>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16200000" scaled="1"/>
              <a:tileRect/>
            </a:gradFill>
          </c:spPr>
          <c:invertIfNegative val="0"/>
          <c:errBars>
            <c:errBarType val="both"/>
            <c:errValType val="percentage"/>
            <c:noEndCap val="0"/>
            <c:val val="5"/>
          </c:errBars>
          <c:cat>
            <c:numRef>
              <c:f>Sheet3!$A$3:$A$7</c:f>
              <c:numCache>
                <c:formatCode>General</c:formatCode>
                <c:ptCount val="5"/>
                <c:pt idx="0">
                  <c:v>20</c:v>
                </c:pt>
                <c:pt idx="1">
                  <c:v>40</c:v>
                </c:pt>
                <c:pt idx="2">
                  <c:v>60</c:v>
                </c:pt>
                <c:pt idx="3">
                  <c:v>80</c:v>
                </c:pt>
                <c:pt idx="4">
                  <c:v>100</c:v>
                </c:pt>
              </c:numCache>
            </c:numRef>
          </c:cat>
          <c:val>
            <c:numRef>
              <c:f>Sheet3!$D$3:$D$7</c:f>
              <c:numCache>
                <c:formatCode>General</c:formatCode>
                <c:ptCount val="5"/>
                <c:pt idx="0">
                  <c:v>0.15400000000000041</c:v>
                </c:pt>
                <c:pt idx="1">
                  <c:v>0.19200000000000048</c:v>
                </c:pt>
                <c:pt idx="2">
                  <c:v>0.21800000000000044</c:v>
                </c:pt>
                <c:pt idx="3">
                  <c:v>0.26600000000000001</c:v>
                </c:pt>
                <c:pt idx="4">
                  <c:v>0.30200000000000032</c:v>
                </c:pt>
              </c:numCache>
            </c:numRef>
          </c:val>
        </c:ser>
        <c:dLbls>
          <c:showLegendKey val="0"/>
          <c:showVal val="0"/>
          <c:showCatName val="0"/>
          <c:showSerName val="0"/>
          <c:showPercent val="0"/>
          <c:showBubbleSize val="0"/>
        </c:dLbls>
        <c:gapWidth val="150"/>
        <c:axId val="107324544"/>
        <c:axId val="107326464"/>
      </c:barChart>
      <c:catAx>
        <c:axId val="107324544"/>
        <c:scaling>
          <c:orientation val="minMax"/>
        </c:scaling>
        <c:delete val="0"/>
        <c:axPos val="b"/>
        <c:title>
          <c:tx>
            <c:rich>
              <a:bodyPr/>
              <a:lstStyle/>
              <a:p>
                <a:pPr>
                  <a:defRPr lang="en-US" b="0"/>
                </a:pPr>
                <a:r>
                  <a:rPr lang="en-US" b="0"/>
                  <a:t>Concentration (µg/ml)</a:t>
                </a:r>
              </a:p>
            </c:rich>
          </c:tx>
          <c:overlay val="0"/>
        </c:title>
        <c:numFmt formatCode="General" sourceLinked="1"/>
        <c:majorTickMark val="none"/>
        <c:minorTickMark val="none"/>
        <c:tickLblPos val="nextTo"/>
        <c:txPr>
          <a:bodyPr/>
          <a:lstStyle/>
          <a:p>
            <a:pPr>
              <a:defRPr lang="en-US"/>
            </a:pPr>
            <a:endParaRPr lang="en-US"/>
          </a:p>
        </c:txPr>
        <c:crossAx val="107326464"/>
        <c:crossesAt val="0"/>
        <c:auto val="1"/>
        <c:lblAlgn val="ctr"/>
        <c:lblOffset val="100"/>
        <c:noMultiLvlLbl val="0"/>
      </c:catAx>
      <c:valAx>
        <c:axId val="107326464"/>
        <c:scaling>
          <c:orientation val="minMax"/>
        </c:scaling>
        <c:delete val="0"/>
        <c:axPos val="l"/>
        <c:title>
          <c:tx>
            <c:rich>
              <a:bodyPr/>
              <a:lstStyle/>
              <a:p>
                <a:pPr>
                  <a:defRPr lang="en-US" b="0"/>
                </a:pPr>
                <a:r>
                  <a:rPr lang="en-US" b="0"/>
                  <a:t>Absorbance at 700nm</a:t>
                </a:r>
              </a:p>
            </c:rich>
          </c:tx>
          <c:overlay val="0"/>
        </c:title>
        <c:numFmt formatCode="#,##0.00" sourceLinked="0"/>
        <c:majorTickMark val="out"/>
        <c:minorTickMark val="none"/>
        <c:tickLblPos val="nextTo"/>
        <c:txPr>
          <a:bodyPr/>
          <a:lstStyle/>
          <a:p>
            <a:pPr>
              <a:defRPr lang="en-US"/>
            </a:pPr>
            <a:endParaRPr lang="en-US"/>
          </a:p>
        </c:txPr>
        <c:crossAx val="107324544"/>
        <c:crosses val="autoZero"/>
        <c:crossBetween val="between"/>
        <c:majorUnit val="0.1"/>
      </c:valAx>
    </c:plotArea>
    <c:legend>
      <c:legendPos val="r"/>
      <c:overlay val="0"/>
      <c:txPr>
        <a:bodyPr/>
        <a:lstStyle/>
        <a:p>
          <a:pPr>
            <a:defRPr lang="en-US"/>
          </a:pPr>
          <a:endParaRPr lang="en-US"/>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Zopolrestat</c:v>
          </c:tx>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6200000" scaled="1"/>
              <a:tileRect/>
            </a:gradFill>
          </c:spPr>
          <c:invertIfNegative val="0"/>
          <c:errBars>
            <c:errBarType val="both"/>
            <c:errValType val="percentage"/>
            <c:noEndCap val="0"/>
            <c:val val="5"/>
          </c:errBars>
          <c:cat>
            <c:numRef>
              <c:f>Sheet4!$A$1:$A$5</c:f>
              <c:numCache>
                <c:formatCode>General</c:formatCode>
                <c:ptCount val="5"/>
                <c:pt idx="0">
                  <c:v>5</c:v>
                </c:pt>
                <c:pt idx="1">
                  <c:v>10</c:v>
                </c:pt>
                <c:pt idx="2">
                  <c:v>25</c:v>
                </c:pt>
                <c:pt idx="3">
                  <c:v>50</c:v>
                </c:pt>
                <c:pt idx="4">
                  <c:v>100</c:v>
                </c:pt>
              </c:numCache>
            </c:numRef>
          </c:cat>
          <c:val>
            <c:numRef>
              <c:f>Sheet4!$B$1:$B$5</c:f>
              <c:numCache>
                <c:formatCode>General</c:formatCode>
                <c:ptCount val="5"/>
                <c:pt idx="0">
                  <c:v>58</c:v>
                </c:pt>
                <c:pt idx="1">
                  <c:v>65</c:v>
                </c:pt>
                <c:pt idx="2">
                  <c:v>70</c:v>
                </c:pt>
                <c:pt idx="3">
                  <c:v>82</c:v>
                </c:pt>
                <c:pt idx="4">
                  <c:v>95</c:v>
                </c:pt>
              </c:numCache>
            </c:numRef>
          </c:val>
        </c:ser>
        <c:ser>
          <c:idx val="1"/>
          <c:order val="1"/>
          <c:tx>
            <c:v>PTEE</c:v>
          </c:tx>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6200000" scaled="1"/>
              <a:tileRect/>
            </a:gradFill>
          </c:spPr>
          <c:invertIfNegative val="0"/>
          <c:errBars>
            <c:errBarType val="both"/>
            <c:errValType val="percentage"/>
            <c:noEndCap val="0"/>
            <c:val val="5"/>
          </c:errBars>
          <c:cat>
            <c:numRef>
              <c:f>Sheet4!$A$1:$A$5</c:f>
              <c:numCache>
                <c:formatCode>General</c:formatCode>
                <c:ptCount val="5"/>
                <c:pt idx="0">
                  <c:v>5</c:v>
                </c:pt>
                <c:pt idx="1">
                  <c:v>10</c:v>
                </c:pt>
                <c:pt idx="2">
                  <c:v>25</c:v>
                </c:pt>
                <c:pt idx="3">
                  <c:v>50</c:v>
                </c:pt>
                <c:pt idx="4">
                  <c:v>100</c:v>
                </c:pt>
              </c:numCache>
            </c:numRef>
          </c:cat>
          <c:val>
            <c:numRef>
              <c:f>Sheet4!$C$1:$C$5</c:f>
              <c:numCache>
                <c:formatCode>General</c:formatCode>
                <c:ptCount val="5"/>
                <c:pt idx="0">
                  <c:v>5</c:v>
                </c:pt>
                <c:pt idx="1">
                  <c:v>15</c:v>
                </c:pt>
                <c:pt idx="2">
                  <c:v>30</c:v>
                </c:pt>
                <c:pt idx="3">
                  <c:v>40</c:v>
                </c:pt>
                <c:pt idx="4">
                  <c:v>43</c:v>
                </c:pt>
              </c:numCache>
            </c:numRef>
          </c:val>
        </c:ser>
        <c:dLbls>
          <c:showLegendKey val="0"/>
          <c:showVal val="0"/>
          <c:showCatName val="0"/>
          <c:showSerName val="0"/>
          <c:showPercent val="0"/>
          <c:showBubbleSize val="0"/>
        </c:dLbls>
        <c:gapWidth val="150"/>
        <c:axId val="67519232"/>
        <c:axId val="67521152"/>
      </c:barChart>
      <c:catAx>
        <c:axId val="67519232"/>
        <c:scaling>
          <c:orientation val="minMax"/>
        </c:scaling>
        <c:delete val="0"/>
        <c:axPos val="b"/>
        <c:title>
          <c:tx>
            <c:rich>
              <a:bodyPr/>
              <a:lstStyle/>
              <a:p>
                <a:pPr>
                  <a:defRPr lang="en-US" b="0"/>
                </a:pPr>
                <a:r>
                  <a:rPr lang="en-US" b="0"/>
                  <a:t>Concentration (µg/ml)</a:t>
                </a:r>
              </a:p>
            </c:rich>
          </c:tx>
          <c:overlay val="0"/>
        </c:title>
        <c:numFmt formatCode="General" sourceLinked="1"/>
        <c:majorTickMark val="out"/>
        <c:minorTickMark val="none"/>
        <c:tickLblPos val="nextTo"/>
        <c:txPr>
          <a:bodyPr/>
          <a:lstStyle/>
          <a:p>
            <a:pPr>
              <a:defRPr lang="en-US"/>
            </a:pPr>
            <a:endParaRPr lang="en-US"/>
          </a:p>
        </c:txPr>
        <c:crossAx val="67521152"/>
        <c:crosses val="autoZero"/>
        <c:auto val="1"/>
        <c:lblAlgn val="ctr"/>
        <c:lblOffset val="100"/>
        <c:noMultiLvlLbl val="0"/>
      </c:catAx>
      <c:valAx>
        <c:axId val="67521152"/>
        <c:scaling>
          <c:orientation val="minMax"/>
          <c:max val="100"/>
        </c:scaling>
        <c:delete val="0"/>
        <c:axPos val="l"/>
        <c:title>
          <c:tx>
            <c:rich>
              <a:bodyPr rot="-5400000" vert="horz"/>
              <a:lstStyle/>
              <a:p>
                <a:pPr>
                  <a:defRPr lang="en-US" b="0"/>
                </a:pPr>
                <a:r>
                  <a:rPr lang="en-US" b="0"/>
                  <a:t>% inhibition</a:t>
                </a:r>
              </a:p>
            </c:rich>
          </c:tx>
          <c:overlay val="0"/>
        </c:title>
        <c:numFmt formatCode="General" sourceLinked="1"/>
        <c:majorTickMark val="out"/>
        <c:minorTickMark val="none"/>
        <c:tickLblPos val="nextTo"/>
        <c:txPr>
          <a:bodyPr/>
          <a:lstStyle/>
          <a:p>
            <a:pPr>
              <a:defRPr lang="en-US"/>
            </a:pPr>
            <a:endParaRPr lang="en-US"/>
          </a:p>
        </c:txPr>
        <c:crossAx val="67519232"/>
        <c:crosses val="autoZero"/>
        <c:crossBetween val="between"/>
        <c:majorUnit val="20"/>
      </c:valAx>
    </c:plotArea>
    <c:legend>
      <c:legendPos val="r"/>
      <c:overlay val="0"/>
      <c:txPr>
        <a:bodyPr/>
        <a:lstStyle/>
        <a:p>
          <a:pPr>
            <a:defRPr lang="en-US"/>
          </a:pPr>
          <a:endParaRPr lang="en-US"/>
        </a:p>
      </c:txPr>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PTEE</c:v>
          </c:tx>
          <c:errBars>
            <c:errDir val="y"/>
            <c:errBarType val="both"/>
            <c:errValType val="percentage"/>
            <c:noEndCap val="0"/>
            <c:val val="5"/>
          </c:errBars>
          <c:errBars>
            <c:errDir val="x"/>
            <c:errBarType val="both"/>
            <c:errValType val="fixedVal"/>
            <c:noEndCap val="0"/>
            <c:val val="1"/>
          </c:errBars>
          <c:xVal>
            <c:numRef>
              <c:f>Sheet3!$G$50:$G$55</c:f>
              <c:numCache>
                <c:formatCode>General</c:formatCode>
                <c:ptCount val="6"/>
                <c:pt idx="0">
                  <c:v>0</c:v>
                </c:pt>
                <c:pt idx="1">
                  <c:v>50</c:v>
                </c:pt>
                <c:pt idx="2">
                  <c:v>100</c:v>
                </c:pt>
                <c:pt idx="3">
                  <c:v>200</c:v>
                </c:pt>
                <c:pt idx="4">
                  <c:v>300</c:v>
                </c:pt>
                <c:pt idx="5">
                  <c:v>400</c:v>
                </c:pt>
              </c:numCache>
            </c:numRef>
          </c:xVal>
          <c:yVal>
            <c:numRef>
              <c:f>Sheet3!$H$50:$H$55</c:f>
              <c:numCache>
                <c:formatCode>General</c:formatCode>
                <c:ptCount val="6"/>
                <c:pt idx="0">
                  <c:v>0</c:v>
                </c:pt>
                <c:pt idx="1">
                  <c:v>21</c:v>
                </c:pt>
                <c:pt idx="2">
                  <c:v>36</c:v>
                </c:pt>
                <c:pt idx="3">
                  <c:v>45</c:v>
                </c:pt>
                <c:pt idx="4">
                  <c:v>51</c:v>
                </c:pt>
                <c:pt idx="5">
                  <c:v>62.7</c:v>
                </c:pt>
              </c:numCache>
            </c:numRef>
          </c:yVal>
          <c:smooth val="0"/>
        </c:ser>
        <c:ser>
          <c:idx val="1"/>
          <c:order val="1"/>
          <c:tx>
            <c:v>Aminoguanidine</c:v>
          </c:tx>
          <c:marker>
            <c:symbol val="square"/>
            <c:size val="6"/>
          </c:marker>
          <c:dPt>
            <c:idx val="2"/>
            <c:marker>
              <c:symbol val="square"/>
              <c:size val="4"/>
            </c:marker>
            <c:bubble3D val="0"/>
          </c:dPt>
          <c:errBars>
            <c:errDir val="y"/>
            <c:errBarType val="both"/>
            <c:errValType val="percentage"/>
            <c:noEndCap val="0"/>
            <c:val val="5"/>
          </c:errBars>
          <c:errBars>
            <c:errDir val="x"/>
            <c:errBarType val="both"/>
            <c:errValType val="fixedVal"/>
            <c:noEndCap val="0"/>
            <c:val val="1"/>
          </c:errBars>
          <c:xVal>
            <c:numRef>
              <c:f>Sheet3!$G$50:$G$55</c:f>
              <c:numCache>
                <c:formatCode>General</c:formatCode>
                <c:ptCount val="6"/>
                <c:pt idx="0">
                  <c:v>0</c:v>
                </c:pt>
                <c:pt idx="1">
                  <c:v>50</c:v>
                </c:pt>
                <c:pt idx="2">
                  <c:v>100</c:v>
                </c:pt>
                <c:pt idx="3">
                  <c:v>200</c:v>
                </c:pt>
                <c:pt idx="4">
                  <c:v>300</c:v>
                </c:pt>
                <c:pt idx="5">
                  <c:v>400</c:v>
                </c:pt>
              </c:numCache>
            </c:numRef>
          </c:xVal>
          <c:yVal>
            <c:numRef>
              <c:f>Sheet3!$I$50:$I$55</c:f>
              <c:numCache>
                <c:formatCode>General</c:formatCode>
                <c:ptCount val="6"/>
                <c:pt idx="0">
                  <c:v>0</c:v>
                </c:pt>
                <c:pt idx="1">
                  <c:v>28</c:v>
                </c:pt>
                <c:pt idx="2">
                  <c:v>41</c:v>
                </c:pt>
                <c:pt idx="3">
                  <c:v>49</c:v>
                </c:pt>
                <c:pt idx="4">
                  <c:v>59</c:v>
                </c:pt>
                <c:pt idx="5">
                  <c:v>70</c:v>
                </c:pt>
              </c:numCache>
            </c:numRef>
          </c:yVal>
          <c:smooth val="0"/>
        </c:ser>
        <c:dLbls>
          <c:showLegendKey val="0"/>
          <c:showVal val="0"/>
          <c:showCatName val="0"/>
          <c:showSerName val="0"/>
          <c:showPercent val="0"/>
          <c:showBubbleSize val="0"/>
        </c:dLbls>
        <c:axId val="67552768"/>
        <c:axId val="67554688"/>
      </c:scatterChart>
      <c:valAx>
        <c:axId val="67552768"/>
        <c:scaling>
          <c:orientation val="minMax"/>
          <c:min val="0"/>
        </c:scaling>
        <c:delete val="0"/>
        <c:axPos val="b"/>
        <c:title>
          <c:tx>
            <c:rich>
              <a:bodyPr/>
              <a:lstStyle/>
              <a:p>
                <a:pPr>
                  <a:defRPr lang="en-US" sz="1200"/>
                </a:pPr>
                <a:r>
                  <a:rPr lang="en-US" sz="1200"/>
                  <a:t>concentration(µg/ml)
</a:t>
                </a:r>
              </a:p>
            </c:rich>
          </c:tx>
          <c:overlay val="0"/>
        </c:title>
        <c:numFmt formatCode="General" sourceLinked="1"/>
        <c:majorTickMark val="out"/>
        <c:minorTickMark val="none"/>
        <c:tickLblPos val="nextTo"/>
        <c:txPr>
          <a:bodyPr/>
          <a:lstStyle/>
          <a:p>
            <a:pPr>
              <a:defRPr lang="en-US"/>
            </a:pPr>
            <a:endParaRPr lang="en-US"/>
          </a:p>
        </c:txPr>
        <c:crossAx val="67554688"/>
        <c:crosses val="autoZero"/>
        <c:crossBetween val="midCat"/>
      </c:valAx>
      <c:valAx>
        <c:axId val="67554688"/>
        <c:scaling>
          <c:orientation val="minMax"/>
        </c:scaling>
        <c:delete val="0"/>
        <c:axPos val="l"/>
        <c:title>
          <c:tx>
            <c:rich>
              <a:bodyPr rot="-5400000" vert="horz"/>
              <a:lstStyle/>
              <a:p>
                <a:pPr>
                  <a:defRPr lang="en-US" sz="1200"/>
                </a:pPr>
                <a:r>
                  <a:rPr lang="en-US" sz="1200"/>
                  <a:t>% inhibition</a:t>
                </a:r>
              </a:p>
            </c:rich>
          </c:tx>
          <c:overlay val="0"/>
        </c:title>
        <c:numFmt formatCode="General" sourceLinked="1"/>
        <c:majorTickMark val="out"/>
        <c:minorTickMark val="none"/>
        <c:tickLblPos val="nextTo"/>
        <c:txPr>
          <a:bodyPr/>
          <a:lstStyle/>
          <a:p>
            <a:pPr>
              <a:defRPr lang="en-US"/>
            </a:pPr>
            <a:endParaRPr lang="en-US"/>
          </a:p>
        </c:txPr>
        <c:crossAx val="67552768"/>
        <c:crosses val="autoZero"/>
        <c:crossBetween val="midCat"/>
        <c:majorUnit val="20"/>
      </c:valAx>
    </c:plotArea>
    <c:legend>
      <c:legendPos val="r"/>
      <c:layout>
        <c:manualLayout>
          <c:xMode val="edge"/>
          <c:yMode val="edge"/>
          <c:x val="0.43631933508311482"/>
          <c:y val="0.41176800816564868"/>
          <c:w val="0.28868066491688926"/>
          <c:h val="0.16720472440944881"/>
        </c:manualLayout>
      </c:layout>
      <c:overlay val="0"/>
      <c:txPr>
        <a:bodyPr/>
        <a:lstStyle/>
        <a:p>
          <a:pPr>
            <a:defRPr lang="en-US"/>
          </a:pPr>
          <a:endParaRPr lang="en-US"/>
        </a:p>
      </c:txPr>
    </c:legend>
    <c:plotVisOnly val="1"/>
    <c:dispBlanksAs val="gap"/>
    <c:showDLblsOverMax val="0"/>
  </c:chart>
  <c:spPr>
    <a:ln>
      <a:noFill/>
    </a:ln>
  </c:spPr>
  <c:txPr>
    <a:bodyPr/>
    <a:lstStyle/>
    <a:p>
      <a:pPr>
        <a:defRPr sz="1100" b="0">
          <a:latin typeface="Times New Roman" pitchFamily="18" charset="0"/>
          <a:cs typeface="Times New Roman" pitchFamily="18" charset="0"/>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0.23204</cdr:x>
      <cdr:y>0.28329</cdr:y>
    </cdr:from>
    <cdr:to>
      <cdr:x>0.29381</cdr:x>
      <cdr:y>0.37829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1864" y="795131"/>
          <a:ext cx="266667" cy="266667"/>
        </a:xfrm>
        <a:prstGeom xmlns:a="http://schemas.openxmlformats.org/drawingml/2006/main" prst="rect">
          <a:avLst/>
        </a:prstGeom>
      </cdr:spPr>
    </cdr:pic>
  </cdr:relSizeAnchor>
  <cdr:relSizeAnchor xmlns:cdr="http://schemas.openxmlformats.org/drawingml/2006/chartDrawing">
    <cdr:from>
      <cdr:x>0.3628</cdr:x>
      <cdr:y>0.24363</cdr:y>
    </cdr:from>
    <cdr:to>
      <cdr:x>0.42456</cdr:x>
      <cdr:y>0.33863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66407" y="683812"/>
          <a:ext cx="266667" cy="266667"/>
        </a:xfrm>
        <a:prstGeom xmlns:a="http://schemas.openxmlformats.org/drawingml/2006/main" prst="rect">
          <a:avLst/>
        </a:prstGeom>
      </cdr:spPr>
    </cdr:pic>
  </cdr:relSizeAnchor>
  <cdr:relSizeAnchor xmlns:cdr="http://schemas.openxmlformats.org/drawingml/2006/chartDrawing">
    <cdr:from>
      <cdr:x>0.46593</cdr:x>
      <cdr:y>0.19547</cdr:y>
    </cdr:from>
    <cdr:to>
      <cdr:x>0.52769</cdr:x>
      <cdr:y>0.29047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11680" y="548640"/>
          <a:ext cx="266667" cy="266667"/>
        </a:xfrm>
        <a:prstGeom xmlns:a="http://schemas.openxmlformats.org/drawingml/2006/main" prst="rect">
          <a:avLst/>
        </a:prstGeom>
      </cdr:spPr>
    </cdr:pic>
  </cdr:relSizeAnchor>
  <cdr:relSizeAnchor xmlns:cdr="http://schemas.openxmlformats.org/drawingml/2006/chartDrawing">
    <cdr:from>
      <cdr:x>0.60221</cdr:x>
      <cdr:y>0.13881</cdr:y>
    </cdr:from>
    <cdr:to>
      <cdr:x>0.66397</cdr:x>
      <cdr:y>0.23382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00077" y="389614"/>
          <a:ext cx="266667" cy="2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0.30623</cdr:x>
      <cdr:y>0.15733</cdr:y>
    </cdr:from>
    <cdr:to>
      <cdr:x>0.35423</cdr:x>
      <cdr:y>0.24</cdr:y>
    </cdr:to>
    <cdr:sp macro="" textlink="">
      <cdr:nvSpPr>
        <cdr:cNvPr id="4" name="TextBox 3"/>
        <cdr:cNvSpPr txBox="1"/>
      </cdr:nvSpPr>
      <cdr:spPr>
        <a:xfrm xmlns:a="http://schemas.openxmlformats.org/drawingml/2006/main">
          <a:off x="1400098" y="431597"/>
          <a:ext cx="219456" cy="2267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2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12</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Jackie O'Neill</cp:lastModifiedBy>
  <cp:revision>68</cp:revision>
  <dcterms:created xsi:type="dcterms:W3CDTF">2014-01-15T05:09:00Z</dcterms:created>
  <dcterms:modified xsi:type="dcterms:W3CDTF">2014-03-26T10:16:00Z</dcterms:modified>
</cp:coreProperties>
</file>