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D8" w:rsidRPr="00BB3319" w:rsidRDefault="002369D3" w:rsidP="00BB3319">
      <w:pPr>
        <w:pStyle w:val="Title"/>
        <w:spacing w:after="24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2E70">
        <w:rPr>
          <w:rFonts w:ascii="Times New Roman" w:hAnsi="Times New Roman" w:cs="Times New Roman"/>
        </w:rPr>
        <w:t xml:space="preserve"> </w:t>
      </w:r>
      <w:r w:rsidR="00916090" w:rsidRPr="00BB3319">
        <w:rPr>
          <w:rFonts w:ascii="Times New Roman" w:hAnsi="Times New Roman" w:cs="Times New Roman"/>
        </w:rPr>
        <w:t>Data Dictionary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10"/>
      </w:tblGrid>
      <w:tr w:rsidR="00E70CC0" w:rsidRPr="005F6A1C" w:rsidTr="00916090">
        <w:tc>
          <w:tcPr>
            <w:tcW w:w="1980" w:type="dxa"/>
          </w:tcPr>
          <w:p w:rsidR="00E70CC0" w:rsidRPr="005F6A1C" w:rsidRDefault="00E70CC0">
            <w:pPr>
              <w:ind w:firstLine="0"/>
              <w:rPr>
                <w:b/>
                <w:bCs/>
              </w:rPr>
            </w:pPr>
            <w:r w:rsidRPr="005F6A1C">
              <w:rPr>
                <w:b/>
                <w:bCs/>
              </w:rPr>
              <w:t>Column</w:t>
            </w:r>
          </w:p>
        </w:tc>
        <w:tc>
          <w:tcPr>
            <w:tcW w:w="4910" w:type="dxa"/>
          </w:tcPr>
          <w:p w:rsidR="00E70CC0" w:rsidRPr="005F6A1C" w:rsidRDefault="00E70CC0">
            <w:pPr>
              <w:ind w:firstLine="0"/>
              <w:rPr>
                <w:b/>
                <w:bCs/>
              </w:rPr>
            </w:pPr>
            <w:r w:rsidRPr="005F6A1C">
              <w:rPr>
                <w:b/>
                <w:bCs/>
              </w:rPr>
              <w:t>Description</w:t>
            </w:r>
          </w:p>
        </w:tc>
      </w:tr>
      <w:tr w:rsidR="00E70CC0" w:rsidTr="00916090">
        <w:tc>
          <w:tcPr>
            <w:tcW w:w="1980" w:type="dxa"/>
          </w:tcPr>
          <w:p w:rsidR="00E70CC0" w:rsidRDefault="00E70CC0">
            <w:pPr>
              <w:ind w:firstLine="0"/>
            </w:pPr>
            <w:r>
              <w:t>ID</w:t>
            </w:r>
          </w:p>
        </w:tc>
        <w:tc>
          <w:tcPr>
            <w:tcW w:w="4910" w:type="dxa"/>
          </w:tcPr>
          <w:p w:rsidR="00E70CC0" w:rsidRDefault="00BD59BF">
            <w:pPr>
              <w:ind w:firstLine="0"/>
            </w:pPr>
            <w:r>
              <w:t>N</w:t>
            </w:r>
            <w:r w:rsidR="00E70CC0">
              <w:t>umber of questionnaire</w:t>
            </w:r>
            <w:r>
              <w:t xml:space="preserve"> (Responder</w:t>
            </w:r>
            <w:r w:rsidR="00950BE6">
              <w:t>’s</w:t>
            </w:r>
            <w:r>
              <w:t xml:space="preserve"> number)</w:t>
            </w:r>
          </w:p>
        </w:tc>
      </w:tr>
      <w:tr w:rsidR="00E70CC0" w:rsidTr="00916090">
        <w:tc>
          <w:tcPr>
            <w:tcW w:w="1980" w:type="dxa"/>
          </w:tcPr>
          <w:p w:rsidR="00E70CC0" w:rsidRDefault="00B96DEB">
            <w:pPr>
              <w:ind w:firstLine="0"/>
            </w:pPr>
            <w:r>
              <w:t>Restaurant</w:t>
            </w:r>
          </w:p>
        </w:tc>
        <w:tc>
          <w:tcPr>
            <w:tcW w:w="4910" w:type="dxa"/>
          </w:tcPr>
          <w:p w:rsidR="00E70CC0" w:rsidRDefault="00E40578" w:rsidP="00E40578">
            <w:pPr>
              <w:ind w:firstLine="0"/>
            </w:pPr>
            <w:r>
              <w:t>Type</w:t>
            </w:r>
            <w:r w:rsidR="00B96DEB">
              <w:t xml:space="preserve"> of restaurant</w:t>
            </w:r>
            <w:r>
              <w:t xml:space="preserve"> the</w:t>
            </w:r>
            <w:bookmarkStart w:id="0" w:name="_GoBack"/>
            <w:bookmarkEnd w:id="0"/>
            <w:r>
              <w:t xml:space="preserve"> responder has been working</w:t>
            </w:r>
            <w:r w:rsidR="00C10D4F">
              <w:t>, 1 refer to</w:t>
            </w:r>
            <w:r>
              <w:t xml:space="preserve"> those who are working in a</w:t>
            </w:r>
            <w:r w:rsidR="00C10D4F">
              <w:t xml:space="preserve"> </w:t>
            </w:r>
            <w:r w:rsidR="00B96DEB">
              <w:t xml:space="preserve">‘tamsang’ restaurant, 2 refer </w:t>
            </w:r>
            <w:r>
              <w:t xml:space="preserve">to those </w:t>
            </w:r>
            <w:r>
              <w:t>who are working in a</w:t>
            </w:r>
            <w:r w:rsidR="00B96DEB">
              <w:t xml:space="preserve"> noodle restaurant, 3 refer to</w:t>
            </w:r>
            <w:r>
              <w:t xml:space="preserve"> </w:t>
            </w:r>
            <w:r>
              <w:t>those who are working in a</w:t>
            </w:r>
            <w:r w:rsidR="00B96DEB">
              <w:t xml:space="preserve"> barbecue stall, and 4 refer to</w:t>
            </w:r>
            <w:r>
              <w:t xml:space="preserve"> </w:t>
            </w:r>
            <w:r>
              <w:t>those who are working in a</w:t>
            </w:r>
            <w:r w:rsidR="00B96DEB">
              <w:t xml:space="preserve"> papaya salad restaurant</w:t>
            </w:r>
          </w:p>
        </w:tc>
      </w:tr>
      <w:tr w:rsidR="00E70CC0" w:rsidTr="00916090">
        <w:tc>
          <w:tcPr>
            <w:tcW w:w="1980" w:type="dxa"/>
          </w:tcPr>
          <w:p w:rsidR="00E70CC0" w:rsidRDefault="00B96DEB">
            <w:pPr>
              <w:ind w:firstLine="0"/>
            </w:pPr>
            <w:r>
              <w:t>Gender</w:t>
            </w:r>
          </w:p>
        </w:tc>
        <w:tc>
          <w:tcPr>
            <w:tcW w:w="4910" w:type="dxa"/>
          </w:tcPr>
          <w:p w:rsidR="00E70CC0" w:rsidRDefault="00BD59BF" w:rsidP="00E40578">
            <w:pPr>
              <w:ind w:firstLine="0"/>
            </w:pPr>
            <w:r>
              <w:t xml:space="preserve">Gender/sex of </w:t>
            </w:r>
            <w:r w:rsidR="00950BE6">
              <w:t xml:space="preserve">the </w:t>
            </w:r>
            <w:r>
              <w:t>responder</w:t>
            </w:r>
            <w:r w:rsidR="00C10D4F">
              <w:t xml:space="preserve">, 1 refer to </w:t>
            </w:r>
            <w:r w:rsidR="00B96DEB">
              <w:t>male</w:t>
            </w:r>
            <w:r w:rsidR="00C10D4F">
              <w:t xml:space="preserve">, 2 </w:t>
            </w:r>
            <w:r w:rsidR="00E40578">
              <w:t>refer to</w:t>
            </w:r>
            <w:r w:rsidR="00C10D4F">
              <w:t xml:space="preserve"> </w:t>
            </w:r>
            <w:r w:rsidR="00B96DEB">
              <w:t>female</w:t>
            </w:r>
          </w:p>
        </w:tc>
      </w:tr>
      <w:tr w:rsidR="00E70CC0" w:rsidTr="00916090">
        <w:tc>
          <w:tcPr>
            <w:tcW w:w="1980" w:type="dxa"/>
          </w:tcPr>
          <w:p w:rsidR="00E70CC0" w:rsidRDefault="00E70CC0">
            <w:pPr>
              <w:ind w:firstLine="0"/>
            </w:pPr>
            <w:r>
              <w:t>Age</w:t>
            </w:r>
            <w:r w:rsidR="00B1227C">
              <w:t xml:space="preserve"> (</w:t>
            </w:r>
            <w:proofErr w:type="spellStart"/>
            <w:r w:rsidR="00B1227C">
              <w:t>yr</w:t>
            </w:r>
            <w:proofErr w:type="spellEnd"/>
            <w:r w:rsidR="00B1227C">
              <w:t>)</w:t>
            </w:r>
          </w:p>
        </w:tc>
        <w:tc>
          <w:tcPr>
            <w:tcW w:w="4910" w:type="dxa"/>
          </w:tcPr>
          <w:p w:rsidR="00E70CC0" w:rsidRDefault="00E70CC0" w:rsidP="00E40578">
            <w:pPr>
              <w:ind w:firstLine="0"/>
            </w:pPr>
            <w:r>
              <w:t xml:space="preserve">Age in year </w:t>
            </w:r>
            <w:r w:rsidR="002A027D">
              <w:t xml:space="preserve">of </w:t>
            </w:r>
            <w:r w:rsidR="00E40578">
              <w:t>each</w:t>
            </w:r>
            <w:r w:rsidR="00950BE6">
              <w:t xml:space="preserve"> </w:t>
            </w:r>
            <w:r w:rsidR="002A027D">
              <w:t>responder</w:t>
            </w:r>
          </w:p>
        </w:tc>
      </w:tr>
      <w:tr w:rsidR="00E317D9" w:rsidTr="00540097">
        <w:tc>
          <w:tcPr>
            <w:tcW w:w="1980" w:type="dxa"/>
          </w:tcPr>
          <w:p w:rsidR="00E317D9" w:rsidRDefault="00E317D9" w:rsidP="00540097">
            <w:pPr>
              <w:ind w:firstLine="0"/>
            </w:pPr>
            <w:r>
              <w:t>Height (cm)</w:t>
            </w:r>
          </w:p>
        </w:tc>
        <w:tc>
          <w:tcPr>
            <w:tcW w:w="4910" w:type="dxa"/>
          </w:tcPr>
          <w:p w:rsidR="00E317D9" w:rsidRDefault="00E317D9" w:rsidP="00E40578">
            <w:pPr>
              <w:ind w:firstLine="0"/>
            </w:pPr>
            <w:r>
              <w:t xml:space="preserve">Height </w:t>
            </w:r>
            <w:r w:rsidR="00E40578">
              <w:t>in centimeter</w:t>
            </w:r>
            <w:r w:rsidR="00E40578">
              <w:t xml:space="preserve"> </w:t>
            </w:r>
            <w:r>
              <w:t xml:space="preserve">of </w:t>
            </w:r>
            <w:r w:rsidR="00D13C0F">
              <w:t>each</w:t>
            </w:r>
            <w:r>
              <w:t xml:space="preserve"> responder </w:t>
            </w:r>
          </w:p>
        </w:tc>
      </w:tr>
      <w:tr w:rsidR="002A027D" w:rsidTr="00703BAF">
        <w:tc>
          <w:tcPr>
            <w:tcW w:w="1980" w:type="dxa"/>
          </w:tcPr>
          <w:p w:rsidR="002A027D" w:rsidRDefault="002A027D" w:rsidP="00703BAF">
            <w:pPr>
              <w:ind w:firstLine="0"/>
            </w:pPr>
            <w:r>
              <w:t>Weight</w:t>
            </w:r>
            <w:r w:rsidR="00B1227C">
              <w:t xml:space="preserve"> (kg)</w:t>
            </w:r>
          </w:p>
        </w:tc>
        <w:tc>
          <w:tcPr>
            <w:tcW w:w="4910" w:type="dxa"/>
          </w:tcPr>
          <w:p w:rsidR="002A027D" w:rsidRDefault="002A027D" w:rsidP="00E40578">
            <w:pPr>
              <w:ind w:firstLine="0"/>
            </w:pPr>
            <w:r>
              <w:t xml:space="preserve">Weight </w:t>
            </w:r>
            <w:r w:rsidR="00E40578">
              <w:t>in kilogram</w:t>
            </w:r>
            <w:r w:rsidR="00E40578">
              <w:t xml:space="preserve"> </w:t>
            </w:r>
            <w:r>
              <w:t xml:space="preserve">of </w:t>
            </w:r>
            <w:r w:rsidR="00D13C0F">
              <w:t>each</w:t>
            </w:r>
            <w:r w:rsidR="00950BE6">
              <w:t xml:space="preserve"> </w:t>
            </w:r>
            <w:r>
              <w:t xml:space="preserve">responder </w:t>
            </w:r>
          </w:p>
        </w:tc>
      </w:tr>
      <w:tr w:rsidR="00E70CC0" w:rsidTr="00916090">
        <w:tc>
          <w:tcPr>
            <w:tcW w:w="1980" w:type="dxa"/>
          </w:tcPr>
          <w:p w:rsidR="00E70CC0" w:rsidRDefault="00E70CC0">
            <w:pPr>
              <w:ind w:firstLine="0"/>
            </w:pPr>
            <w:r>
              <w:t>BMI</w:t>
            </w:r>
            <w:r w:rsidR="00B1227C">
              <w:t xml:space="preserve"> (kg/m</w:t>
            </w:r>
            <w:r w:rsidR="00B1227C" w:rsidRPr="00B1227C">
              <w:rPr>
                <w:vertAlign w:val="superscript"/>
              </w:rPr>
              <w:t>2</w:t>
            </w:r>
            <w:r w:rsidR="00B1227C">
              <w:t>)</w:t>
            </w:r>
          </w:p>
        </w:tc>
        <w:tc>
          <w:tcPr>
            <w:tcW w:w="4910" w:type="dxa"/>
          </w:tcPr>
          <w:p w:rsidR="00E70CC0" w:rsidRDefault="00BD59BF" w:rsidP="00D13C0F">
            <w:pPr>
              <w:ind w:firstLine="0"/>
            </w:pPr>
            <w:r>
              <w:t xml:space="preserve">Body Mass Index </w:t>
            </w:r>
            <w:r w:rsidR="00E40578">
              <w:t xml:space="preserve">(BMI) </w:t>
            </w:r>
            <w:r w:rsidR="002A027D">
              <w:t xml:space="preserve">value of </w:t>
            </w:r>
            <w:r w:rsidR="00D13C0F">
              <w:t>each</w:t>
            </w:r>
            <w:r w:rsidR="00950BE6">
              <w:t xml:space="preserve"> </w:t>
            </w:r>
            <w:r w:rsidR="002A027D">
              <w:t>responder</w:t>
            </w:r>
            <w:r w:rsidR="00C10D4F">
              <w:t xml:space="preserve"> (kg/m</w:t>
            </w:r>
            <w:r w:rsidR="00C10D4F" w:rsidRPr="00C10D4F">
              <w:rPr>
                <w:vertAlign w:val="superscript"/>
              </w:rPr>
              <w:t>2</w:t>
            </w:r>
            <w:r w:rsidR="00C10D4F">
              <w:t>)</w:t>
            </w:r>
          </w:p>
        </w:tc>
      </w:tr>
      <w:tr w:rsidR="00E70CC0" w:rsidTr="00916090">
        <w:tc>
          <w:tcPr>
            <w:tcW w:w="1980" w:type="dxa"/>
          </w:tcPr>
          <w:p w:rsidR="00E70CC0" w:rsidRDefault="00E317D9">
            <w:pPr>
              <w:ind w:firstLine="0"/>
            </w:pPr>
            <w:proofErr w:type="spellStart"/>
            <w:r>
              <w:t>BMI_gr</w:t>
            </w:r>
            <w:proofErr w:type="spellEnd"/>
          </w:p>
        </w:tc>
        <w:tc>
          <w:tcPr>
            <w:tcW w:w="4910" w:type="dxa"/>
          </w:tcPr>
          <w:p w:rsidR="00E70CC0" w:rsidRDefault="002A027D" w:rsidP="00E40578">
            <w:pPr>
              <w:ind w:firstLine="0"/>
            </w:pPr>
            <w:r>
              <w:t>Responde</w:t>
            </w:r>
            <w:r w:rsidR="00950BE6">
              <w:t>r</w:t>
            </w:r>
            <w:r w:rsidR="00332CB6">
              <w:t>s’</w:t>
            </w:r>
            <w:r w:rsidR="00950BE6">
              <w:t xml:space="preserve"> BMI </w:t>
            </w:r>
            <w:r w:rsidR="00E40578">
              <w:t>category</w:t>
            </w:r>
            <w:r w:rsidR="00E317D9">
              <w:t xml:space="preserve">: </w:t>
            </w:r>
            <w:r w:rsidR="00C10D4F">
              <w:t xml:space="preserve">1 refer to those with </w:t>
            </w:r>
            <w:r w:rsidR="00E40578">
              <w:t xml:space="preserve">a </w:t>
            </w:r>
            <w:r w:rsidR="00C10D4F">
              <w:t xml:space="preserve">BMI </w:t>
            </w:r>
            <w:r w:rsidR="00E317D9">
              <w:t xml:space="preserve">less than 18.5 </w:t>
            </w:r>
            <w:r w:rsidR="00E317D9">
              <w:t>kg/m</w:t>
            </w:r>
            <w:r w:rsidR="00E317D9" w:rsidRPr="00C10D4F">
              <w:rPr>
                <w:vertAlign w:val="superscript"/>
              </w:rPr>
              <w:t>2</w:t>
            </w:r>
            <w:r w:rsidR="00E317D9">
              <w:t xml:space="preserve">, 2 refer to those with </w:t>
            </w:r>
            <w:r w:rsidR="00E40578">
              <w:t xml:space="preserve">a </w:t>
            </w:r>
            <w:r w:rsidR="00E317D9">
              <w:t xml:space="preserve">BMI 18.5-22.9 </w:t>
            </w:r>
            <w:r w:rsidR="00E317D9">
              <w:t>kg/m</w:t>
            </w:r>
            <w:r w:rsidR="00E317D9" w:rsidRPr="00C10D4F">
              <w:rPr>
                <w:vertAlign w:val="superscript"/>
              </w:rPr>
              <w:t>2</w:t>
            </w:r>
            <w:r w:rsidR="00E317D9">
              <w:t xml:space="preserve">, 3 refer to those with </w:t>
            </w:r>
            <w:r w:rsidR="00E40578">
              <w:t xml:space="preserve">a </w:t>
            </w:r>
            <w:r w:rsidR="00E317D9">
              <w:t xml:space="preserve">BMI 23.0–24.9 </w:t>
            </w:r>
            <w:r w:rsidR="00E317D9">
              <w:t>kg/m</w:t>
            </w:r>
            <w:r w:rsidR="00E317D9" w:rsidRPr="00C10D4F">
              <w:rPr>
                <w:vertAlign w:val="superscript"/>
              </w:rPr>
              <w:t>2</w:t>
            </w:r>
            <w:r w:rsidR="00E317D9">
              <w:t xml:space="preserve">, 4 refer to those with </w:t>
            </w:r>
            <w:r w:rsidR="00E40578">
              <w:t xml:space="preserve">a </w:t>
            </w:r>
            <w:r w:rsidR="00E317D9">
              <w:t xml:space="preserve">BMI </w:t>
            </w:r>
            <w:r w:rsidR="00C10D4F">
              <w:t>25</w:t>
            </w:r>
            <w:r w:rsidR="00E317D9">
              <w:t xml:space="preserve">.0–29.9 </w:t>
            </w:r>
            <w:r w:rsidR="00E317D9">
              <w:t>kg/m</w:t>
            </w:r>
            <w:r w:rsidR="00E317D9" w:rsidRPr="00C10D4F">
              <w:rPr>
                <w:vertAlign w:val="superscript"/>
              </w:rPr>
              <w:t>2</w:t>
            </w:r>
            <w:r w:rsidR="00E317D9">
              <w:t xml:space="preserve">, and 5 refer to those with </w:t>
            </w:r>
            <w:r w:rsidR="00E40578">
              <w:t xml:space="preserve">a </w:t>
            </w:r>
            <w:r w:rsidR="00E317D9">
              <w:t xml:space="preserve">BMI 30 </w:t>
            </w:r>
            <w:r w:rsidR="00E317D9">
              <w:t>kg/m</w:t>
            </w:r>
            <w:r w:rsidR="00E317D9" w:rsidRPr="00C10D4F">
              <w:rPr>
                <w:vertAlign w:val="superscript"/>
              </w:rPr>
              <w:t>2</w:t>
            </w:r>
            <w:r w:rsidR="00E317D9">
              <w:rPr>
                <w:vertAlign w:val="superscript"/>
              </w:rPr>
              <w:t xml:space="preserve"> </w:t>
            </w:r>
            <w:r w:rsidR="00E317D9">
              <w:t>or more</w:t>
            </w:r>
          </w:p>
        </w:tc>
      </w:tr>
      <w:tr w:rsidR="00332CB6" w:rsidTr="00C52470">
        <w:tc>
          <w:tcPr>
            <w:tcW w:w="1980" w:type="dxa"/>
          </w:tcPr>
          <w:p w:rsidR="00332CB6" w:rsidRDefault="00332CB6" w:rsidP="00C52470">
            <w:pPr>
              <w:ind w:firstLine="0"/>
            </w:pPr>
            <w:r>
              <w:t>Marital</w:t>
            </w:r>
          </w:p>
        </w:tc>
        <w:tc>
          <w:tcPr>
            <w:tcW w:w="4910" w:type="dxa"/>
          </w:tcPr>
          <w:p w:rsidR="00332CB6" w:rsidRDefault="00332CB6" w:rsidP="004122CC">
            <w:pPr>
              <w:ind w:firstLine="0"/>
            </w:pPr>
            <w:r>
              <w:t>Marital status of the responder</w:t>
            </w:r>
            <w:r w:rsidR="00D13C0F">
              <w:t>s</w:t>
            </w:r>
            <w:r>
              <w:t>, 1 refer to</w:t>
            </w:r>
            <w:r w:rsidR="00D13C0F">
              <w:t xml:space="preserve"> those who are</w:t>
            </w:r>
            <w:r>
              <w:t xml:space="preserve"> single, 2 refer to </w:t>
            </w:r>
            <w:r w:rsidR="00D13C0F">
              <w:t xml:space="preserve">those who are </w:t>
            </w:r>
            <w:r w:rsidR="00040D85">
              <w:t xml:space="preserve">married, 3 refer to </w:t>
            </w:r>
            <w:r w:rsidR="00D13C0F">
              <w:t xml:space="preserve">those who are </w:t>
            </w:r>
            <w:r w:rsidR="00040D85">
              <w:t>divorce</w:t>
            </w:r>
            <w:r w:rsidR="00C657D6">
              <w:t>d</w:t>
            </w:r>
            <w:r w:rsidR="00040D85">
              <w:t>/ spouse passed away/ separated</w:t>
            </w:r>
          </w:p>
        </w:tc>
      </w:tr>
      <w:tr w:rsidR="004122CC" w:rsidTr="00937F35">
        <w:tc>
          <w:tcPr>
            <w:tcW w:w="1980" w:type="dxa"/>
          </w:tcPr>
          <w:p w:rsidR="004122CC" w:rsidRDefault="004122CC" w:rsidP="00937F35">
            <w:pPr>
              <w:ind w:firstLine="0"/>
            </w:pPr>
            <w:r>
              <w:t>Education</w:t>
            </w:r>
          </w:p>
        </w:tc>
        <w:tc>
          <w:tcPr>
            <w:tcW w:w="4910" w:type="dxa"/>
          </w:tcPr>
          <w:p w:rsidR="004122CC" w:rsidRDefault="004122CC" w:rsidP="00C657D6">
            <w:pPr>
              <w:ind w:firstLine="0"/>
            </w:pPr>
            <w:r>
              <w:t xml:space="preserve">Education </w:t>
            </w:r>
            <w:r w:rsidR="00C657D6">
              <w:t xml:space="preserve">level </w:t>
            </w:r>
            <w:r>
              <w:t>completed</w:t>
            </w:r>
            <w:r w:rsidR="00C657D6">
              <w:t xml:space="preserve"> by </w:t>
            </w:r>
            <w:r w:rsidR="00C657D6">
              <w:t>the responders</w:t>
            </w:r>
            <w:r>
              <w:t xml:space="preserve">, 1 refer to those who </w:t>
            </w:r>
            <w:r w:rsidR="00C657D6">
              <w:t>do</w:t>
            </w:r>
            <w:r>
              <w:t xml:space="preserve"> not attend school,  2 refer to those who finished primary school, 3 </w:t>
            </w:r>
            <w:r>
              <w:lastRenderedPageBreak/>
              <w:t xml:space="preserve">are those who </w:t>
            </w:r>
            <w:r>
              <w:t xml:space="preserve">finished high school, 4 </w:t>
            </w:r>
            <w:r>
              <w:t xml:space="preserve">are those who </w:t>
            </w:r>
            <w:r w:rsidR="00C657D6">
              <w:t>have</w:t>
            </w:r>
            <w:r>
              <w:t xml:space="preserve"> college or university</w:t>
            </w:r>
            <w:r w:rsidR="00C657D6">
              <w:t xml:space="preserve"> degree</w:t>
            </w:r>
          </w:p>
        </w:tc>
      </w:tr>
      <w:tr w:rsidR="00287A61" w:rsidTr="00C52470">
        <w:tc>
          <w:tcPr>
            <w:tcW w:w="1980" w:type="dxa"/>
          </w:tcPr>
          <w:p w:rsidR="00287A61" w:rsidRDefault="00287A61" w:rsidP="00C52470">
            <w:pPr>
              <w:ind w:firstLine="0"/>
            </w:pPr>
            <w:r>
              <w:lastRenderedPageBreak/>
              <w:t>Smoking</w:t>
            </w:r>
          </w:p>
        </w:tc>
        <w:tc>
          <w:tcPr>
            <w:tcW w:w="4910" w:type="dxa"/>
          </w:tcPr>
          <w:p w:rsidR="00287A61" w:rsidRDefault="004122CC" w:rsidP="00375308">
            <w:pPr>
              <w:ind w:firstLine="0"/>
            </w:pPr>
            <w:r>
              <w:t>Tobacco</w:t>
            </w:r>
            <w:r w:rsidR="00287A61">
              <w:t xml:space="preserve"> use </w:t>
            </w:r>
            <w:r w:rsidR="00375308">
              <w:t>by</w:t>
            </w:r>
            <w:r w:rsidR="00287A61">
              <w:t xml:space="preserve"> responders, 1 </w:t>
            </w:r>
            <w:r>
              <w:t>refer to those who are</w:t>
            </w:r>
            <w:r w:rsidR="00287A61">
              <w:t xml:space="preserve"> current</w:t>
            </w:r>
            <w:r>
              <w:t>ly</w:t>
            </w:r>
            <w:r w:rsidR="00287A61">
              <w:t xml:space="preserve"> </w:t>
            </w:r>
            <w:r w:rsidR="00375308">
              <w:t xml:space="preserve">a </w:t>
            </w:r>
            <w:r>
              <w:t>cigarette</w:t>
            </w:r>
            <w:r w:rsidR="00375308">
              <w:t xml:space="preserve"> </w:t>
            </w:r>
            <w:r w:rsidR="00375308">
              <w:t>smok</w:t>
            </w:r>
            <w:r w:rsidR="00375308">
              <w:t>er</w:t>
            </w:r>
            <w:r w:rsidR="00287A61">
              <w:t xml:space="preserve">, 2 </w:t>
            </w:r>
            <w:r>
              <w:t>are</w:t>
            </w:r>
            <w:r w:rsidR="00287A61">
              <w:t xml:space="preserve"> ex-smoker, 3 </w:t>
            </w:r>
            <w:r>
              <w:t>refer</w:t>
            </w:r>
            <w:r w:rsidR="00287A61">
              <w:t xml:space="preserve"> those who </w:t>
            </w:r>
            <w:r>
              <w:t xml:space="preserve">have </w:t>
            </w:r>
            <w:r w:rsidR="00287A61">
              <w:t xml:space="preserve">never smoked </w:t>
            </w:r>
            <w:r w:rsidR="00375308">
              <w:t xml:space="preserve">a </w:t>
            </w:r>
            <w:r w:rsidR="00287A61">
              <w:t>cigarette</w:t>
            </w:r>
          </w:p>
        </w:tc>
      </w:tr>
      <w:tr w:rsidR="004A1BAE" w:rsidTr="00C52470">
        <w:tc>
          <w:tcPr>
            <w:tcW w:w="1980" w:type="dxa"/>
          </w:tcPr>
          <w:p w:rsidR="004A1BAE" w:rsidRDefault="002E383B" w:rsidP="00C52470">
            <w:pPr>
              <w:ind w:firstLine="0"/>
            </w:pPr>
            <w:r>
              <w:t>Job</w:t>
            </w:r>
          </w:p>
        </w:tc>
        <w:tc>
          <w:tcPr>
            <w:tcW w:w="4910" w:type="dxa"/>
          </w:tcPr>
          <w:p w:rsidR="004A1BAE" w:rsidRDefault="002E383B" w:rsidP="002E383B">
            <w:pPr>
              <w:ind w:firstLine="0"/>
            </w:pPr>
            <w:r>
              <w:t>Job description</w:t>
            </w:r>
            <w:r w:rsidR="004A1BAE">
              <w:t xml:space="preserve"> of </w:t>
            </w:r>
            <w:r w:rsidR="00950BE6">
              <w:t xml:space="preserve">the </w:t>
            </w:r>
            <w:r w:rsidR="004A1BAE">
              <w:t>responder</w:t>
            </w:r>
            <w:r>
              <w:t>s</w:t>
            </w:r>
            <w:r w:rsidR="00C9495C">
              <w:t>, 1 refer to</w:t>
            </w:r>
            <w:r w:rsidR="00375308">
              <w:t xml:space="preserve"> those who working as a</w:t>
            </w:r>
            <w:r w:rsidR="00C9495C">
              <w:t xml:space="preserve"> </w:t>
            </w:r>
            <w:r w:rsidR="004122CC">
              <w:t>cook or chef</w:t>
            </w:r>
            <w:r w:rsidR="00C9495C">
              <w:t xml:space="preserve">, 2 </w:t>
            </w:r>
            <w:r>
              <w:t>refer to</w:t>
            </w:r>
            <w:r w:rsidR="00375308">
              <w:t xml:space="preserve"> those who working as a</w:t>
            </w:r>
            <w:r w:rsidR="00C9495C">
              <w:t xml:space="preserve"> </w:t>
            </w:r>
            <w:r w:rsidR="004122CC">
              <w:t>waitress/ chef assistance/ or others</w:t>
            </w:r>
          </w:p>
        </w:tc>
      </w:tr>
      <w:tr w:rsidR="00D13C0F" w:rsidTr="00031B10">
        <w:tc>
          <w:tcPr>
            <w:tcW w:w="1980" w:type="dxa"/>
          </w:tcPr>
          <w:p w:rsidR="00D13C0F" w:rsidRDefault="00D13C0F" w:rsidP="00031B10">
            <w:pPr>
              <w:ind w:firstLine="0"/>
            </w:pPr>
            <w:proofErr w:type="spellStart"/>
            <w:r>
              <w:t>Jobyear</w:t>
            </w:r>
            <w:proofErr w:type="spellEnd"/>
          </w:p>
        </w:tc>
        <w:tc>
          <w:tcPr>
            <w:tcW w:w="4910" w:type="dxa"/>
          </w:tcPr>
          <w:p w:rsidR="00D13C0F" w:rsidRDefault="00D13C0F" w:rsidP="00375308">
            <w:pPr>
              <w:ind w:firstLine="0"/>
            </w:pPr>
            <w:r>
              <w:t>R</w:t>
            </w:r>
            <w:r>
              <w:t>esponder</w:t>
            </w:r>
            <w:r>
              <w:t>s’ years of</w:t>
            </w:r>
            <w:r>
              <w:t xml:space="preserve"> working in this job, 1 refer to those who have been work</w:t>
            </w:r>
            <w:r w:rsidR="00375308">
              <w:t>ing</w:t>
            </w:r>
            <w:r>
              <w:t xml:space="preserve"> for 1-4 years, 2 refer to those who have been work</w:t>
            </w:r>
            <w:r w:rsidR="00375308">
              <w:t>ing</w:t>
            </w:r>
            <w:r>
              <w:t xml:space="preserve"> for 5-10 years, 3 refer to those who have been work</w:t>
            </w:r>
            <w:r w:rsidR="00375308">
              <w:t>ing</w:t>
            </w:r>
            <w:r>
              <w:t xml:space="preserve"> for 11 years or more</w:t>
            </w:r>
          </w:p>
        </w:tc>
      </w:tr>
      <w:tr w:rsidR="004122CC" w:rsidTr="00C52470">
        <w:tc>
          <w:tcPr>
            <w:tcW w:w="1980" w:type="dxa"/>
          </w:tcPr>
          <w:p w:rsidR="004122CC" w:rsidRDefault="004122CC" w:rsidP="00C52470">
            <w:pPr>
              <w:ind w:firstLine="0"/>
            </w:pPr>
            <w:proofErr w:type="spellStart"/>
            <w:r>
              <w:t>Cook</w:t>
            </w:r>
            <w:r w:rsidR="00D13C0F">
              <w:t>@</w:t>
            </w:r>
            <w:r>
              <w:t>home</w:t>
            </w:r>
            <w:proofErr w:type="spellEnd"/>
          </w:p>
        </w:tc>
        <w:tc>
          <w:tcPr>
            <w:tcW w:w="4910" w:type="dxa"/>
          </w:tcPr>
          <w:p w:rsidR="004122CC" w:rsidRDefault="004122CC" w:rsidP="00375308">
            <w:pPr>
              <w:ind w:firstLine="0"/>
            </w:pPr>
            <w:r>
              <w:t>Frequency of responder</w:t>
            </w:r>
            <w:r w:rsidR="002E383B">
              <w:t>s’</w:t>
            </w:r>
            <w:r>
              <w:t xml:space="preserve"> cooking at home</w:t>
            </w:r>
            <w:r w:rsidR="002E383B">
              <w:t xml:space="preserve">, 1 refer to those who </w:t>
            </w:r>
            <w:r w:rsidR="00375308">
              <w:t>almost always cook at home</w:t>
            </w:r>
            <w:r w:rsidR="002E383B">
              <w:t>, 2 refer to those who sometimes</w:t>
            </w:r>
            <w:r w:rsidR="00375308">
              <w:t xml:space="preserve"> </w:t>
            </w:r>
            <w:r w:rsidR="00375308">
              <w:t>cook</w:t>
            </w:r>
            <w:r w:rsidR="00375308">
              <w:t xml:space="preserve"> at home</w:t>
            </w:r>
            <w:r w:rsidR="002E383B">
              <w:t>, 3 refer to those who rarely cook at home</w:t>
            </w:r>
          </w:p>
        </w:tc>
      </w:tr>
      <w:tr w:rsidR="00324F78" w:rsidTr="00C52470">
        <w:tc>
          <w:tcPr>
            <w:tcW w:w="1980" w:type="dxa"/>
          </w:tcPr>
          <w:p w:rsidR="00324F78" w:rsidRDefault="00324F78" w:rsidP="00C52470">
            <w:pPr>
              <w:ind w:firstLine="0"/>
            </w:pPr>
            <w:r>
              <w:t>TWC</w:t>
            </w:r>
          </w:p>
        </w:tc>
        <w:tc>
          <w:tcPr>
            <w:tcW w:w="4910" w:type="dxa"/>
          </w:tcPr>
          <w:p w:rsidR="00324F78" w:rsidRDefault="00324F78" w:rsidP="001D2F0F">
            <w:pPr>
              <w:ind w:firstLine="0"/>
            </w:pPr>
            <w:r>
              <w:t xml:space="preserve">Frequency of Tears while cooking (TWC) </w:t>
            </w:r>
            <w:r w:rsidR="001D2F0F">
              <w:t>experienced by</w:t>
            </w:r>
            <w:r>
              <w:t xml:space="preserve"> </w:t>
            </w:r>
            <w:r w:rsidR="003A7088">
              <w:t>responders</w:t>
            </w:r>
            <w:r>
              <w:t>,</w:t>
            </w:r>
            <w:r w:rsidR="003A7088">
              <w:t xml:space="preserve"> 1 refer to those who almost always have TWC, 2 are those who sometimes have TWC, 3 are those who rarely have TWC</w:t>
            </w:r>
          </w:p>
        </w:tc>
      </w:tr>
      <w:tr w:rsidR="003A7088" w:rsidTr="00C52470">
        <w:tc>
          <w:tcPr>
            <w:tcW w:w="1980" w:type="dxa"/>
          </w:tcPr>
          <w:p w:rsidR="003A7088" w:rsidRDefault="003A7088" w:rsidP="00C52470">
            <w:pPr>
              <w:ind w:firstLine="0"/>
            </w:pPr>
            <w:proofErr w:type="spellStart"/>
            <w:r>
              <w:t>Cookingfuel</w:t>
            </w:r>
            <w:proofErr w:type="spellEnd"/>
          </w:p>
        </w:tc>
        <w:tc>
          <w:tcPr>
            <w:tcW w:w="4910" w:type="dxa"/>
          </w:tcPr>
          <w:p w:rsidR="003A7088" w:rsidRDefault="003A7088" w:rsidP="001D2F0F">
            <w:pPr>
              <w:ind w:firstLine="0"/>
            </w:pPr>
            <w:r>
              <w:t xml:space="preserve">Types of cooking fuel </w:t>
            </w:r>
            <w:r w:rsidR="001D2F0F">
              <w:t xml:space="preserve">the </w:t>
            </w:r>
            <w:r>
              <w:t>responders</w:t>
            </w:r>
            <w:r w:rsidR="001D2F0F">
              <w:t xml:space="preserve"> usually</w:t>
            </w:r>
            <w:r>
              <w:t xml:space="preserve"> used for cooking, 1 </w:t>
            </w:r>
            <w:r w:rsidR="001D2F0F">
              <w:t>refer to those who use</w:t>
            </w:r>
            <w:r>
              <w:t xml:space="preserve"> LPG/electricity, 2 </w:t>
            </w:r>
            <w:r w:rsidR="001D2F0F">
              <w:t>refer to those who use</w:t>
            </w:r>
            <w:r>
              <w:t xml:space="preserve"> biomass (charcoal)</w:t>
            </w:r>
          </w:p>
        </w:tc>
      </w:tr>
      <w:tr w:rsidR="00D13C0F" w:rsidTr="00C52470">
        <w:tc>
          <w:tcPr>
            <w:tcW w:w="1980" w:type="dxa"/>
          </w:tcPr>
          <w:p w:rsidR="00D13C0F" w:rsidRDefault="008474A3" w:rsidP="00C52470">
            <w:pPr>
              <w:ind w:firstLine="0"/>
            </w:pPr>
            <w:proofErr w:type="spellStart"/>
            <w:r>
              <w:t>UsingHood</w:t>
            </w:r>
            <w:proofErr w:type="spellEnd"/>
          </w:p>
        </w:tc>
        <w:tc>
          <w:tcPr>
            <w:tcW w:w="4910" w:type="dxa"/>
          </w:tcPr>
          <w:p w:rsidR="00D13C0F" w:rsidRDefault="008474A3" w:rsidP="008474A3">
            <w:pPr>
              <w:ind w:firstLine="0"/>
            </w:pPr>
            <w:r>
              <w:t xml:space="preserve">Using of </w:t>
            </w:r>
            <w:r w:rsidR="00527138">
              <w:t xml:space="preserve">the </w:t>
            </w:r>
            <w:r>
              <w:t>ventilation hood by responders, 1 refer to those who use</w:t>
            </w:r>
            <w:r w:rsidR="00527138">
              <w:t xml:space="preserve"> ventilation hood</w:t>
            </w:r>
            <w:r>
              <w:t>, 2 refer to those who do not use</w:t>
            </w:r>
            <w:r w:rsidR="00527138">
              <w:t xml:space="preserve"> ventilation hood</w:t>
            </w:r>
          </w:p>
        </w:tc>
      </w:tr>
      <w:tr w:rsidR="008474A3" w:rsidTr="00C52470">
        <w:tc>
          <w:tcPr>
            <w:tcW w:w="1980" w:type="dxa"/>
          </w:tcPr>
          <w:p w:rsidR="008474A3" w:rsidRDefault="00FF7967" w:rsidP="00C52470">
            <w:pPr>
              <w:ind w:firstLine="0"/>
            </w:pPr>
            <w:proofErr w:type="spellStart"/>
            <w:r>
              <w:lastRenderedPageBreak/>
              <w:t>Kitchen</w:t>
            </w:r>
            <w:r w:rsidR="00512B48">
              <w:t>Type</w:t>
            </w:r>
            <w:proofErr w:type="spellEnd"/>
          </w:p>
        </w:tc>
        <w:tc>
          <w:tcPr>
            <w:tcW w:w="4910" w:type="dxa"/>
          </w:tcPr>
          <w:p w:rsidR="008474A3" w:rsidRDefault="00BE4F8B" w:rsidP="00527138">
            <w:pPr>
              <w:ind w:firstLine="0"/>
            </w:pPr>
            <w:r>
              <w:t>R</w:t>
            </w:r>
            <w:r>
              <w:t>esponder working</w:t>
            </w:r>
            <w:r>
              <w:t xml:space="preserve"> in different t</w:t>
            </w:r>
            <w:r w:rsidR="00FF7967">
              <w:t>ype</w:t>
            </w:r>
            <w:r>
              <w:t>s</w:t>
            </w:r>
            <w:r w:rsidR="00FF7967">
              <w:t xml:space="preserve"> of kitchen</w:t>
            </w:r>
            <w:r>
              <w:t>s</w:t>
            </w:r>
            <w:r w:rsidR="00FF7967">
              <w:t xml:space="preserve">, 1 </w:t>
            </w:r>
            <w:r>
              <w:t>refer to those who</w:t>
            </w:r>
            <w:r w:rsidR="00FF7967">
              <w:t xml:space="preserve"> work in </w:t>
            </w:r>
            <w:r w:rsidR="00527138">
              <w:t>an</w:t>
            </w:r>
            <w:r w:rsidR="00FF7967">
              <w:t xml:space="preserve"> </w:t>
            </w:r>
            <w:r w:rsidR="00527138">
              <w:t>outdoor</w:t>
            </w:r>
            <w:r w:rsidR="00527138">
              <w:t xml:space="preserve"> </w:t>
            </w:r>
            <w:r w:rsidR="00FF7967">
              <w:t xml:space="preserve">kitchen, 2 </w:t>
            </w:r>
            <w:r w:rsidR="00527138">
              <w:t>refer to those</w:t>
            </w:r>
            <w:r w:rsidR="00FF7967">
              <w:t xml:space="preserve"> who work in </w:t>
            </w:r>
            <w:r w:rsidR="00527138">
              <w:t>an</w:t>
            </w:r>
            <w:r w:rsidR="00FF7967">
              <w:t xml:space="preserve"> </w:t>
            </w:r>
            <w:r w:rsidR="00527138">
              <w:t>enclosed</w:t>
            </w:r>
            <w:r w:rsidR="00527138">
              <w:t xml:space="preserve"> </w:t>
            </w:r>
            <w:r w:rsidR="00FF7967">
              <w:t xml:space="preserve">kitchen </w:t>
            </w:r>
          </w:p>
        </w:tc>
      </w:tr>
      <w:tr w:rsidR="00512B48" w:rsidTr="00C52470">
        <w:tc>
          <w:tcPr>
            <w:tcW w:w="1980" w:type="dxa"/>
          </w:tcPr>
          <w:p w:rsidR="00512B48" w:rsidRDefault="00512B48" w:rsidP="00C52470">
            <w:pPr>
              <w:ind w:firstLine="0"/>
            </w:pPr>
            <w:proofErr w:type="spellStart"/>
            <w:r>
              <w:t>KitchenArea</w:t>
            </w:r>
            <w:proofErr w:type="spellEnd"/>
          </w:p>
        </w:tc>
        <w:tc>
          <w:tcPr>
            <w:tcW w:w="4910" w:type="dxa"/>
          </w:tcPr>
          <w:p w:rsidR="00512B48" w:rsidRDefault="00512B48" w:rsidP="00FF7967">
            <w:pPr>
              <w:ind w:firstLine="0"/>
            </w:pPr>
            <w:r>
              <w:t>Area of the kitchen in square meters</w:t>
            </w:r>
          </w:p>
        </w:tc>
      </w:tr>
      <w:tr w:rsidR="00512B48" w:rsidTr="00C52470">
        <w:tc>
          <w:tcPr>
            <w:tcW w:w="1980" w:type="dxa"/>
          </w:tcPr>
          <w:p w:rsidR="00512B48" w:rsidRDefault="00512B48" w:rsidP="00C52470">
            <w:pPr>
              <w:ind w:firstLine="0"/>
            </w:pPr>
            <w:proofErr w:type="spellStart"/>
            <w:r>
              <w:t>KitArea_gr</w:t>
            </w:r>
            <w:proofErr w:type="spellEnd"/>
          </w:p>
        </w:tc>
        <w:tc>
          <w:tcPr>
            <w:tcW w:w="4910" w:type="dxa"/>
          </w:tcPr>
          <w:p w:rsidR="00512B48" w:rsidRDefault="00512B48" w:rsidP="00512B48">
            <w:pPr>
              <w:ind w:firstLine="0"/>
            </w:pPr>
            <w:r>
              <w:t>Responder working in different size</w:t>
            </w:r>
            <w:r w:rsidR="00BE4F8B">
              <w:t>s</w:t>
            </w:r>
            <w:r>
              <w:t xml:space="preserve"> of </w:t>
            </w:r>
            <w:r w:rsidR="00BE4F8B">
              <w:t xml:space="preserve">a </w:t>
            </w:r>
            <w:r>
              <w:t>kitchen, 1 refer to those who work in a kitchen with 1-6 m</w:t>
            </w:r>
            <w:r w:rsidRPr="00512B48">
              <w:rPr>
                <w:vertAlign w:val="superscript"/>
              </w:rPr>
              <w:t>2</w:t>
            </w:r>
            <w:r>
              <w:t>, 2 refer to those who work in a kitchen with 7 m</w:t>
            </w:r>
            <w:r w:rsidRPr="00512B48">
              <w:rPr>
                <w:vertAlign w:val="superscript"/>
              </w:rPr>
              <w:t>2</w:t>
            </w:r>
            <w:r>
              <w:t xml:space="preserve"> or more</w:t>
            </w:r>
          </w:p>
        </w:tc>
      </w:tr>
      <w:tr w:rsidR="00512B48" w:rsidTr="00C52470">
        <w:tc>
          <w:tcPr>
            <w:tcW w:w="1980" w:type="dxa"/>
          </w:tcPr>
          <w:p w:rsidR="00512B48" w:rsidRDefault="00512B48" w:rsidP="00C52470">
            <w:pPr>
              <w:ind w:firstLine="0"/>
            </w:pPr>
            <w:proofErr w:type="spellStart"/>
            <w:r>
              <w:t>CookOil</w:t>
            </w:r>
            <w:proofErr w:type="spellEnd"/>
          </w:p>
        </w:tc>
        <w:tc>
          <w:tcPr>
            <w:tcW w:w="4910" w:type="dxa"/>
          </w:tcPr>
          <w:p w:rsidR="00512B48" w:rsidRDefault="00BE4F8B" w:rsidP="00BE4F8B">
            <w:pPr>
              <w:ind w:firstLine="0"/>
            </w:pPr>
            <w:r>
              <w:t>R</w:t>
            </w:r>
            <w:r w:rsidR="00512B48">
              <w:t>esponder</w:t>
            </w:r>
            <w:r>
              <w:t xml:space="preserve">’s choice </w:t>
            </w:r>
            <w:r w:rsidR="00512B48">
              <w:t>for cooking</w:t>
            </w:r>
            <w:r>
              <w:t xml:space="preserve"> oil</w:t>
            </w:r>
            <w:r w:rsidR="00512B48">
              <w:t>, 1 refer to th</w:t>
            </w:r>
            <w:r>
              <w:t>ose</w:t>
            </w:r>
            <w:r w:rsidR="00512B48">
              <w:t xml:space="preserve"> who use soybean, 2 are those who use palm oil, 3 are those who use lard</w:t>
            </w:r>
          </w:p>
        </w:tc>
      </w:tr>
      <w:tr w:rsidR="00512B48" w:rsidTr="00C52470">
        <w:tc>
          <w:tcPr>
            <w:tcW w:w="1980" w:type="dxa"/>
          </w:tcPr>
          <w:p w:rsidR="00512B48" w:rsidRDefault="00123C3B" w:rsidP="00C52470">
            <w:pPr>
              <w:ind w:firstLine="0"/>
            </w:pPr>
            <w:r>
              <w:t>Cough</w:t>
            </w:r>
          </w:p>
        </w:tc>
        <w:tc>
          <w:tcPr>
            <w:tcW w:w="4910" w:type="dxa"/>
          </w:tcPr>
          <w:p w:rsidR="00512B48" w:rsidRDefault="00123C3B" w:rsidP="00FF7967">
            <w:pPr>
              <w:ind w:firstLine="0"/>
            </w:pPr>
            <w:r>
              <w:t xml:space="preserve">Responder who has </w:t>
            </w:r>
            <w:r w:rsidR="00BE4F8B">
              <w:t xml:space="preserve">a </w:t>
            </w:r>
            <w:r>
              <w:t xml:space="preserve">chronic cough, 0 refer to those who do not have </w:t>
            </w:r>
            <w:r w:rsidR="00BE4F8B">
              <w:t xml:space="preserve">a </w:t>
            </w:r>
            <w:r>
              <w:t xml:space="preserve">chronic cough, 1 refer to those who have </w:t>
            </w:r>
            <w:r w:rsidR="00BE4F8B">
              <w:t xml:space="preserve">a </w:t>
            </w:r>
            <w:r>
              <w:t>chronic cough</w:t>
            </w:r>
          </w:p>
        </w:tc>
      </w:tr>
      <w:tr w:rsidR="00512B48" w:rsidTr="00C52470">
        <w:tc>
          <w:tcPr>
            <w:tcW w:w="1980" w:type="dxa"/>
          </w:tcPr>
          <w:p w:rsidR="00512B48" w:rsidRDefault="00123C3B" w:rsidP="00C52470">
            <w:pPr>
              <w:ind w:firstLine="0"/>
            </w:pPr>
            <w:r>
              <w:t>Phlegm</w:t>
            </w:r>
          </w:p>
        </w:tc>
        <w:tc>
          <w:tcPr>
            <w:tcW w:w="4910" w:type="dxa"/>
          </w:tcPr>
          <w:p w:rsidR="00512B48" w:rsidRDefault="00123C3B" w:rsidP="00123C3B">
            <w:pPr>
              <w:ind w:firstLine="0"/>
            </w:pPr>
            <w:r>
              <w:t xml:space="preserve">Responder who has </w:t>
            </w:r>
            <w:r w:rsidR="00BE4F8B">
              <w:t xml:space="preserve">a </w:t>
            </w:r>
            <w:r>
              <w:t xml:space="preserve">chronic </w:t>
            </w:r>
            <w:r>
              <w:t>phlegm</w:t>
            </w:r>
            <w:r>
              <w:t xml:space="preserve">, 0 refer to those who do not have </w:t>
            </w:r>
            <w:r w:rsidR="00BE4F8B">
              <w:t xml:space="preserve">a </w:t>
            </w:r>
            <w:r>
              <w:t xml:space="preserve">chronic phlegm, 1 refer to those who have </w:t>
            </w:r>
            <w:r w:rsidR="00BE4F8B">
              <w:t xml:space="preserve">a </w:t>
            </w:r>
            <w:r>
              <w:t>chronic phlegm</w:t>
            </w:r>
          </w:p>
        </w:tc>
      </w:tr>
      <w:tr w:rsidR="002B79E8" w:rsidTr="00C52470">
        <w:tc>
          <w:tcPr>
            <w:tcW w:w="1980" w:type="dxa"/>
          </w:tcPr>
          <w:p w:rsidR="002B79E8" w:rsidRDefault="002B79E8" w:rsidP="002B79E8">
            <w:pPr>
              <w:ind w:firstLine="0"/>
            </w:pPr>
            <w:proofErr w:type="spellStart"/>
            <w:r>
              <w:t>Wheez</w:t>
            </w:r>
            <w:proofErr w:type="spellEnd"/>
          </w:p>
        </w:tc>
        <w:tc>
          <w:tcPr>
            <w:tcW w:w="4910" w:type="dxa"/>
          </w:tcPr>
          <w:p w:rsidR="002B79E8" w:rsidRDefault="002B79E8" w:rsidP="002B79E8">
            <w:pPr>
              <w:ind w:firstLine="0"/>
            </w:pPr>
            <w:r w:rsidRPr="00CA5EAF">
              <w:t xml:space="preserve">Responder who has </w:t>
            </w:r>
            <w:r>
              <w:t>wheezing</w:t>
            </w:r>
            <w:r w:rsidRPr="00CA5EAF">
              <w:t xml:space="preserve">, 0 refer to those who do not have </w:t>
            </w:r>
            <w:r>
              <w:t>wheezing</w:t>
            </w:r>
            <w:r w:rsidRPr="00CA5EAF">
              <w:t xml:space="preserve">, 1 refer to those who have </w:t>
            </w:r>
            <w:r>
              <w:t>wheezing</w:t>
            </w:r>
          </w:p>
        </w:tc>
      </w:tr>
      <w:tr w:rsidR="002B79E8" w:rsidTr="00C52470">
        <w:tc>
          <w:tcPr>
            <w:tcW w:w="1980" w:type="dxa"/>
          </w:tcPr>
          <w:p w:rsidR="002B79E8" w:rsidRDefault="002B79E8" w:rsidP="002B79E8">
            <w:pPr>
              <w:ind w:firstLine="0"/>
            </w:pPr>
            <w:r>
              <w:t>Dyspnea</w:t>
            </w:r>
          </w:p>
        </w:tc>
        <w:tc>
          <w:tcPr>
            <w:tcW w:w="4910" w:type="dxa"/>
          </w:tcPr>
          <w:p w:rsidR="002B79E8" w:rsidRDefault="002B79E8" w:rsidP="002B79E8">
            <w:pPr>
              <w:ind w:firstLine="0"/>
            </w:pPr>
            <w:r w:rsidRPr="00CA5EAF">
              <w:t xml:space="preserve">Responder who has </w:t>
            </w:r>
            <w:r w:rsidR="00BE4F8B">
              <w:t xml:space="preserve">a </w:t>
            </w:r>
            <w:r>
              <w:t>moderate dyspnea</w:t>
            </w:r>
            <w:r w:rsidRPr="00CA5EAF">
              <w:t xml:space="preserve">, 0 refer to those who do not have </w:t>
            </w:r>
            <w:r w:rsidR="00BE4F8B">
              <w:t xml:space="preserve">a </w:t>
            </w:r>
            <w:r>
              <w:t>moderate dyspnea</w:t>
            </w:r>
            <w:r w:rsidRPr="00CA5EAF">
              <w:t xml:space="preserve">, 1 refer to those who have </w:t>
            </w:r>
            <w:r w:rsidR="00BE4F8B">
              <w:t xml:space="preserve">a </w:t>
            </w:r>
            <w:r>
              <w:t>moderate dyspnea</w:t>
            </w:r>
          </w:p>
        </w:tc>
      </w:tr>
      <w:tr w:rsidR="002B79E8" w:rsidTr="00C52470">
        <w:tc>
          <w:tcPr>
            <w:tcW w:w="1980" w:type="dxa"/>
          </w:tcPr>
          <w:p w:rsidR="002B79E8" w:rsidRDefault="002B79E8" w:rsidP="002B79E8">
            <w:pPr>
              <w:ind w:firstLine="0"/>
            </w:pPr>
            <w:proofErr w:type="spellStart"/>
            <w:r>
              <w:t>SevereDysp</w:t>
            </w:r>
            <w:proofErr w:type="spellEnd"/>
          </w:p>
        </w:tc>
        <w:tc>
          <w:tcPr>
            <w:tcW w:w="4910" w:type="dxa"/>
          </w:tcPr>
          <w:p w:rsidR="002B79E8" w:rsidRDefault="002B79E8" w:rsidP="002B79E8">
            <w:pPr>
              <w:ind w:firstLine="0"/>
            </w:pPr>
            <w:r w:rsidRPr="00CA5EAF">
              <w:t xml:space="preserve">Responder who has </w:t>
            </w:r>
            <w:r w:rsidR="00BE4F8B">
              <w:t xml:space="preserve">a </w:t>
            </w:r>
            <w:r>
              <w:t>severe dyspnea</w:t>
            </w:r>
            <w:r w:rsidRPr="00CA5EAF">
              <w:t xml:space="preserve">, 0 refer to those who do not have </w:t>
            </w:r>
            <w:r w:rsidR="00BE4F8B">
              <w:t xml:space="preserve">a </w:t>
            </w:r>
            <w:r>
              <w:t>severe dyspnea</w:t>
            </w:r>
            <w:r w:rsidRPr="00CA5EAF">
              <w:t xml:space="preserve">, 1 refer to those who have </w:t>
            </w:r>
            <w:r w:rsidR="00BE4F8B">
              <w:t xml:space="preserve">a </w:t>
            </w:r>
            <w:r>
              <w:t>severe dyspnea</w:t>
            </w:r>
          </w:p>
        </w:tc>
      </w:tr>
      <w:tr w:rsidR="00512B48" w:rsidTr="00C52470">
        <w:tc>
          <w:tcPr>
            <w:tcW w:w="1980" w:type="dxa"/>
          </w:tcPr>
          <w:p w:rsidR="00512B48" w:rsidRDefault="002B79E8" w:rsidP="00C52470">
            <w:pPr>
              <w:ind w:firstLine="0"/>
            </w:pPr>
            <w:r>
              <w:t>PEFR1</w:t>
            </w:r>
          </w:p>
        </w:tc>
        <w:tc>
          <w:tcPr>
            <w:tcW w:w="4910" w:type="dxa"/>
          </w:tcPr>
          <w:p w:rsidR="00512B48" w:rsidRDefault="002B79E8" w:rsidP="00FF7967">
            <w:pPr>
              <w:ind w:firstLine="0"/>
            </w:pPr>
            <w:r>
              <w:t>Peak expiratory flow rate (PEFR) value measuring the first time</w:t>
            </w:r>
          </w:p>
        </w:tc>
      </w:tr>
      <w:tr w:rsidR="002B79E8" w:rsidTr="00C52470">
        <w:tc>
          <w:tcPr>
            <w:tcW w:w="1980" w:type="dxa"/>
          </w:tcPr>
          <w:p w:rsidR="002B79E8" w:rsidRDefault="002B79E8" w:rsidP="002B79E8">
            <w:pPr>
              <w:ind w:firstLine="0"/>
            </w:pPr>
            <w:r>
              <w:t>PEFR2</w:t>
            </w:r>
          </w:p>
        </w:tc>
        <w:tc>
          <w:tcPr>
            <w:tcW w:w="4910" w:type="dxa"/>
          </w:tcPr>
          <w:p w:rsidR="002B79E8" w:rsidRDefault="002B79E8" w:rsidP="002B79E8">
            <w:pPr>
              <w:ind w:firstLine="0"/>
            </w:pPr>
            <w:r>
              <w:t>Peak expiratory flow rate (PEFR) value measuring the second time</w:t>
            </w:r>
          </w:p>
        </w:tc>
      </w:tr>
      <w:tr w:rsidR="002B79E8" w:rsidTr="00C52470">
        <w:tc>
          <w:tcPr>
            <w:tcW w:w="1980" w:type="dxa"/>
          </w:tcPr>
          <w:p w:rsidR="002B79E8" w:rsidRDefault="002B79E8" w:rsidP="002B79E8">
            <w:pPr>
              <w:ind w:firstLine="0"/>
            </w:pPr>
            <w:r>
              <w:lastRenderedPageBreak/>
              <w:t>PEFR3</w:t>
            </w:r>
          </w:p>
        </w:tc>
        <w:tc>
          <w:tcPr>
            <w:tcW w:w="4910" w:type="dxa"/>
          </w:tcPr>
          <w:p w:rsidR="002B79E8" w:rsidRDefault="002B79E8" w:rsidP="002B79E8">
            <w:pPr>
              <w:ind w:firstLine="0"/>
            </w:pPr>
            <w:r>
              <w:t>Peak expiratory flow rate (PEFR) value measuring the third time</w:t>
            </w:r>
          </w:p>
        </w:tc>
      </w:tr>
      <w:tr w:rsidR="002B79E8" w:rsidTr="00C52470">
        <w:tc>
          <w:tcPr>
            <w:tcW w:w="1980" w:type="dxa"/>
          </w:tcPr>
          <w:p w:rsidR="002B79E8" w:rsidRDefault="002B79E8" w:rsidP="002B79E8">
            <w:pPr>
              <w:ind w:firstLine="0"/>
            </w:pPr>
            <w:proofErr w:type="spellStart"/>
            <w:r>
              <w:t>PEFR_Avg</w:t>
            </w:r>
            <w:proofErr w:type="spellEnd"/>
          </w:p>
        </w:tc>
        <w:tc>
          <w:tcPr>
            <w:tcW w:w="4910" w:type="dxa"/>
          </w:tcPr>
          <w:p w:rsidR="002B79E8" w:rsidRDefault="002B79E8" w:rsidP="00BE4F8B">
            <w:pPr>
              <w:ind w:firstLine="0"/>
            </w:pPr>
            <w:r>
              <w:t>An average PEFR</w:t>
            </w:r>
            <w:r w:rsidR="000479AD">
              <w:t xml:space="preserve"> from </w:t>
            </w:r>
            <w:r w:rsidR="00BE4F8B">
              <w:t xml:space="preserve">the </w:t>
            </w:r>
            <w:r w:rsidR="000479AD">
              <w:t>three measurements</w:t>
            </w:r>
          </w:p>
        </w:tc>
      </w:tr>
      <w:tr w:rsidR="002B79E8" w:rsidTr="00C52470">
        <w:tc>
          <w:tcPr>
            <w:tcW w:w="1980" w:type="dxa"/>
          </w:tcPr>
          <w:p w:rsidR="002B79E8" w:rsidRDefault="000479AD" w:rsidP="002B79E8">
            <w:pPr>
              <w:ind w:firstLine="0"/>
            </w:pPr>
            <w:proofErr w:type="spellStart"/>
            <w:r>
              <w:t>PEFRMax</w:t>
            </w:r>
            <w:proofErr w:type="spellEnd"/>
          </w:p>
        </w:tc>
        <w:tc>
          <w:tcPr>
            <w:tcW w:w="4910" w:type="dxa"/>
          </w:tcPr>
          <w:p w:rsidR="002B79E8" w:rsidRDefault="000479AD" w:rsidP="000479AD">
            <w:pPr>
              <w:ind w:firstLine="0"/>
            </w:pPr>
            <w:r>
              <w:t>The highest PEFR of the three measurements</w:t>
            </w:r>
          </w:p>
        </w:tc>
      </w:tr>
      <w:tr w:rsidR="002B79E8" w:rsidTr="00C52470">
        <w:tc>
          <w:tcPr>
            <w:tcW w:w="1980" w:type="dxa"/>
          </w:tcPr>
          <w:p w:rsidR="002B79E8" w:rsidRDefault="000479AD" w:rsidP="002B79E8">
            <w:pPr>
              <w:ind w:firstLine="0"/>
            </w:pPr>
            <w:proofErr w:type="spellStart"/>
            <w:r>
              <w:t>PEFRStd</w:t>
            </w:r>
            <w:proofErr w:type="spellEnd"/>
          </w:p>
        </w:tc>
        <w:tc>
          <w:tcPr>
            <w:tcW w:w="4910" w:type="dxa"/>
          </w:tcPr>
          <w:p w:rsidR="002B79E8" w:rsidRDefault="000479AD" w:rsidP="002B79E8">
            <w:pPr>
              <w:ind w:firstLine="0"/>
            </w:pPr>
            <w:r>
              <w:t>Standard PEFR for Thai people</w:t>
            </w:r>
          </w:p>
        </w:tc>
      </w:tr>
      <w:tr w:rsidR="002B79E8" w:rsidTr="00C52470">
        <w:tc>
          <w:tcPr>
            <w:tcW w:w="1980" w:type="dxa"/>
          </w:tcPr>
          <w:p w:rsidR="002B79E8" w:rsidRDefault="000479AD" w:rsidP="002B79E8">
            <w:pPr>
              <w:ind w:firstLine="0"/>
            </w:pPr>
            <w:proofErr w:type="spellStart"/>
            <w:r>
              <w:t>PEFR_percentage</w:t>
            </w:r>
            <w:proofErr w:type="spellEnd"/>
          </w:p>
        </w:tc>
        <w:tc>
          <w:tcPr>
            <w:tcW w:w="4910" w:type="dxa"/>
          </w:tcPr>
          <w:p w:rsidR="002B79E8" w:rsidRDefault="000479AD" w:rsidP="002B79E8">
            <w:pPr>
              <w:ind w:firstLine="0"/>
            </w:pPr>
            <w:r>
              <w:t xml:space="preserve">Percentage of PEFR, </w:t>
            </w:r>
            <w:proofErr w:type="spellStart"/>
            <w:r>
              <w:t>PEFRMax</w:t>
            </w:r>
            <w:proofErr w:type="spellEnd"/>
            <w:r>
              <w:t>/</w:t>
            </w:r>
            <w:proofErr w:type="spellStart"/>
            <w:r>
              <w:t>PEFRStd</w:t>
            </w:r>
            <w:proofErr w:type="spellEnd"/>
            <w:r w:rsidR="00BE4F8B">
              <w:t>*100</w:t>
            </w:r>
          </w:p>
        </w:tc>
      </w:tr>
      <w:tr w:rsidR="002B79E8" w:rsidTr="00C52470">
        <w:tc>
          <w:tcPr>
            <w:tcW w:w="1980" w:type="dxa"/>
          </w:tcPr>
          <w:p w:rsidR="002B79E8" w:rsidRDefault="000479AD" w:rsidP="002B79E8">
            <w:pPr>
              <w:ind w:firstLine="0"/>
            </w:pPr>
            <w:proofErr w:type="spellStart"/>
            <w:r>
              <w:t>PEFRLow</w:t>
            </w:r>
            <w:proofErr w:type="spellEnd"/>
          </w:p>
        </w:tc>
        <w:tc>
          <w:tcPr>
            <w:tcW w:w="4910" w:type="dxa"/>
          </w:tcPr>
          <w:p w:rsidR="002B79E8" w:rsidRDefault="000479AD" w:rsidP="00BE4F8B">
            <w:pPr>
              <w:ind w:firstLine="0"/>
            </w:pPr>
            <w:r>
              <w:t>Responder with low PEFR</w:t>
            </w:r>
            <w:r w:rsidR="00BE4F8B">
              <w:t xml:space="preserve"> </w:t>
            </w:r>
            <w:r w:rsidR="00BE4F8B">
              <w:t>(less than 80%)</w:t>
            </w:r>
            <w:r>
              <w:t xml:space="preserve">, 0 refer to those </w:t>
            </w:r>
            <w:r w:rsidR="00BE4F8B">
              <w:t>who do not have</w:t>
            </w:r>
            <w:r>
              <w:t xml:space="preserve"> low PEFR, 1 refer to those </w:t>
            </w:r>
            <w:r w:rsidR="00BE4F8B">
              <w:t>who have</w:t>
            </w:r>
            <w:r>
              <w:t xml:space="preserve"> low PEFR </w:t>
            </w:r>
          </w:p>
        </w:tc>
      </w:tr>
      <w:tr w:rsidR="002B79E8" w:rsidRPr="00D5278C" w:rsidTr="00B71411">
        <w:tc>
          <w:tcPr>
            <w:tcW w:w="6890" w:type="dxa"/>
            <w:gridSpan w:val="2"/>
          </w:tcPr>
          <w:p w:rsidR="002B79E8" w:rsidRPr="00D5278C" w:rsidRDefault="002B79E8" w:rsidP="002B79E8">
            <w:pPr>
              <w:ind w:firstLine="0"/>
            </w:pPr>
            <w:r w:rsidRPr="00D5278C">
              <w:t>Note: Each column represents one individual</w:t>
            </w:r>
          </w:p>
        </w:tc>
      </w:tr>
    </w:tbl>
    <w:p w:rsidR="00916090" w:rsidRDefault="00916090"/>
    <w:sectPr w:rsidR="00916090" w:rsidSect="009A0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Sarabun New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90"/>
    <w:rsid w:val="00012E70"/>
    <w:rsid w:val="00031621"/>
    <w:rsid w:val="00040D85"/>
    <w:rsid w:val="000479AD"/>
    <w:rsid w:val="00063BCE"/>
    <w:rsid w:val="000F128A"/>
    <w:rsid w:val="00123C3B"/>
    <w:rsid w:val="00193174"/>
    <w:rsid w:val="001A5188"/>
    <w:rsid w:val="001D2F0F"/>
    <w:rsid w:val="001E6B9F"/>
    <w:rsid w:val="00223851"/>
    <w:rsid w:val="002369D3"/>
    <w:rsid w:val="00246159"/>
    <w:rsid w:val="0026658E"/>
    <w:rsid w:val="00287A61"/>
    <w:rsid w:val="002A027D"/>
    <w:rsid w:val="002B79E8"/>
    <w:rsid w:val="002D5109"/>
    <w:rsid w:val="002E383B"/>
    <w:rsid w:val="00317533"/>
    <w:rsid w:val="00324F78"/>
    <w:rsid w:val="0032515B"/>
    <w:rsid w:val="00332CB6"/>
    <w:rsid w:val="0033419A"/>
    <w:rsid w:val="00372D48"/>
    <w:rsid w:val="00375308"/>
    <w:rsid w:val="00384363"/>
    <w:rsid w:val="003A7088"/>
    <w:rsid w:val="004122CC"/>
    <w:rsid w:val="00423AEC"/>
    <w:rsid w:val="004255E1"/>
    <w:rsid w:val="0043462A"/>
    <w:rsid w:val="004872AB"/>
    <w:rsid w:val="004A1BAE"/>
    <w:rsid w:val="004C0DEF"/>
    <w:rsid w:val="00512B48"/>
    <w:rsid w:val="00527138"/>
    <w:rsid w:val="005F6A1C"/>
    <w:rsid w:val="00601E7F"/>
    <w:rsid w:val="006D71A1"/>
    <w:rsid w:val="006F65C6"/>
    <w:rsid w:val="0076015D"/>
    <w:rsid w:val="007634ED"/>
    <w:rsid w:val="008474A3"/>
    <w:rsid w:val="008F7CC4"/>
    <w:rsid w:val="00916090"/>
    <w:rsid w:val="00950BE6"/>
    <w:rsid w:val="0098432D"/>
    <w:rsid w:val="009A0290"/>
    <w:rsid w:val="009D4536"/>
    <w:rsid w:val="00A41972"/>
    <w:rsid w:val="00A437DF"/>
    <w:rsid w:val="00AA7834"/>
    <w:rsid w:val="00B06773"/>
    <w:rsid w:val="00B1227C"/>
    <w:rsid w:val="00B228B0"/>
    <w:rsid w:val="00B96DEB"/>
    <w:rsid w:val="00BA0F61"/>
    <w:rsid w:val="00BB3319"/>
    <w:rsid w:val="00BD59BF"/>
    <w:rsid w:val="00BE4F8B"/>
    <w:rsid w:val="00C012E1"/>
    <w:rsid w:val="00C10D4F"/>
    <w:rsid w:val="00C657D6"/>
    <w:rsid w:val="00C9495C"/>
    <w:rsid w:val="00CA4529"/>
    <w:rsid w:val="00CB6DA6"/>
    <w:rsid w:val="00D13C0F"/>
    <w:rsid w:val="00D5278C"/>
    <w:rsid w:val="00DF4BE6"/>
    <w:rsid w:val="00E317D9"/>
    <w:rsid w:val="00E40578"/>
    <w:rsid w:val="00E7034C"/>
    <w:rsid w:val="00E70CC0"/>
    <w:rsid w:val="00F239A0"/>
    <w:rsid w:val="00F257B1"/>
    <w:rsid w:val="00F44645"/>
    <w:rsid w:val="00F614F1"/>
    <w:rsid w:val="00F97701"/>
    <w:rsid w:val="00FE0997"/>
    <w:rsid w:val="00FE39D8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5B225-5A43-4093-A59D-F9D40E61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109"/>
    <w:pPr>
      <w:ind w:firstLine="720"/>
    </w:pPr>
    <w:rPr>
      <w:rFonts w:ascii="Angsana New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109"/>
    <w:pPr>
      <w:keepNext/>
      <w:keepLines/>
      <w:spacing w:before="240" w:after="240"/>
      <w:ind w:firstLine="0"/>
      <w:outlineLvl w:val="0"/>
    </w:pPr>
    <w:rPr>
      <w:rFonts w:asciiTheme="majorBidi" w:eastAsiaTheme="majorEastAsia" w:hAnsiTheme="majorBidi" w:cstheme="majorBidi"/>
      <w:b/>
      <w:bCs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109"/>
    <w:pPr>
      <w:keepNext/>
      <w:keepLines/>
      <w:spacing w:before="40" w:after="0"/>
      <w:ind w:firstLine="0"/>
      <w:outlineLvl w:val="1"/>
    </w:pPr>
    <w:rPr>
      <w:rFonts w:asciiTheme="majorBidi" w:eastAsiaTheme="majorEastAsia" w:hAnsiTheme="majorBidi" w:cstheme="majorBidi"/>
      <w:b/>
      <w:bCs/>
      <w:sz w:val="36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109"/>
    <w:pPr>
      <w:ind w:firstLine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3843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5109"/>
    <w:rPr>
      <w:rFonts w:ascii="Angsan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109"/>
    <w:rPr>
      <w:rFonts w:asciiTheme="majorBidi" w:eastAsiaTheme="majorEastAsia" w:hAnsiTheme="majorBidi" w:cstheme="majorBidi"/>
      <w:b/>
      <w:bCs/>
      <w:sz w:val="36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2D5109"/>
    <w:rPr>
      <w:rFonts w:asciiTheme="majorBidi" w:eastAsiaTheme="majorEastAsia" w:hAnsiTheme="majorBidi" w:cstheme="majorBidi"/>
      <w:b/>
      <w:bCs/>
      <w:sz w:val="40"/>
      <w:szCs w:val="48"/>
    </w:rPr>
  </w:style>
  <w:style w:type="table" w:styleId="TableGrid">
    <w:name w:val="Table Grid"/>
    <w:basedOn w:val="TableNormal"/>
    <w:uiPriority w:val="39"/>
    <w:rsid w:val="00916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B33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BB3319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chudchawal juntarawijit</dc:creator>
  <cp:lastModifiedBy>chudchawal juntarawijit</cp:lastModifiedBy>
  <cp:revision>13</cp:revision>
  <cp:lastPrinted>2019-06-18T05:46:00Z</cp:lastPrinted>
  <dcterms:created xsi:type="dcterms:W3CDTF">2019-07-22T09:04:00Z</dcterms:created>
  <dcterms:modified xsi:type="dcterms:W3CDTF">2019-07-22T22:44:00Z</dcterms:modified>
</cp:coreProperties>
</file>