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03" w:rsidRDefault="003F7303" w:rsidP="003F7303">
      <w:pPr>
        <w:pStyle w:val="Heading1"/>
        <w:spacing w:line="360" w:lineRule="auto"/>
        <w:jc w:val="both"/>
      </w:pPr>
      <w:r>
        <w:t>SUPPLEMENTARY MATERIAL</w:t>
      </w:r>
    </w:p>
    <w:p w:rsidR="00917892" w:rsidRPr="003F7303" w:rsidRDefault="00917892" w:rsidP="00917892">
      <w:pPr>
        <w:pStyle w:val="Articletitle"/>
        <w:jc w:val="both"/>
      </w:pPr>
    </w:p>
    <w:p w:rsidR="00917892" w:rsidRDefault="00917892" w:rsidP="00917892">
      <w:pPr>
        <w:pStyle w:val="Articletitle"/>
        <w:jc w:val="both"/>
        <w:rPr>
          <w:i/>
        </w:rPr>
      </w:pPr>
    </w:p>
    <w:p w:rsidR="00917892" w:rsidRDefault="00917892" w:rsidP="00917892">
      <w:pPr>
        <w:pStyle w:val="Articletitle"/>
        <w:jc w:val="both"/>
      </w:pPr>
      <w:proofErr w:type="spellStart"/>
      <w:r w:rsidRPr="00B518A5">
        <w:rPr>
          <w:i/>
        </w:rPr>
        <w:t>Calophylluminophyllum</w:t>
      </w:r>
      <w:proofErr w:type="spellEnd"/>
      <w:r>
        <w:t xml:space="preserve"> and </w:t>
      </w:r>
      <w:proofErr w:type="spellStart"/>
      <w:r w:rsidRPr="00B518A5">
        <w:rPr>
          <w:i/>
        </w:rPr>
        <w:t>Calophyllumsoulattri</w:t>
      </w:r>
      <w:proofErr w:type="spellEnd"/>
      <w:r>
        <w:t xml:space="preserve"> Source of Anti-proliferative </w:t>
      </w:r>
      <w:proofErr w:type="spellStart"/>
      <w:r>
        <w:t>xanthones</w:t>
      </w:r>
      <w:proofErr w:type="spellEnd"/>
      <w:r>
        <w:t xml:space="preserve"> and their Structure-Activity Relationships</w:t>
      </w:r>
    </w:p>
    <w:p w:rsidR="00917892" w:rsidRDefault="00917892" w:rsidP="00917892">
      <w:pPr>
        <w:jc w:val="both"/>
      </w:pPr>
    </w:p>
    <w:p w:rsidR="00917892" w:rsidRPr="00917892" w:rsidRDefault="00917892" w:rsidP="00917892">
      <w:pPr>
        <w:pStyle w:val="Authornames"/>
        <w:jc w:val="both"/>
      </w:pPr>
      <w:proofErr w:type="spellStart"/>
      <w:r w:rsidRPr="000416D2">
        <w:rPr>
          <w:bCs/>
        </w:rPr>
        <w:t>Siau</w:t>
      </w:r>
      <w:proofErr w:type="spellEnd"/>
      <w:r w:rsidRPr="000416D2">
        <w:rPr>
          <w:bCs/>
        </w:rPr>
        <w:t xml:space="preserve"> </w:t>
      </w:r>
      <w:proofErr w:type="spellStart"/>
      <w:r w:rsidRPr="000416D2">
        <w:rPr>
          <w:bCs/>
        </w:rPr>
        <w:t>Hui</w:t>
      </w:r>
      <w:proofErr w:type="spellEnd"/>
      <w:r w:rsidRPr="000416D2">
        <w:rPr>
          <w:bCs/>
        </w:rPr>
        <w:t xml:space="preserve"> </w:t>
      </w:r>
      <w:proofErr w:type="spellStart"/>
      <w:r w:rsidRPr="000416D2">
        <w:rPr>
          <w:bCs/>
        </w:rPr>
        <w:t>Mah</w:t>
      </w:r>
      <w:r>
        <w:rPr>
          <w:bCs/>
          <w:vertAlign w:val="superscript"/>
        </w:rPr>
        <w:t>a</w:t>
      </w:r>
      <w:proofErr w:type="spellEnd"/>
      <w:r w:rsidRPr="000416D2">
        <w:rPr>
          <w:bCs/>
        </w:rPr>
        <w:t xml:space="preserve">, </w:t>
      </w:r>
      <w:proofErr w:type="spellStart"/>
      <w:r w:rsidRPr="000416D2">
        <w:rPr>
          <w:bCs/>
        </w:rPr>
        <w:t>Gwendoline</w:t>
      </w:r>
      <w:proofErr w:type="spellEnd"/>
      <w:r w:rsidRPr="000416D2">
        <w:rPr>
          <w:bCs/>
        </w:rPr>
        <w:t xml:space="preserve"> Cheng </w:t>
      </w:r>
      <w:proofErr w:type="spellStart"/>
      <w:r w:rsidRPr="000416D2">
        <w:rPr>
          <w:bCs/>
        </w:rPr>
        <w:t>LianEe</w:t>
      </w:r>
      <w:r>
        <w:rPr>
          <w:bCs/>
          <w:vertAlign w:val="superscript"/>
        </w:rPr>
        <w:t>b</w:t>
      </w:r>
      <w:proofErr w:type="spellEnd"/>
      <w:r w:rsidRPr="000416D2">
        <w:rPr>
          <w:bCs/>
          <w:vertAlign w:val="superscript"/>
        </w:rPr>
        <w:t>*</w:t>
      </w:r>
      <w:proofErr w:type="gramStart"/>
      <w:r>
        <w:rPr>
          <w:bCs/>
        </w:rPr>
        <w:t>,</w:t>
      </w:r>
      <w:proofErr w:type="spellStart"/>
      <w:r w:rsidRPr="000416D2">
        <w:rPr>
          <w:bCs/>
        </w:rPr>
        <w:t>Soek</w:t>
      </w:r>
      <w:proofErr w:type="spellEnd"/>
      <w:proofErr w:type="gramEnd"/>
      <w:r w:rsidRPr="000416D2">
        <w:rPr>
          <w:bCs/>
        </w:rPr>
        <w:t xml:space="preserve"> Sin </w:t>
      </w:r>
      <w:proofErr w:type="spellStart"/>
      <w:r w:rsidRPr="000416D2">
        <w:rPr>
          <w:bCs/>
        </w:rPr>
        <w:t>Teh</w:t>
      </w:r>
      <w:r>
        <w:rPr>
          <w:bCs/>
          <w:vertAlign w:val="superscript"/>
        </w:rPr>
        <w:t>b</w:t>
      </w:r>
      <w:proofErr w:type="spellEnd"/>
      <w:r>
        <w:rPr>
          <w:bCs/>
        </w:rPr>
        <w:t xml:space="preserve"> </w:t>
      </w:r>
      <w:proofErr w:type="spellStart"/>
      <w:r>
        <w:rPr>
          <w:bCs/>
        </w:rPr>
        <w:t>andMohdAspollahSukari</w:t>
      </w:r>
      <w:r w:rsidRPr="00917892">
        <w:rPr>
          <w:bCs/>
          <w:vertAlign w:val="superscript"/>
        </w:rPr>
        <w:t>b</w:t>
      </w:r>
      <w:proofErr w:type="spellEnd"/>
    </w:p>
    <w:p w:rsidR="00917892" w:rsidRDefault="00917892" w:rsidP="00917892">
      <w:pPr>
        <w:jc w:val="both"/>
      </w:pPr>
    </w:p>
    <w:p w:rsidR="00917892" w:rsidRDefault="00917892" w:rsidP="00917892">
      <w:pPr>
        <w:pStyle w:val="Affiliation"/>
        <w:jc w:val="both"/>
        <w:rPr>
          <w:iCs/>
        </w:rPr>
      </w:pPr>
      <w:proofErr w:type="gramStart"/>
      <w:r>
        <w:rPr>
          <w:iCs/>
          <w:vertAlign w:val="superscript"/>
        </w:rPr>
        <w:t>a</w:t>
      </w:r>
      <w:proofErr w:type="gramEnd"/>
      <w:r w:rsidRPr="000416D2">
        <w:rPr>
          <w:iCs/>
        </w:rPr>
        <w:t xml:space="preserve"> School of Biosciences, Taylor’ s University, Lakeside Campus, 47500 </w:t>
      </w:r>
      <w:proofErr w:type="spellStart"/>
      <w:r w:rsidRPr="000416D2">
        <w:rPr>
          <w:iCs/>
        </w:rPr>
        <w:t>Subang</w:t>
      </w:r>
      <w:proofErr w:type="spellEnd"/>
      <w:r w:rsidRPr="000416D2">
        <w:rPr>
          <w:iCs/>
        </w:rPr>
        <w:t xml:space="preserve"> Jaya, Selangor, Malaysia</w:t>
      </w:r>
    </w:p>
    <w:p w:rsidR="00917892" w:rsidRPr="000416D2" w:rsidRDefault="00917892" w:rsidP="00917892">
      <w:pPr>
        <w:jc w:val="both"/>
        <w:rPr>
          <w:i/>
        </w:rPr>
      </w:pPr>
      <w:proofErr w:type="gramStart"/>
      <w:r>
        <w:rPr>
          <w:i/>
          <w:iCs/>
          <w:vertAlign w:val="superscript"/>
        </w:rPr>
        <w:t>b</w:t>
      </w:r>
      <w:r w:rsidRPr="000416D2">
        <w:rPr>
          <w:i/>
          <w:iCs/>
        </w:rPr>
        <w:t>Department</w:t>
      </w:r>
      <w:proofErr w:type="gramEnd"/>
      <w:r w:rsidRPr="000416D2">
        <w:rPr>
          <w:i/>
          <w:iCs/>
        </w:rPr>
        <w:t xml:space="preserve"> of Chemistry, Faculty of Science, </w:t>
      </w:r>
      <w:proofErr w:type="spellStart"/>
      <w:r w:rsidRPr="000416D2">
        <w:rPr>
          <w:i/>
          <w:iCs/>
        </w:rPr>
        <w:t>Universiti</w:t>
      </w:r>
      <w:proofErr w:type="spellEnd"/>
      <w:r w:rsidRPr="000416D2">
        <w:rPr>
          <w:i/>
          <w:iCs/>
        </w:rPr>
        <w:t xml:space="preserve"> Putra Malaysia, 43400 UPM </w:t>
      </w:r>
      <w:proofErr w:type="spellStart"/>
      <w:r w:rsidRPr="000416D2">
        <w:rPr>
          <w:i/>
          <w:iCs/>
        </w:rPr>
        <w:t>Serdang</w:t>
      </w:r>
      <w:proofErr w:type="spellEnd"/>
      <w:r w:rsidRPr="000416D2">
        <w:rPr>
          <w:i/>
          <w:iCs/>
        </w:rPr>
        <w:t>, Selangor, Malaysia</w:t>
      </w:r>
    </w:p>
    <w:p w:rsidR="00917892" w:rsidRDefault="00917892" w:rsidP="00F067D8">
      <w:pPr>
        <w:pStyle w:val="Acknowledgements"/>
        <w:jc w:val="both"/>
        <w:rPr>
          <w:b/>
          <w:sz w:val="24"/>
        </w:rPr>
      </w:pPr>
    </w:p>
    <w:p w:rsidR="00917892" w:rsidRPr="000416D2" w:rsidRDefault="00917892" w:rsidP="00917892">
      <w:pPr>
        <w:pStyle w:val="Correspondencedetails"/>
        <w:jc w:val="both"/>
        <w:rPr>
          <w:iCs/>
        </w:rPr>
      </w:pPr>
      <w:r w:rsidRPr="000416D2">
        <w:rPr>
          <w:iCs/>
        </w:rPr>
        <w:t>*Author to whom correspondence should be a</w:t>
      </w:r>
      <w:r>
        <w:rPr>
          <w:iCs/>
        </w:rPr>
        <w:t>ddressed; E-Mail: gwen@</w:t>
      </w:r>
      <w:r w:rsidRPr="000416D2">
        <w:rPr>
          <w:iCs/>
        </w:rPr>
        <w:t>upm.edu.my;</w:t>
      </w:r>
    </w:p>
    <w:p w:rsidR="00917892" w:rsidRPr="000416D2" w:rsidRDefault="00917892" w:rsidP="00917892">
      <w:pPr>
        <w:pStyle w:val="Correspondencedetails"/>
        <w:jc w:val="both"/>
      </w:pPr>
      <w:r w:rsidRPr="000416D2">
        <w:rPr>
          <w:iCs/>
        </w:rPr>
        <w:t>Tel.: +603-8946-6785; Fax: +603-8943-5380</w:t>
      </w:r>
    </w:p>
    <w:p w:rsidR="00917892" w:rsidRDefault="00917892" w:rsidP="00F067D8">
      <w:pPr>
        <w:pStyle w:val="Acknowledgements"/>
        <w:jc w:val="both"/>
        <w:rPr>
          <w:b/>
          <w:sz w:val="24"/>
        </w:rPr>
      </w:pPr>
    </w:p>
    <w:p w:rsidR="00917892" w:rsidRDefault="00917892" w:rsidP="00917892"/>
    <w:p w:rsidR="00675D27" w:rsidRDefault="00675D27" w:rsidP="00675D27">
      <w:pPr>
        <w:pStyle w:val="Abstract"/>
        <w:jc w:val="both"/>
      </w:pPr>
      <w:r w:rsidRPr="000416D2">
        <w:rPr>
          <w:lang w:val="en-US"/>
        </w:rPr>
        <w:t xml:space="preserve">Extensive chromatographic isolation and purification on the extracts of the stem bark of </w:t>
      </w:r>
      <w:proofErr w:type="spellStart"/>
      <w:r w:rsidRPr="000416D2">
        <w:rPr>
          <w:i/>
          <w:lang w:val="en-US"/>
        </w:rPr>
        <w:t>Calophylluminophyllum</w:t>
      </w:r>
      <w:proofErr w:type="spellEnd"/>
      <w:r w:rsidRPr="000416D2">
        <w:rPr>
          <w:lang w:val="en-US"/>
        </w:rPr>
        <w:t xml:space="preserve"> and </w:t>
      </w:r>
      <w:proofErr w:type="spellStart"/>
      <w:r w:rsidRPr="000416D2">
        <w:rPr>
          <w:i/>
          <w:lang w:val="en-US"/>
        </w:rPr>
        <w:t>Calophyllumsoulattri</w:t>
      </w:r>
      <w:r w:rsidRPr="000416D2">
        <w:rPr>
          <w:lang w:val="en-US"/>
        </w:rPr>
        <w:t>have</w:t>
      </w:r>
      <w:proofErr w:type="spellEnd"/>
      <w:r w:rsidRPr="000416D2">
        <w:rPr>
          <w:lang w:val="en-US"/>
        </w:rPr>
        <w:t xml:space="preserve"> resulted in eleven </w:t>
      </w:r>
      <w:proofErr w:type="spellStart"/>
      <w:r w:rsidRPr="000416D2">
        <w:rPr>
          <w:lang w:val="en-US"/>
        </w:rPr>
        <w:t>xanthones</w:t>
      </w:r>
      <w:proofErr w:type="spellEnd"/>
      <w:r w:rsidRPr="000416D2">
        <w:rPr>
          <w:lang w:val="en-US"/>
        </w:rPr>
        <w:t xml:space="preserve">. </w:t>
      </w:r>
      <w:r w:rsidRPr="00675D27">
        <w:rPr>
          <w:i/>
          <w:iCs/>
          <w:lang w:val="en-US"/>
        </w:rPr>
        <w:t xml:space="preserve">C. </w:t>
      </w:r>
      <w:proofErr w:type="spellStart"/>
      <w:r w:rsidRPr="00675D27">
        <w:rPr>
          <w:i/>
          <w:iCs/>
          <w:lang w:val="en-US"/>
        </w:rPr>
        <w:t>inophyllum</w:t>
      </w:r>
      <w:r w:rsidRPr="00675D27">
        <w:rPr>
          <w:iCs/>
          <w:lang w:val="en-US"/>
        </w:rPr>
        <w:t>gave</w:t>
      </w:r>
      <w:proofErr w:type="spellEnd"/>
      <w:r w:rsidRPr="00675D27">
        <w:rPr>
          <w:iCs/>
          <w:lang w:val="en-US"/>
        </w:rPr>
        <w:t xml:space="preserve"> </w:t>
      </w:r>
      <w:proofErr w:type="spellStart"/>
      <w:r w:rsidRPr="00675D27">
        <w:rPr>
          <w:iCs/>
          <w:lang w:val="en-US"/>
        </w:rPr>
        <w:t>inophinnin</w:t>
      </w:r>
      <w:proofErr w:type="spellEnd"/>
      <w:r w:rsidRPr="00675D27">
        <w:rPr>
          <w:iCs/>
          <w:lang w:val="en-US"/>
        </w:rPr>
        <w:t xml:space="preserve"> (</w:t>
      </w:r>
      <w:r w:rsidRPr="00675D27">
        <w:rPr>
          <w:b/>
          <w:iCs/>
          <w:lang w:val="en-US"/>
        </w:rPr>
        <w:t>1</w:t>
      </w:r>
      <w:r w:rsidRPr="00675D27">
        <w:rPr>
          <w:iCs/>
          <w:lang w:val="en-US"/>
        </w:rPr>
        <w:t xml:space="preserve">), </w:t>
      </w:r>
      <w:proofErr w:type="spellStart"/>
      <w:r w:rsidRPr="00675D27">
        <w:rPr>
          <w:iCs/>
          <w:lang w:val="en-US"/>
        </w:rPr>
        <w:t>inophinone</w:t>
      </w:r>
      <w:proofErr w:type="spellEnd"/>
      <w:r w:rsidRPr="00675D27">
        <w:rPr>
          <w:iCs/>
          <w:lang w:val="en-US"/>
        </w:rPr>
        <w:t xml:space="preserve"> (</w:t>
      </w:r>
      <w:r w:rsidRPr="00675D27">
        <w:rPr>
          <w:b/>
          <w:iCs/>
          <w:lang w:val="en-US"/>
        </w:rPr>
        <w:t>2</w:t>
      </w:r>
      <w:r w:rsidRPr="00675D27">
        <w:rPr>
          <w:iCs/>
          <w:lang w:val="en-US"/>
        </w:rPr>
        <w:t xml:space="preserve">), </w:t>
      </w:r>
      <w:proofErr w:type="spellStart"/>
      <w:r w:rsidRPr="00675D27">
        <w:rPr>
          <w:iCs/>
          <w:lang w:val="en-US"/>
        </w:rPr>
        <w:t>pyranojacareubin</w:t>
      </w:r>
      <w:proofErr w:type="spellEnd"/>
      <w:r w:rsidRPr="00675D27">
        <w:rPr>
          <w:iCs/>
          <w:lang w:val="en-US"/>
        </w:rPr>
        <w:t xml:space="preserve"> (</w:t>
      </w:r>
      <w:r w:rsidRPr="00675D27">
        <w:rPr>
          <w:b/>
          <w:iCs/>
          <w:lang w:val="en-US"/>
        </w:rPr>
        <w:t>5</w:t>
      </w:r>
      <w:r w:rsidRPr="00675D27">
        <w:rPr>
          <w:iCs/>
          <w:lang w:val="en-US"/>
        </w:rPr>
        <w:t xml:space="preserve">), </w:t>
      </w:r>
      <w:proofErr w:type="spellStart"/>
      <w:r w:rsidRPr="00675D27">
        <w:rPr>
          <w:iCs/>
          <w:lang w:val="en-US"/>
        </w:rPr>
        <w:t>rheediaxanthone</w:t>
      </w:r>
      <w:proofErr w:type="spellEnd"/>
      <w:r w:rsidRPr="00675D27">
        <w:rPr>
          <w:iCs/>
          <w:lang w:val="en-US"/>
        </w:rPr>
        <w:t xml:space="preserve"> A (</w:t>
      </w:r>
      <w:r w:rsidRPr="00675D27">
        <w:rPr>
          <w:b/>
          <w:iCs/>
          <w:lang w:val="en-US"/>
        </w:rPr>
        <w:t>6</w:t>
      </w:r>
      <w:r w:rsidRPr="00675D27">
        <w:rPr>
          <w:iCs/>
          <w:lang w:val="en-US"/>
        </w:rPr>
        <w:t xml:space="preserve">), </w:t>
      </w:r>
      <w:proofErr w:type="spellStart"/>
      <w:r w:rsidRPr="00675D27">
        <w:rPr>
          <w:iCs/>
          <w:lang w:val="en-US"/>
        </w:rPr>
        <w:t>macluraxanthone</w:t>
      </w:r>
      <w:proofErr w:type="spellEnd"/>
      <w:r w:rsidRPr="00675D27">
        <w:rPr>
          <w:iCs/>
          <w:lang w:val="en-US"/>
        </w:rPr>
        <w:t xml:space="preserve"> (</w:t>
      </w:r>
      <w:r w:rsidRPr="00675D27">
        <w:rPr>
          <w:b/>
          <w:iCs/>
          <w:lang w:val="en-US"/>
        </w:rPr>
        <w:t>7</w:t>
      </w:r>
      <w:r w:rsidRPr="00675D27">
        <w:rPr>
          <w:iCs/>
          <w:lang w:val="en-US"/>
        </w:rPr>
        <w:t>) and 4-hydroxyxanthone (</w:t>
      </w:r>
      <w:r w:rsidRPr="00675D27">
        <w:rPr>
          <w:b/>
          <w:iCs/>
          <w:lang w:val="en-US"/>
        </w:rPr>
        <w:t>8</w:t>
      </w:r>
      <w:r w:rsidRPr="00675D27">
        <w:rPr>
          <w:iCs/>
          <w:lang w:val="en-US"/>
        </w:rPr>
        <w:t>) while</w:t>
      </w:r>
      <w:r w:rsidRPr="00675D27">
        <w:rPr>
          <w:i/>
          <w:iCs/>
          <w:lang w:val="en-US"/>
        </w:rPr>
        <w:t xml:space="preserve"> C. </w:t>
      </w:r>
      <w:proofErr w:type="spellStart"/>
      <w:r w:rsidRPr="00675D27">
        <w:rPr>
          <w:i/>
          <w:iCs/>
          <w:lang w:val="en-US"/>
        </w:rPr>
        <w:t>soulattri</w:t>
      </w:r>
      <w:r w:rsidRPr="00675D27">
        <w:rPr>
          <w:iCs/>
          <w:lang w:val="en-US"/>
        </w:rPr>
        <w:t>afforded</w:t>
      </w:r>
      <w:proofErr w:type="spellEnd"/>
      <w:r w:rsidRPr="00675D27">
        <w:rPr>
          <w:iCs/>
          <w:lang w:val="en-US"/>
        </w:rPr>
        <w:t xml:space="preserve"> </w:t>
      </w:r>
      <w:proofErr w:type="spellStart"/>
      <w:r w:rsidRPr="00675D27">
        <w:rPr>
          <w:iCs/>
          <w:lang w:val="en-US"/>
        </w:rPr>
        <w:t>soulattrin</w:t>
      </w:r>
      <w:proofErr w:type="spellEnd"/>
      <w:r w:rsidRPr="00675D27">
        <w:rPr>
          <w:iCs/>
          <w:lang w:val="en-US"/>
        </w:rPr>
        <w:t xml:space="preserve"> (</w:t>
      </w:r>
      <w:r w:rsidRPr="00675D27">
        <w:rPr>
          <w:b/>
          <w:iCs/>
          <w:lang w:val="en-US"/>
        </w:rPr>
        <w:t>3</w:t>
      </w:r>
      <w:r w:rsidRPr="00675D27">
        <w:rPr>
          <w:iCs/>
          <w:lang w:val="en-US"/>
        </w:rPr>
        <w:t xml:space="preserve">), </w:t>
      </w:r>
      <w:proofErr w:type="spellStart"/>
      <w:r w:rsidRPr="00675D27">
        <w:rPr>
          <w:iCs/>
          <w:lang w:val="en-US"/>
        </w:rPr>
        <w:t>phylattrin</w:t>
      </w:r>
      <w:proofErr w:type="spellEnd"/>
      <w:r w:rsidRPr="00675D27">
        <w:rPr>
          <w:iCs/>
          <w:lang w:val="en-US"/>
        </w:rPr>
        <w:t xml:space="preserve"> (</w:t>
      </w:r>
      <w:r w:rsidRPr="00675D27">
        <w:rPr>
          <w:b/>
          <w:iCs/>
          <w:lang w:val="en-US"/>
        </w:rPr>
        <w:t>4</w:t>
      </w:r>
      <w:r w:rsidRPr="00675D27">
        <w:rPr>
          <w:iCs/>
          <w:lang w:val="en-US"/>
        </w:rPr>
        <w:t xml:space="preserve">), </w:t>
      </w:r>
      <w:proofErr w:type="spellStart"/>
      <w:r w:rsidRPr="00675D27">
        <w:rPr>
          <w:iCs/>
          <w:lang w:val="en-US"/>
        </w:rPr>
        <w:t>caloxanthone</w:t>
      </w:r>
      <w:proofErr w:type="spellEnd"/>
      <w:r w:rsidRPr="00675D27">
        <w:rPr>
          <w:iCs/>
          <w:lang w:val="en-US"/>
        </w:rPr>
        <w:t xml:space="preserve"> C (</w:t>
      </w:r>
      <w:r w:rsidRPr="00675D27">
        <w:rPr>
          <w:b/>
          <w:iCs/>
          <w:lang w:val="en-US"/>
        </w:rPr>
        <w:t>9</w:t>
      </w:r>
      <w:r w:rsidRPr="00675D27">
        <w:rPr>
          <w:iCs/>
          <w:lang w:val="en-US"/>
        </w:rPr>
        <w:t xml:space="preserve">), </w:t>
      </w:r>
      <w:proofErr w:type="spellStart"/>
      <w:r w:rsidRPr="00675D27">
        <w:rPr>
          <w:iCs/>
          <w:lang w:val="en-US"/>
        </w:rPr>
        <w:t>brasixanthone</w:t>
      </w:r>
      <w:proofErr w:type="spellEnd"/>
      <w:r w:rsidRPr="00675D27">
        <w:rPr>
          <w:iCs/>
          <w:lang w:val="en-US"/>
        </w:rPr>
        <w:t xml:space="preserve"> B (</w:t>
      </w:r>
      <w:r w:rsidRPr="00675D27">
        <w:rPr>
          <w:b/>
          <w:iCs/>
          <w:lang w:val="en-US"/>
        </w:rPr>
        <w:t>10</w:t>
      </w:r>
      <w:r w:rsidRPr="00675D27">
        <w:rPr>
          <w:iCs/>
          <w:lang w:val="en-US"/>
        </w:rPr>
        <w:t xml:space="preserve">) and </w:t>
      </w:r>
      <w:proofErr w:type="spellStart"/>
      <w:r w:rsidRPr="00675D27">
        <w:rPr>
          <w:iCs/>
          <w:lang w:val="en-US"/>
        </w:rPr>
        <w:t>trapezifolixanthone</w:t>
      </w:r>
      <w:proofErr w:type="spellEnd"/>
      <w:r w:rsidRPr="00675D27">
        <w:rPr>
          <w:iCs/>
          <w:lang w:val="en-US"/>
        </w:rPr>
        <w:t xml:space="preserve"> (</w:t>
      </w:r>
      <w:r w:rsidRPr="00675D27">
        <w:rPr>
          <w:b/>
          <w:iCs/>
          <w:lang w:val="en-US"/>
        </w:rPr>
        <w:t>11</w:t>
      </w:r>
      <w:r w:rsidRPr="00675D27">
        <w:rPr>
          <w:iCs/>
          <w:lang w:val="en-US"/>
        </w:rPr>
        <w:t>).</w:t>
      </w:r>
      <w:r w:rsidRPr="00675D27">
        <w:t xml:space="preserve"> The structures of the</w:t>
      </w:r>
      <w:r w:rsidRPr="000416D2">
        <w:t xml:space="preserve">se </w:t>
      </w:r>
      <w:r>
        <w:t>compounds were determined based on</w:t>
      </w:r>
      <w:r w:rsidRPr="000416D2">
        <w:t xml:space="preserve"> spectroscopic analyses such as 1D and 2D-NMR, GCMS, IR and UV. </w:t>
      </w:r>
      <w:r w:rsidRPr="000416D2">
        <w:rPr>
          <w:lang w:val="en-US"/>
        </w:rPr>
        <w:t xml:space="preserve">Cytotoxicity screening (MTT Assay) carried out </w:t>
      </w:r>
      <w:r w:rsidRPr="000416D2">
        <w:rPr>
          <w:i/>
          <w:lang w:val="en-US"/>
        </w:rPr>
        <w:t xml:space="preserve">in vitro </w:t>
      </w:r>
      <w:r w:rsidRPr="000416D2">
        <w:rPr>
          <w:lang w:val="en-US"/>
        </w:rPr>
        <w:t xml:space="preserve">on all the </w:t>
      </w:r>
      <w:proofErr w:type="spellStart"/>
      <w:r w:rsidRPr="000416D2">
        <w:rPr>
          <w:lang w:val="en-US"/>
        </w:rPr>
        <w:t>xanthones</w:t>
      </w:r>
      <w:proofErr w:type="spellEnd"/>
      <w:r w:rsidRPr="000416D2">
        <w:rPr>
          <w:lang w:val="en-US"/>
        </w:rPr>
        <w:t xml:space="preserve"> using five human cancer cell lines indicated good activities for some of these </w:t>
      </w:r>
      <w:proofErr w:type="spellStart"/>
      <w:r w:rsidRPr="000416D2">
        <w:rPr>
          <w:lang w:val="en-US"/>
        </w:rPr>
        <w:t>xanthones</w:t>
      </w:r>
      <w:proofErr w:type="spellEnd"/>
      <w:r w:rsidRPr="000416D2">
        <w:rPr>
          <w:lang w:val="en-US"/>
        </w:rPr>
        <w:t xml:space="preserve">. </w:t>
      </w:r>
      <w:r w:rsidRPr="000416D2">
        <w:rPr>
          <w:bCs/>
          <w:iCs/>
        </w:rPr>
        <w:t xml:space="preserve">The structure-activity relationship (SAR) study </w:t>
      </w:r>
      <w:r w:rsidRPr="00675D27">
        <w:rPr>
          <w:bCs/>
          <w:iCs/>
        </w:rPr>
        <w:t>revealed the inhibito</w:t>
      </w:r>
      <w:bookmarkStart w:id="0" w:name="_GoBack"/>
      <w:bookmarkEnd w:id="0"/>
      <w:r w:rsidRPr="00675D27">
        <w:rPr>
          <w:bCs/>
          <w:iCs/>
        </w:rPr>
        <w:t xml:space="preserve">ry activities exhibited by these </w:t>
      </w:r>
      <w:proofErr w:type="spellStart"/>
      <w:r w:rsidRPr="00675D27">
        <w:rPr>
          <w:bCs/>
          <w:iCs/>
        </w:rPr>
        <w:t>xanthone</w:t>
      </w:r>
      <w:proofErr w:type="spellEnd"/>
      <w:r w:rsidRPr="00675D27">
        <w:rPr>
          <w:bCs/>
          <w:iCs/>
        </w:rPr>
        <w:t xml:space="preserve"> derivatives</w:t>
      </w:r>
      <w:r>
        <w:rPr>
          <w:bCs/>
          <w:iCs/>
        </w:rPr>
        <w:t xml:space="preserve"> to be </w:t>
      </w:r>
      <w:r w:rsidRPr="000416D2">
        <w:rPr>
          <w:bCs/>
          <w:iCs/>
        </w:rPr>
        <w:t xml:space="preserve">closely related to the existence and nature of the </w:t>
      </w:r>
      <w:proofErr w:type="spellStart"/>
      <w:r w:rsidRPr="000416D2">
        <w:rPr>
          <w:bCs/>
          <w:iCs/>
          <w:lang w:val="en-US"/>
        </w:rPr>
        <w:t>pyrano</w:t>
      </w:r>
      <w:proofErr w:type="spellEnd"/>
      <w:r w:rsidRPr="000416D2">
        <w:rPr>
          <w:bCs/>
          <w:iCs/>
          <w:lang w:val="en-US"/>
        </w:rPr>
        <w:t xml:space="preserve"> and the </w:t>
      </w:r>
      <w:proofErr w:type="spellStart"/>
      <w:r w:rsidRPr="000416D2">
        <w:rPr>
          <w:bCs/>
          <w:iCs/>
          <w:lang w:val="en-US"/>
        </w:rPr>
        <w:t>prenyl</w:t>
      </w:r>
      <w:proofErr w:type="spellEnd"/>
      <w:r w:rsidRPr="000416D2">
        <w:rPr>
          <w:bCs/>
          <w:iCs/>
        </w:rPr>
        <w:t xml:space="preserve">substituent groups on their skeleton. </w:t>
      </w:r>
    </w:p>
    <w:p w:rsidR="00675D27" w:rsidRDefault="00675D27" w:rsidP="003F7303">
      <w:pPr>
        <w:pStyle w:val="Keywords"/>
        <w:jc w:val="both"/>
      </w:pPr>
    </w:p>
    <w:p w:rsidR="00675D27" w:rsidRDefault="00675D27" w:rsidP="003F7303">
      <w:pPr>
        <w:pStyle w:val="Keywords"/>
        <w:jc w:val="both"/>
      </w:pPr>
    </w:p>
    <w:p w:rsidR="00675D27" w:rsidRDefault="00675D27" w:rsidP="003F7303">
      <w:pPr>
        <w:pStyle w:val="Keywords"/>
        <w:jc w:val="both"/>
      </w:pPr>
    </w:p>
    <w:p w:rsidR="003F7303" w:rsidRDefault="003F7303" w:rsidP="003F7303">
      <w:pPr>
        <w:pStyle w:val="Keywords"/>
        <w:jc w:val="both"/>
      </w:pPr>
      <w:r>
        <w:t xml:space="preserve">Keywords: </w:t>
      </w:r>
      <w:proofErr w:type="spellStart"/>
      <w:r w:rsidRPr="000416D2">
        <w:rPr>
          <w:i/>
        </w:rPr>
        <w:t>Calophyllum</w:t>
      </w:r>
      <w:proofErr w:type="spellEnd"/>
      <w:r>
        <w:t xml:space="preserve">; </w:t>
      </w:r>
      <w:proofErr w:type="spellStart"/>
      <w:r>
        <w:t>cytotoxicity;structure</w:t>
      </w:r>
      <w:proofErr w:type="spellEnd"/>
      <w:r>
        <w:t xml:space="preserve">-activity </w:t>
      </w:r>
      <w:proofErr w:type="spellStart"/>
      <w:r>
        <w:t>relationship;</w:t>
      </w:r>
      <w:r w:rsidRPr="000416D2">
        <w:t>xanthone</w:t>
      </w:r>
      <w:proofErr w:type="spellEnd"/>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917892"/>
    <w:p w:rsidR="00917892" w:rsidRDefault="00917892" w:rsidP="00917892"/>
    <w:p w:rsidR="00917892" w:rsidRDefault="00917892" w:rsidP="00917892"/>
    <w:p w:rsidR="00917892" w:rsidRPr="00917892" w:rsidRDefault="00917892" w:rsidP="00917892"/>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917892" w:rsidRDefault="00917892" w:rsidP="00F067D8">
      <w:pPr>
        <w:pStyle w:val="Acknowledgements"/>
        <w:jc w:val="both"/>
        <w:rPr>
          <w:b/>
          <w:sz w:val="24"/>
        </w:rPr>
      </w:pPr>
    </w:p>
    <w:p w:rsidR="00F067D8" w:rsidRDefault="00F067D8" w:rsidP="00F067D8">
      <w:pPr>
        <w:pStyle w:val="Acknowledgements"/>
        <w:jc w:val="both"/>
        <w:rPr>
          <w:b/>
          <w:sz w:val="24"/>
        </w:rPr>
      </w:pPr>
    </w:p>
    <w:p w:rsidR="00D35674" w:rsidRDefault="00F067D8" w:rsidP="00D35674">
      <w:pPr>
        <w:pStyle w:val="Heading1"/>
        <w:spacing w:line="360" w:lineRule="auto"/>
        <w:jc w:val="both"/>
      </w:pPr>
      <w:r>
        <w:t>Experimental</w:t>
      </w:r>
    </w:p>
    <w:p w:rsidR="00F067D8" w:rsidRPr="003F7303" w:rsidRDefault="00F067D8" w:rsidP="00D35674">
      <w:pPr>
        <w:pStyle w:val="Heading1"/>
        <w:spacing w:line="360" w:lineRule="auto"/>
        <w:jc w:val="both"/>
        <w:rPr>
          <w:i/>
        </w:rPr>
      </w:pPr>
      <w:r w:rsidRPr="003F7303">
        <w:rPr>
          <w:i/>
        </w:rPr>
        <w:t>Plant Material</w:t>
      </w:r>
    </w:p>
    <w:p w:rsidR="00F067D8" w:rsidRDefault="00F067D8" w:rsidP="00F067D8">
      <w:pPr>
        <w:spacing w:line="360" w:lineRule="auto"/>
        <w:jc w:val="both"/>
      </w:pPr>
    </w:p>
    <w:p w:rsidR="00F067D8" w:rsidRDefault="00F067D8" w:rsidP="00F067D8">
      <w:pPr>
        <w:spacing w:line="360" w:lineRule="auto"/>
        <w:jc w:val="both"/>
        <w:rPr>
          <w:iCs/>
          <w:lang w:val="tr-TR"/>
        </w:rPr>
      </w:pPr>
      <w:r w:rsidRPr="000416D2">
        <w:rPr>
          <w:iCs/>
          <w:lang w:val="tr-TR"/>
        </w:rPr>
        <w:t xml:space="preserve">Stem bark samples of </w:t>
      </w:r>
      <w:r w:rsidRPr="000416D2">
        <w:rPr>
          <w:i/>
          <w:iCs/>
          <w:lang w:val="tr-TR"/>
        </w:rPr>
        <w:t>Calophyllum inophyllum</w:t>
      </w:r>
      <w:r w:rsidRPr="000416D2">
        <w:rPr>
          <w:iCs/>
          <w:lang w:val="tr-TR"/>
        </w:rPr>
        <w:t xml:space="preserve"> (RG 5016) were collected from campus grounds in Universiti Putra Malaysia in 2010 while </w:t>
      </w:r>
      <w:r w:rsidRPr="000416D2">
        <w:rPr>
          <w:i/>
          <w:iCs/>
          <w:lang w:val="tr-TR"/>
        </w:rPr>
        <w:t xml:space="preserve">Calophyllum soulattrii </w:t>
      </w:r>
      <w:r w:rsidRPr="000416D2">
        <w:rPr>
          <w:iCs/>
          <w:lang w:val="tr-TR"/>
        </w:rPr>
        <w:t>(RG 5017) was collected from Sri Aman in Sarawak, Malaysia in 2011. The plant materials were identified by Dr Rusea Go from the Biology Department, Universiti Putra Malaysia where the herbarium samples were kept.</w:t>
      </w:r>
    </w:p>
    <w:p w:rsidR="00F067D8" w:rsidRDefault="00F067D8" w:rsidP="00F067D8">
      <w:pPr>
        <w:spacing w:line="360" w:lineRule="auto"/>
        <w:jc w:val="both"/>
        <w:rPr>
          <w:iCs/>
          <w:lang w:val="tr-TR"/>
        </w:rPr>
      </w:pPr>
    </w:p>
    <w:p w:rsidR="00F067D8" w:rsidRDefault="00F067D8" w:rsidP="00F067D8">
      <w:pPr>
        <w:pStyle w:val="Heading2"/>
        <w:spacing w:line="360" w:lineRule="auto"/>
        <w:jc w:val="both"/>
      </w:pPr>
      <w:r>
        <w:t>Extraction and Isolation</w:t>
      </w:r>
    </w:p>
    <w:p w:rsidR="00F067D8" w:rsidRDefault="00F067D8" w:rsidP="00F067D8">
      <w:pPr>
        <w:pStyle w:val="Paragraph"/>
        <w:spacing w:line="360" w:lineRule="auto"/>
        <w:jc w:val="both"/>
      </w:pPr>
      <w:r w:rsidRPr="00427FCF">
        <w:rPr>
          <w:iCs/>
          <w:lang w:val="en-US"/>
        </w:rPr>
        <w:t xml:space="preserve">Detailed purification of the dichloromethane extract of </w:t>
      </w:r>
      <w:proofErr w:type="spellStart"/>
      <w:r w:rsidRPr="00427FCF">
        <w:rPr>
          <w:i/>
          <w:iCs/>
          <w:lang w:val="en-US"/>
        </w:rPr>
        <w:t>Calophylluminophyllum</w:t>
      </w:r>
      <w:r w:rsidRPr="00427FCF">
        <w:rPr>
          <w:iCs/>
          <w:lang w:val="en-US"/>
        </w:rPr>
        <w:t>afforded</w:t>
      </w:r>
      <w:proofErr w:type="spellEnd"/>
      <w:r w:rsidRPr="00427FCF">
        <w:rPr>
          <w:iCs/>
          <w:lang w:val="en-US"/>
        </w:rPr>
        <w:t xml:space="preserve"> two </w:t>
      </w:r>
      <w:proofErr w:type="spellStart"/>
      <w:r w:rsidRPr="00427FCF">
        <w:rPr>
          <w:iCs/>
          <w:lang w:val="en-US"/>
        </w:rPr>
        <w:t>xanthones</w:t>
      </w:r>
      <w:proofErr w:type="spellEnd"/>
      <w:r w:rsidRPr="00427FCF">
        <w:rPr>
          <w:iCs/>
          <w:lang w:val="en-US"/>
        </w:rPr>
        <w:t xml:space="preserve">, </w:t>
      </w:r>
      <w:proofErr w:type="spellStart"/>
      <w:r w:rsidRPr="00427FCF">
        <w:rPr>
          <w:iCs/>
          <w:lang w:val="en-US"/>
        </w:rPr>
        <w:t>inophinnin</w:t>
      </w:r>
      <w:proofErr w:type="spellEnd"/>
      <w:r w:rsidRPr="00427FCF">
        <w:rPr>
          <w:iCs/>
          <w:lang w:val="en-US"/>
        </w:rPr>
        <w:t xml:space="preserve"> (</w:t>
      </w:r>
      <w:r w:rsidRPr="00427FCF">
        <w:rPr>
          <w:b/>
          <w:iCs/>
          <w:lang w:val="en-US"/>
        </w:rPr>
        <w:t>1</w:t>
      </w:r>
      <w:r w:rsidRPr="00427FCF">
        <w:rPr>
          <w:iCs/>
          <w:lang w:val="en-US"/>
        </w:rPr>
        <w:t xml:space="preserve">) (9 mg) and </w:t>
      </w:r>
      <w:proofErr w:type="spellStart"/>
      <w:r w:rsidRPr="00427FCF">
        <w:rPr>
          <w:iCs/>
          <w:lang w:val="en-US"/>
        </w:rPr>
        <w:t>inophinone</w:t>
      </w:r>
      <w:proofErr w:type="spellEnd"/>
      <w:r w:rsidRPr="00427FCF">
        <w:rPr>
          <w:iCs/>
          <w:lang w:val="en-US"/>
        </w:rPr>
        <w:t xml:space="preserve"> (</w:t>
      </w:r>
      <w:r w:rsidRPr="00427FCF">
        <w:rPr>
          <w:b/>
          <w:iCs/>
          <w:lang w:val="en-US"/>
        </w:rPr>
        <w:t>2</w:t>
      </w:r>
      <w:r w:rsidRPr="00427FCF">
        <w:rPr>
          <w:iCs/>
          <w:lang w:val="en-US"/>
        </w:rPr>
        <w:t xml:space="preserve">), along with </w:t>
      </w:r>
      <w:proofErr w:type="spellStart"/>
      <w:r w:rsidRPr="00427FCF">
        <w:rPr>
          <w:iCs/>
          <w:lang w:val="en-US"/>
        </w:rPr>
        <w:t>pyranojacareubin</w:t>
      </w:r>
      <w:proofErr w:type="spellEnd"/>
      <w:r w:rsidRPr="00427FCF">
        <w:rPr>
          <w:iCs/>
          <w:lang w:val="en-US"/>
        </w:rPr>
        <w:t xml:space="preserve"> (</w:t>
      </w:r>
      <w:r w:rsidRPr="00427FCF">
        <w:rPr>
          <w:b/>
          <w:iCs/>
          <w:lang w:val="en-US"/>
        </w:rPr>
        <w:t>5</w:t>
      </w:r>
      <w:r w:rsidRPr="00427FCF">
        <w:rPr>
          <w:iCs/>
          <w:lang w:val="en-US"/>
        </w:rPr>
        <w:t xml:space="preserve">) (6 mg), </w:t>
      </w:r>
      <w:proofErr w:type="spellStart"/>
      <w:r w:rsidRPr="00427FCF">
        <w:rPr>
          <w:iCs/>
          <w:lang w:val="en-US"/>
        </w:rPr>
        <w:t>rheediaxanthone</w:t>
      </w:r>
      <w:proofErr w:type="spellEnd"/>
      <w:r w:rsidRPr="00427FCF">
        <w:rPr>
          <w:iCs/>
          <w:lang w:val="en-US"/>
        </w:rPr>
        <w:t xml:space="preserve"> A (</w:t>
      </w:r>
      <w:r w:rsidRPr="00427FCF">
        <w:rPr>
          <w:b/>
          <w:iCs/>
          <w:lang w:val="en-US"/>
        </w:rPr>
        <w:t>6</w:t>
      </w:r>
      <w:r w:rsidRPr="00427FCF">
        <w:rPr>
          <w:iCs/>
          <w:lang w:val="en-US"/>
        </w:rPr>
        <w:t xml:space="preserve">) (8 mg) and </w:t>
      </w:r>
      <w:proofErr w:type="spellStart"/>
      <w:r w:rsidRPr="00427FCF">
        <w:rPr>
          <w:iCs/>
          <w:lang w:val="en-US"/>
        </w:rPr>
        <w:t>macluraxanthone</w:t>
      </w:r>
      <w:proofErr w:type="spellEnd"/>
      <w:r w:rsidRPr="00427FCF">
        <w:rPr>
          <w:iCs/>
          <w:lang w:val="en-US"/>
        </w:rPr>
        <w:t xml:space="preserve"> (</w:t>
      </w:r>
      <w:r w:rsidRPr="00427FCF">
        <w:rPr>
          <w:b/>
          <w:iCs/>
          <w:lang w:val="en-US"/>
        </w:rPr>
        <w:t>7</w:t>
      </w:r>
      <w:r w:rsidRPr="00427FCF">
        <w:rPr>
          <w:iCs/>
          <w:lang w:val="en-US"/>
        </w:rPr>
        <w:t xml:space="preserve">) (52 mg). The simple </w:t>
      </w:r>
      <w:proofErr w:type="spellStart"/>
      <w:r w:rsidRPr="00427FCF">
        <w:rPr>
          <w:iCs/>
          <w:lang w:val="en-US"/>
        </w:rPr>
        <w:t>xanthone</w:t>
      </w:r>
      <w:proofErr w:type="spellEnd"/>
      <w:r w:rsidRPr="00427FCF">
        <w:rPr>
          <w:iCs/>
          <w:lang w:val="en-US"/>
        </w:rPr>
        <w:t xml:space="preserve"> 4-hydroxyxanthone (</w:t>
      </w:r>
      <w:r w:rsidRPr="00427FCF">
        <w:rPr>
          <w:b/>
          <w:iCs/>
          <w:lang w:val="en-US"/>
        </w:rPr>
        <w:t>8</w:t>
      </w:r>
      <w:r w:rsidRPr="00427FCF">
        <w:rPr>
          <w:iCs/>
          <w:lang w:val="en-US"/>
        </w:rPr>
        <w:t xml:space="preserve">) (8 mg), was isolated from the ethyl </w:t>
      </w:r>
      <w:r>
        <w:rPr>
          <w:iCs/>
          <w:lang w:val="en-US"/>
        </w:rPr>
        <w:t>acetate extract of this species</w:t>
      </w:r>
      <w:r w:rsidRPr="009F5CDC">
        <w:rPr>
          <w:lang w:val="en-US"/>
        </w:rPr>
        <w:t>.</w:t>
      </w:r>
    </w:p>
    <w:p w:rsidR="00F067D8" w:rsidRDefault="00F067D8" w:rsidP="00F067D8">
      <w:pPr>
        <w:pStyle w:val="Newparagraph"/>
        <w:spacing w:line="360" w:lineRule="auto"/>
        <w:jc w:val="both"/>
        <w:rPr>
          <w:lang w:val="en-US"/>
        </w:rPr>
      </w:pPr>
      <w:r w:rsidRPr="00427FCF">
        <w:rPr>
          <w:iCs/>
          <w:lang w:val="en-US"/>
        </w:rPr>
        <w:t xml:space="preserve">Extensive chromatography carried out on the dichloromethane extract of </w:t>
      </w:r>
      <w:proofErr w:type="spellStart"/>
      <w:r w:rsidRPr="00427FCF">
        <w:rPr>
          <w:i/>
          <w:iCs/>
          <w:lang w:val="en-US"/>
        </w:rPr>
        <w:t>Calophyllumsoulattri</w:t>
      </w:r>
      <w:r w:rsidRPr="00427FCF">
        <w:rPr>
          <w:iCs/>
          <w:lang w:val="en-US"/>
        </w:rPr>
        <w:t>afforded</w:t>
      </w:r>
      <w:proofErr w:type="spellEnd"/>
      <w:r w:rsidRPr="00427FCF">
        <w:rPr>
          <w:iCs/>
          <w:lang w:val="en-US"/>
        </w:rPr>
        <w:t xml:space="preserve"> another two </w:t>
      </w:r>
      <w:proofErr w:type="spellStart"/>
      <w:r w:rsidRPr="00427FCF">
        <w:rPr>
          <w:iCs/>
          <w:lang w:val="en-US"/>
        </w:rPr>
        <w:t>xanthones</w:t>
      </w:r>
      <w:proofErr w:type="spellEnd"/>
      <w:r w:rsidRPr="00427FCF">
        <w:rPr>
          <w:iCs/>
          <w:lang w:val="en-US"/>
        </w:rPr>
        <w:t xml:space="preserve">, </w:t>
      </w:r>
      <w:proofErr w:type="spellStart"/>
      <w:r w:rsidRPr="00427FCF">
        <w:rPr>
          <w:iCs/>
          <w:lang w:val="en-US"/>
        </w:rPr>
        <w:t>soulattrin</w:t>
      </w:r>
      <w:proofErr w:type="spellEnd"/>
      <w:r w:rsidRPr="00427FCF">
        <w:rPr>
          <w:iCs/>
          <w:lang w:val="en-US"/>
        </w:rPr>
        <w:t xml:space="preserve"> (</w:t>
      </w:r>
      <w:r w:rsidRPr="00427FCF">
        <w:rPr>
          <w:b/>
          <w:iCs/>
          <w:lang w:val="en-US"/>
        </w:rPr>
        <w:t>3</w:t>
      </w:r>
      <w:r w:rsidRPr="00427FCF">
        <w:rPr>
          <w:iCs/>
          <w:lang w:val="en-US"/>
        </w:rPr>
        <w:t xml:space="preserve">) (7 mg) and </w:t>
      </w:r>
      <w:proofErr w:type="spellStart"/>
      <w:r w:rsidRPr="00427FCF">
        <w:rPr>
          <w:iCs/>
          <w:lang w:val="en-US"/>
        </w:rPr>
        <w:t>phylattrin</w:t>
      </w:r>
      <w:proofErr w:type="spellEnd"/>
      <w:r w:rsidRPr="00427FCF">
        <w:rPr>
          <w:iCs/>
          <w:lang w:val="en-US"/>
        </w:rPr>
        <w:t xml:space="preserve"> (</w:t>
      </w:r>
      <w:r w:rsidRPr="00427FCF">
        <w:rPr>
          <w:b/>
          <w:iCs/>
          <w:lang w:val="en-US"/>
        </w:rPr>
        <w:t>4</w:t>
      </w:r>
      <w:r w:rsidRPr="00427FCF">
        <w:rPr>
          <w:iCs/>
          <w:lang w:val="en-US"/>
        </w:rPr>
        <w:t xml:space="preserve">) (67 mg). Other compounds, </w:t>
      </w:r>
      <w:proofErr w:type="spellStart"/>
      <w:r w:rsidRPr="00427FCF">
        <w:rPr>
          <w:iCs/>
          <w:lang w:val="en-US"/>
        </w:rPr>
        <w:t>macluraxanthone</w:t>
      </w:r>
      <w:proofErr w:type="spellEnd"/>
      <w:r w:rsidRPr="00427FCF">
        <w:rPr>
          <w:iCs/>
          <w:lang w:val="en-US"/>
        </w:rPr>
        <w:t xml:space="preserve"> (</w:t>
      </w:r>
      <w:r w:rsidRPr="00427FCF">
        <w:rPr>
          <w:b/>
          <w:iCs/>
          <w:lang w:val="en-US"/>
        </w:rPr>
        <w:t>7</w:t>
      </w:r>
      <w:r w:rsidRPr="00427FCF">
        <w:rPr>
          <w:iCs/>
          <w:lang w:val="en-US"/>
        </w:rPr>
        <w:t xml:space="preserve">) (6 mg), </w:t>
      </w:r>
      <w:proofErr w:type="spellStart"/>
      <w:r w:rsidRPr="00427FCF">
        <w:rPr>
          <w:iCs/>
          <w:lang w:val="en-US"/>
        </w:rPr>
        <w:t>caloxanthone</w:t>
      </w:r>
      <w:proofErr w:type="spellEnd"/>
      <w:r w:rsidRPr="00427FCF">
        <w:rPr>
          <w:iCs/>
          <w:lang w:val="en-US"/>
        </w:rPr>
        <w:t xml:space="preserve"> C (</w:t>
      </w:r>
      <w:r w:rsidRPr="00427FCF">
        <w:rPr>
          <w:b/>
          <w:iCs/>
          <w:lang w:val="en-US"/>
        </w:rPr>
        <w:t>9</w:t>
      </w:r>
      <w:r w:rsidRPr="00427FCF">
        <w:rPr>
          <w:iCs/>
          <w:lang w:val="en-US"/>
        </w:rPr>
        <w:t xml:space="preserve">) (14 mg), </w:t>
      </w:r>
      <w:proofErr w:type="spellStart"/>
      <w:r w:rsidRPr="00427FCF">
        <w:rPr>
          <w:iCs/>
          <w:lang w:val="en-US"/>
        </w:rPr>
        <w:t>brasixanthone</w:t>
      </w:r>
      <w:proofErr w:type="spellEnd"/>
      <w:r w:rsidRPr="00427FCF">
        <w:rPr>
          <w:iCs/>
          <w:lang w:val="en-US"/>
        </w:rPr>
        <w:t xml:space="preserve"> B (</w:t>
      </w:r>
      <w:r w:rsidRPr="00427FCF">
        <w:rPr>
          <w:b/>
          <w:iCs/>
          <w:lang w:val="en-US"/>
        </w:rPr>
        <w:t>10</w:t>
      </w:r>
      <w:r w:rsidRPr="00427FCF">
        <w:rPr>
          <w:iCs/>
          <w:lang w:val="en-US"/>
        </w:rPr>
        <w:t xml:space="preserve">) (21 mg) and </w:t>
      </w:r>
      <w:proofErr w:type="spellStart"/>
      <w:r w:rsidRPr="00427FCF">
        <w:rPr>
          <w:iCs/>
          <w:lang w:val="en-US"/>
        </w:rPr>
        <w:t>trapezifolixanthone</w:t>
      </w:r>
      <w:proofErr w:type="spellEnd"/>
      <w:r w:rsidRPr="00427FCF">
        <w:rPr>
          <w:iCs/>
          <w:lang w:val="en-US"/>
        </w:rPr>
        <w:t xml:space="preserve"> (</w:t>
      </w:r>
      <w:r w:rsidRPr="00427FCF">
        <w:rPr>
          <w:b/>
          <w:iCs/>
          <w:lang w:val="en-US"/>
        </w:rPr>
        <w:t>11</w:t>
      </w:r>
      <w:r w:rsidRPr="00427FCF">
        <w:rPr>
          <w:iCs/>
          <w:lang w:val="en-US"/>
        </w:rPr>
        <w:t>) (10 mg) were also successfully isolated from the dichloromethane extract</w:t>
      </w:r>
      <w:r w:rsidRPr="009F5CDC">
        <w:rPr>
          <w:lang w:val="en-US"/>
        </w:rPr>
        <w:t>.</w:t>
      </w:r>
    </w:p>
    <w:p w:rsidR="00F067D8" w:rsidRPr="009F5CDC" w:rsidRDefault="00F067D8" w:rsidP="00F067D8">
      <w:pPr>
        <w:pStyle w:val="Newparagraph"/>
        <w:spacing w:line="360" w:lineRule="auto"/>
        <w:ind w:firstLine="0"/>
        <w:jc w:val="both"/>
        <w:rPr>
          <w:lang w:val="en-US"/>
        </w:rPr>
      </w:pPr>
    </w:p>
    <w:p w:rsidR="00F067D8" w:rsidRPr="003F7303" w:rsidRDefault="00F067D8" w:rsidP="00F067D8">
      <w:pPr>
        <w:pStyle w:val="Heading2"/>
        <w:spacing w:before="0" w:line="360" w:lineRule="auto"/>
        <w:jc w:val="both"/>
      </w:pPr>
      <w:r w:rsidRPr="003F7303">
        <w:t>Cell Culture</w:t>
      </w:r>
    </w:p>
    <w:p w:rsidR="00F067D8" w:rsidRDefault="00F067D8" w:rsidP="00F067D8">
      <w:pPr>
        <w:pStyle w:val="Paragraph"/>
        <w:spacing w:line="360" w:lineRule="auto"/>
        <w:jc w:val="both"/>
        <w:rPr>
          <w:lang w:val="en-US"/>
        </w:rPr>
      </w:pPr>
      <w:r w:rsidRPr="00427FCF">
        <w:rPr>
          <w:iCs/>
          <w:lang w:val="en-US"/>
        </w:rPr>
        <w:t xml:space="preserve">All the apparatus used for cell culture were sterilized and decontaminated using Hirayama HICLAVE HVE-50. Cell culture handling was carried out in an ESCO Class II BSC Biosafety Cabinet. The healthy cells were spun down, adherent together and separated from unhealthy and dead cells by using Thermo Scientific </w:t>
      </w:r>
      <w:proofErr w:type="spellStart"/>
      <w:r w:rsidRPr="00427FCF">
        <w:rPr>
          <w:iCs/>
          <w:lang w:val="en-US"/>
        </w:rPr>
        <w:t>Sorvall</w:t>
      </w:r>
      <w:proofErr w:type="spellEnd"/>
      <w:r w:rsidRPr="00427FCF">
        <w:rPr>
          <w:iCs/>
          <w:lang w:val="en-US"/>
        </w:rPr>
        <w:t xml:space="preserve"> ST 16R centrifuge machine. All cultures were incubated in 5% CO</w:t>
      </w:r>
      <w:r w:rsidRPr="00427FCF">
        <w:rPr>
          <w:iCs/>
          <w:vertAlign w:val="subscript"/>
          <w:lang w:val="en-US"/>
        </w:rPr>
        <w:t>2</w:t>
      </w:r>
      <w:r w:rsidRPr="00427FCF">
        <w:rPr>
          <w:iCs/>
          <w:lang w:val="en-US"/>
        </w:rPr>
        <w:t xml:space="preserve"> humidified incubator at 37 °C (ESCO </w:t>
      </w:r>
      <w:proofErr w:type="spellStart"/>
      <w:r w:rsidRPr="00427FCF">
        <w:rPr>
          <w:iCs/>
          <w:lang w:val="en-US"/>
        </w:rPr>
        <w:t>Celculture</w:t>
      </w:r>
      <w:proofErr w:type="spellEnd"/>
      <w:r w:rsidRPr="00427FCF">
        <w:rPr>
          <w:iCs/>
          <w:lang w:val="en-US"/>
        </w:rPr>
        <w:t xml:space="preserve"> CO</w:t>
      </w:r>
      <w:r w:rsidRPr="00427FCF">
        <w:rPr>
          <w:iCs/>
          <w:vertAlign w:val="subscript"/>
          <w:lang w:val="en-US"/>
        </w:rPr>
        <w:t>2</w:t>
      </w:r>
      <w:r w:rsidRPr="00427FCF">
        <w:rPr>
          <w:iCs/>
          <w:lang w:val="en-US"/>
        </w:rPr>
        <w:t xml:space="preserve"> Incubator with model number CCL-170B-8). Cell stocks were placed in a -86 °C ultra low freezer </w:t>
      </w:r>
      <w:r w:rsidRPr="00427FCF">
        <w:rPr>
          <w:iCs/>
          <w:lang w:val="en-US"/>
        </w:rPr>
        <w:lastRenderedPageBreak/>
        <w:t>(</w:t>
      </w:r>
      <w:proofErr w:type="spellStart"/>
      <w:r w:rsidRPr="00427FCF">
        <w:rPr>
          <w:iCs/>
          <w:lang w:val="en-US"/>
        </w:rPr>
        <w:t>ScancoolSCL</w:t>
      </w:r>
      <w:proofErr w:type="spellEnd"/>
      <w:r w:rsidRPr="00427FCF">
        <w:rPr>
          <w:iCs/>
          <w:lang w:val="en-US"/>
        </w:rPr>
        <w:t xml:space="preserve"> 50 P) and preserved in a liquid nitro</w:t>
      </w:r>
      <w:r>
        <w:rPr>
          <w:iCs/>
          <w:lang w:val="en-US"/>
        </w:rPr>
        <w:t>gen tank (Taylor-Wharton LS300)</w:t>
      </w:r>
      <w:r w:rsidRPr="009F5CDC">
        <w:rPr>
          <w:lang w:val="en-US"/>
        </w:rPr>
        <w:t>.</w:t>
      </w:r>
    </w:p>
    <w:p w:rsidR="00F067D8" w:rsidRPr="003F7303" w:rsidRDefault="00F067D8" w:rsidP="00F067D8">
      <w:pPr>
        <w:pStyle w:val="Newparagraph"/>
        <w:spacing w:line="360" w:lineRule="auto"/>
        <w:jc w:val="both"/>
        <w:rPr>
          <w:b/>
          <w:bCs/>
          <w:i/>
          <w:iCs/>
        </w:rPr>
      </w:pPr>
      <w:r>
        <w:rPr>
          <w:lang w:val="en-US"/>
        </w:rPr>
        <w:br/>
      </w:r>
      <w:r w:rsidRPr="003F7303">
        <w:rPr>
          <w:b/>
          <w:bCs/>
          <w:i/>
          <w:iCs/>
        </w:rPr>
        <w:t>MTT Assay</w:t>
      </w:r>
    </w:p>
    <w:p w:rsidR="00F067D8" w:rsidRPr="00427FCF" w:rsidRDefault="00F067D8" w:rsidP="00F067D8">
      <w:pPr>
        <w:pStyle w:val="Newparagraph"/>
        <w:spacing w:line="360" w:lineRule="auto"/>
        <w:ind w:firstLine="0"/>
        <w:jc w:val="both"/>
      </w:pPr>
      <w:r w:rsidRPr="00427FCF">
        <w:rPr>
          <w:iCs/>
          <w:lang w:val="en-US"/>
        </w:rPr>
        <w:t xml:space="preserve">The 3-(4,5-dimethylthiazol-2-yl)-2,5-diphenyltetrazolium bromide (MTT) assay was performed according to a previously described method </w:t>
      </w:r>
      <w:r w:rsidR="00504289" w:rsidRPr="00427FCF">
        <w:rPr>
          <w:iCs/>
          <w:lang w:val="en-US"/>
        </w:rPr>
        <w:fldChar w:fldCharType="begin"/>
      </w:r>
      <w:r>
        <w:rPr>
          <w:iCs/>
          <w:lang w:val="en-US"/>
        </w:rPr>
        <w:instrText xml:space="preserve"> ADDIN EN.CITE &lt;EndNote&gt;&lt;Cite&gt;&lt;Author&gt;Mosmann&lt;/Author&gt;&lt;Year&gt;1983&lt;/Year&gt;&lt;RecNum&gt;338&lt;/RecNum&gt;&lt;DisplayText&gt;(Mosmann, 1983)&lt;/DisplayText&gt;&lt;record&gt;&lt;rec-number&gt;338&lt;/rec-number&gt;&lt;foreign-keys&gt;&lt;key app="EN" db-id="xf9sed2d6sasvaepw53x2atlt2tzxrt5ra02"&gt;338&lt;/key&gt;&lt;/foreign-keys&gt;&lt;ref-type name="Journal Article"&gt;17&lt;/ref-type&gt;&lt;contributors&gt;&lt;authors&gt;&lt;author&gt;Tim Mosmann&lt;/author&gt;&lt;/authors&gt;&lt;/contributors&gt;&lt;titles&gt;&lt;title&gt;Rapid colorimetric assay for cellular growth and survival: application to proliferation and cytotoxicity assays&lt;/title&gt;&lt;secondary-title&gt;Journal of lmmunological Methods,&lt;/secondary-title&gt;&lt;/titles&gt;&lt;periodical&gt;&lt;full-title&gt;Journal of lmmunological Methods,&lt;/full-title&gt;&lt;/periodical&gt;&lt;pages&gt;55-63&lt;/pages&gt;&lt;volume&gt;65&lt;/volume&gt;&lt;dates&gt;&lt;year&gt;1983&lt;/year&gt;&lt;/dates&gt;&lt;urls&gt;&lt;/urls&gt;&lt;/record&gt;&lt;/Cite&gt;&lt;/EndNote&gt;</w:instrText>
      </w:r>
      <w:r w:rsidR="00504289" w:rsidRPr="00427FCF">
        <w:rPr>
          <w:iCs/>
          <w:lang w:val="en-US"/>
        </w:rPr>
        <w:fldChar w:fldCharType="separate"/>
      </w:r>
      <w:r>
        <w:rPr>
          <w:iCs/>
          <w:noProof/>
          <w:lang w:val="en-US"/>
        </w:rPr>
        <w:t>(</w:t>
      </w:r>
      <w:hyperlink w:anchor="_ENREF_3_1" w:tooltip="Mosmann, 1983 #338" w:history="1">
        <w:r>
          <w:rPr>
            <w:iCs/>
            <w:noProof/>
            <w:lang w:val="en-US"/>
          </w:rPr>
          <w:t>Mosmann, 1983</w:t>
        </w:r>
      </w:hyperlink>
      <w:r>
        <w:rPr>
          <w:iCs/>
          <w:noProof/>
          <w:lang w:val="en-US"/>
        </w:rPr>
        <w:t>)</w:t>
      </w:r>
      <w:r w:rsidR="00504289" w:rsidRPr="00427FCF">
        <w:rPr>
          <w:iCs/>
          <w:lang w:val="en-US"/>
        </w:rPr>
        <w:fldChar w:fldCharType="end"/>
      </w:r>
      <w:r w:rsidRPr="00427FCF">
        <w:rPr>
          <w:iCs/>
          <w:lang w:val="en-US"/>
        </w:rPr>
        <w:t>. The tests were performed in a sterile 96-well flat bottom plate. Stock solutions of each pure compound were prepared by dissolving them in DMSO to a concentration of 20 mg/</w:t>
      </w:r>
      <w:proofErr w:type="spellStart"/>
      <w:r w:rsidRPr="00427FCF">
        <w:rPr>
          <w:iCs/>
          <w:lang w:val="en-US"/>
        </w:rPr>
        <w:t>mL.</w:t>
      </w:r>
      <w:proofErr w:type="spellEnd"/>
      <w:r w:rsidRPr="00427FCF">
        <w:rPr>
          <w:iCs/>
          <w:lang w:val="en-US"/>
        </w:rPr>
        <w:t xml:space="preserve"> A six-point serial dilution was developed to obtain six different sub-stocks with different concentrations. For suspension cells, concentrations needed were 50.00, 25.00, 12.50, 6.25, 3.13 and 1.56 </w:t>
      </w:r>
      <w:proofErr w:type="spellStart"/>
      <w:r w:rsidRPr="00427FCF">
        <w:rPr>
          <w:iCs/>
          <w:lang w:val="en-US"/>
        </w:rPr>
        <w:t>μg</w:t>
      </w:r>
      <w:proofErr w:type="spellEnd"/>
      <w:r w:rsidRPr="00427FCF">
        <w:rPr>
          <w:iCs/>
          <w:lang w:val="en-US"/>
        </w:rPr>
        <w:t>/</w:t>
      </w:r>
      <w:proofErr w:type="spellStart"/>
      <w:r w:rsidRPr="00427FCF">
        <w:rPr>
          <w:iCs/>
          <w:lang w:val="en-US"/>
        </w:rPr>
        <w:t>mL.</w:t>
      </w:r>
      <w:proofErr w:type="spellEnd"/>
      <w:r w:rsidRPr="00427FCF">
        <w:rPr>
          <w:iCs/>
          <w:lang w:val="en-US"/>
        </w:rPr>
        <w:t xml:space="preserve"> Meanwhile, 100.00, 50.00, 25.00, 12.50, 6.25 and 3.13 </w:t>
      </w:r>
      <w:proofErr w:type="spellStart"/>
      <w:r w:rsidRPr="00427FCF">
        <w:rPr>
          <w:iCs/>
          <w:lang w:val="en-US"/>
        </w:rPr>
        <w:t>μg</w:t>
      </w:r>
      <w:proofErr w:type="spellEnd"/>
      <w:r w:rsidRPr="00427FCF">
        <w:rPr>
          <w:iCs/>
          <w:lang w:val="en-US"/>
        </w:rPr>
        <w:t>/</w:t>
      </w:r>
      <w:proofErr w:type="spellStart"/>
      <w:r w:rsidRPr="00427FCF">
        <w:rPr>
          <w:iCs/>
          <w:lang w:val="en-US"/>
        </w:rPr>
        <w:t>mL</w:t>
      </w:r>
      <w:proofErr w:type="spellEnd"/>
      <w:r w:rsidRPr="00427FCF">
        <w:rPr>
          <w:iCs/>
          <w:lang w:val="en-US"/>
        </w:rPr>
        <w:t xml:space="preserve"> </w:t>
      </w:r>
      <w:proofErr w:type="gramStart"/>
      <w:r w:rsidRPr="00427FCF">
        <w:rPr>
          <w:iCs/>
          <w:lang w:val="en-US"/>
        </w:rPr>
        <w:t>were</w:t>
      </w:r>
      <w:proofErr w:type="gramEnd"/>
      <w:r w:rsidRPr="00427FCF">
        <w:rPr>
          <w:iCs/>
          <w:lang w:val="en-US"/>
        </w:rPr>
        <w:t xml:space="preserve"> the essential concentrations for anchorage-dependant cells. Each pure compound was tested in triplicate together with the controls</w:t>
      </w:r>
      <w:r w:rsidRPr="00427FCF">
        <w:rPr>
          <w:lang w:val="en-US"/>
        </w:rPr>
        <w:t>.</w:t>
      </w:r>
    </w:p>
    <w:p w:rsidR="00F067D8" w:rsidRPr="00427FCF" w:rsidRDefault="00F067D8" w:rsidP="00F067D8">
      <w:pPr>
        <w:pStyle w:val="Newparagraph"/>
        <w:spacing w:line="360" w:lineRule="auto"/>
        <w:jc w:val="both"/>
        <w:rPr>
          <w:lang w:val="en-US"/>
        </w:rPr>
      </w:pPr>
      <w:r w:rsidRPr="00427FCF">
        <w:rPr>
          <w:iCs/>
          <w:lang w:val="en-US"/>
        </w:rPr>
        <w:t>After 72 h incubation at 37 °C and 5% of CO</w:t>
      </w:r>
      <w:r w:rsidRPr="00427FCF">
        <w:rPr>
          <w:iCs/>
          <w:vertAlign w:val="subscript"/>
          <w:lang w:val="en-US"/>
        </w:rPr>
        <w:t>2</w:t>
      </w:r>
      <w:r w:rsidRPr="00427FCF">
        <w:rPr>
          <w:iCs/>
          <w:lang w:val="en-US"/>
        </w:rPr>
        <w:t xml:space="preserve">, MTT solution (20 </w:t>
      </w:r>
      <w:proofErr w:type="spellStart"/>
      <w:r w:rsidRPr="00427FCF">
        <w:rPr>
          <w:iCs/>
          <w:lang w:val="en-US"/>
        </w:rPr>
        <w:t>μL</w:t>
      </w:r>
      <w:proofErr w:type="spellEnd"/>
      <w:r w:rsidRPr="00427FCF">
        <w:rPr>
          <w:iCs/>
          <w:lang w:val="en-US"/>
        </w:rPr>
        <w:t xml:space="preserve">) was added into all the filled wells and incubated again for 3 h. The plate was spun at 1500 rpm for 10 minutes followed by discarding approximately 80% of the supernatant carefully. The volume of supernatant discarded was the same as the volume of DMSO added into the wells. The absorbance of each well was determined by a </w:t>
      </w:r>
      <w:proofErr w:type="spellStart"/>
      <w:r w:rsidRPr="00427FCF">
        <w:rPr>
          <w:iCs/>
          <w:lang w:val="en-US"/>
        </w:rPr>
        <w:t>microplate</w:t>
      </w:r>
      <w:proofErr w:type="spellEnd"/>
      <w:r w:rsidRPr="00427FCF">
        <w:rPr>
          <w:iCs/>
          <w:lang w:val="en-US"/>
        </w:rPr>
        <w:t xml:space="preserve"> reader at 550 nm after the purple crystal </w:t>
      </w:r>
      <w:proofErr w:type="spellStart"/>
      <w:r w:rsidRPr="00427FCF">
        <w:rPr>
          <w:iCs/>
          <w:lang w:val="en-US"/>
        </w:rPr>
        <w:t>formazan</w:t>
      </w:r>
      <w:proofErr w:type="spellEnd"/>
      <w:r w:rsidRPr="00427FCF">
        <w:rPr>
          <w:iCs/>
          <w:lang w:val="en-US"/>
        </w:rPr>
        <w:t xml:space="preserve"> fully dissolved in DMSO. Three independent experiments for both suspension and anchorage-dependant cell lines were conducted. The average absorbance values were used in the calculation of percentage cell viability. The cytotoxicity index used was IC</w:t>
      </w:r>
      <w:r w:rsidRPr="00427FCF">
        <w:rPr>
          <w:iCs/>
          <w:vertAlign w:val="subscript"/>
          <w:lang w:val="en-US"/>
        </w:rPr>
        <w:t>50</w:t>
      </w:r>
      <w:r w:rsidRPr="00427FCF">
        <w:rPr>
          <w:iCs/>
          <w:lang w:val="en-US"/>
        </w:rPr>
        <w:t>, which is the concentration that yields 50% inhibition of the cell compared with the untreated control</w:t>
      </w:r>
      <w:r w:rsidRPr="00427FCF">
        <w:rPr>
          <w:lang w:val="en-US"/>
        </w:rPr>
        <w:t>.</w:t>
      </w:r>
    </w:p>
    <w:p w:rsidR="00F067D8" w:rsidRPr="00741D30" w:rsidRDefault="00F067D8" w:rsidP="00F067D8">
      <w:pPr>
        <w:pStyle w:val="Acknowledgements"/>
        <w:jc w:val="both"/>
        <w:rPr>
          <w:b/>
          <w:sz w:val="24"/>
          <w:lang w:val="en-US"/>
        </w:rPr>
      </w:pPr>
    </w:p>
    <w:p w:rsidR="006C12E8" w:rsidRPr="00F067D8" w:rsidRDefault="006C12E8" w:rsidP="00F067D8"/>
    <w:sectPr w:rsidR="006C12E8" w:rsidRPr="00F067D8" w:rsidSect="00504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067D8"/>
    <w:rsid w:val="001E6746"/>
    <w:rsid w:val="003F7303"/>
    <w:rsid w:val="00504289"/>
    <w:rsid w:val="00675D27"/>
    <w:rsid w:val="006C12E8"/>
    <w:rsid w:val="00917892"/>
    <w:rsid w:val="00B704E0"/>
    <w:rsid w:val="00D35674"/>
    <w:rsid w:val="00F0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067D8"/>
    <w:pPr>
      <w:keepNext/>
      <w:spacing w:before="240" w:after="60"/>
      <w:outlineLvl w:val="0"/>
    </w:pPr>
    <w:rPr>
      <w:rFonts w:cs="Arial"/>
      <w:b/>
      <w:bCs/>
      <w:kern w:val="32"/>
      <w:szCs w:val="32"/>
    </w:rPr>
  </w:style>
  <w:style w:type="paragraph" w:styleId="Heading2">
    <w:name w:val="heading 2"/>
    <w:basedOn w:val="Normal"/>
    <w:next w:val="Normal"/>
    <w:link w:val="Heading2Char"/>
    <w:qFormat/>
    <w:rsid w:val="00F067D8"/>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7D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F067D8"/>
    <w:rPr>
      <w:rFonts w:ascii="Times New Roman" w:eastAsia="Times New Roman" w:hAnsi="Times New Roman" w:cs="Arial"/>
      <w:b/>
      <w:bCs/>
      <w:i/>
      <w:iCs/>
      <w:sz w:val="24"/>
      <w:szCs w:val="28"/>
      <w:lang w:val="en-GB" w:eastAsia="en-GB"/>
    </w:rPr>
  </w:style>
  <w:style w:type="paragraph" w:customStyle="1" w:styleId="Acknowledgements">
    <w:name w:val="Acknowledgements"/>
    <w:basedOn w:val="Normal"/>
    <w:next w:val="Normal"/>
    <w:qFormat/>
    <w:rsid w:val="00F067D8"/>
    <w:rPr>
      <w:sz w:val="20"/>
    </w:rPr>
  </w:style>
  <w:style w:type="paragraph" w:customStyle="1" w:styleId="Paragraph">
    <w:name w:val="Paragraph"/>
    <w:basedOn w:val="Normal"/>
    <w:next w:val="Newparagraph"/>
    <w:qFormat/>
    <w:rsid w:val="00F067D8"/>
    <w:pPr>
      <w:widowControl w:val="0"/>
      <w:spacing w:before="240" w:line="480" w:lineRule="auto"/>
    </w:pPr>
  </w:style>
  <w:style w:type="paragraph" w:customStyle="1" w:styleId="Newparagraph">
    <w:name w:val="New paragraph"/>
    <w:basedOn w:val="Normal"/>
    <w:qFormat/>
    <w:rsid w:val="00F067D8"/>
    <w:pPr>
      <w:spacing w:line="480" w:lineRule="auto"/>
      <w:ind w:firstLine="720"/>
    </w:pPr>
  </w:style>
  <w:style w:type="paragraph" w:customStyle="1" w:styleId="Articletitle">
    <w:name w:val="Article title"/>
    <w:basedOn w:val="Normal"/>
    <w:next w:val="Normal"/>
    <w:rsid w:val="00917892"/>
    <w:rPr>
      <w:b/>
      <w:sz w:val="28"/>
    </w:rPr>
  </w:style>
  <w:style w:type="paragraph" w:customStyle="1" w:styleId="Authornames">
    <w:name w:val="Author names"/>
    <w:basedOn w:val="Normal"/>
    <w:next w:val="Normal"/>
    <w:rsid w:val="00917892"/>
    <w:rPr>
      <w:sz w:val="28"/>
    </w:rPr>
  </w:style>
  <w:style w:type="paragraph" w:customStyle="1" w:styleId="Affiliation">
    <w:name w:val="Affiliation"/>
    <w:basedOn w:val="Normal"/>
    <w:next w:val="Normal"/>
    <w:rsid w:val="00917892"/>
    <w:rPr>
      <w:i/>
    </w:rPr>
  </w:style>
  <w:style w:type="paragraph" w:customStyle="1" w:styleId="Correspondencedetails">
    <w:name w:val="Correspondence details"/>
    <w:basedOn w:val="Normal"/>
    <w:next w:val="Normal"/>
    <w:rsid w:val="00917892"/>
  </w:style>
  <w:style w:type="paragraph" w:customStyle="1" w:styleId="Abstract">
    <w:name w:val="Abstract"/>
    <w:basedOn w:val="Normal"/>
    <w:next w:val="Normal"/>
    <w:rsid w:val="00917892"/>
    <w:pPr>
      <w:ind w:left="567" w:right="567"/>
    </w:pPr>
    <w:rPr>
      <w:sz w:val="20"/>
    </w:rPr>
  </w:style>
  <w:style w:type="paragraph" w:customStyle="1" w:styleId="Keywords">
    <w:name w:val="Keywords"/>
    <w:basedOn w:val="Normal"/>
    <w:next w:val="Normal"/>
    <w:rsid w:val="003F7303"/>
    <w:pPr>
      <w:ind w:left="567"/>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067D8"/>
    <w:pPr>
      <w:keepNext/>
      <w:spacing w:before="240" w:after="60"/>
      <w:outlineLvl w:val="0"/>
    </w:pPr>
    <w:rPr>
      <w:rFonts w:cs="Arial"/>
      <w:b/>
      <w:bCs/>
      <w:kern w:val="32"/>
      <w:szCs w:val="32"/>
    </w:rPr>
  </w:style>
  <w:style w:type="paragraph" w:styleId="Heading2">
    <w:name w:val="heading 2"/>
    <w:basedOn w:val="Normal"/>
    <w:next w:val="Normal"/>
    <w:link w:val="Heading2Char"/>
    <w:qFormat/>
    <w:rsid w:val="00F067D8"/>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7D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F067D8"/>
    <w:rPr>
      <w:rFonts w:ascii="Times New Roman" w:eastAsia="Times New Roman" w:hAnsi="Times New Roman" w:cs="Arial"/>
      <w:b/>
      <w:bCs/>
      <w:i/>
      <w:iCs/>
      <w:sz w:val="24"/>
      <w:szCs w:val="28"/>
      <w:lang w:val="en-GB" w:eastAsia="en-GB"/>
    </w:rPr>
  </w:style>
  <w:style w:type="paragraph" w:customStyle="1" w:styleId="Acknowledgements">
    <w:name w:val="Acknowledgements"/>
    <w:basedOn w:val="Normal"/>
    <w:next w:val="Normal"/>
    <w:qFormat/>
    <w:rsid w:val="00F067D8"/>
    <w:rPr>
      <w:sz w:val="20"/>
    </w:rPr>
  </w:style>
  <w:style w:type="paragraph" w:customStyle="1" w:styleId="Paragraph">
    <w:name w:val="Paragraph"/>
    <w:basedOn w:val="Normal"/>
    <w:next w:val="Newparagraph"/>
    <w:qFormat/>
    <w:rsid w:val="00F067D8"/>
    <w:pPr>
      <w:widowControl w:val="0"/>
      <w:spacing w:before="240" w:line="480" w:lineRule="auto"/>
    </w:pPr>
  </w:style>
  <w:style w:type="paragraph" w:customStyle="1" w:styleId="Newparagraph">
    <w:name w:val="New paragraph"/>
    <w:basedOn w:val="Normal"/>
    <w:qFormat/>
    <w:rsid w:val="00F067D8"/>
    <w:pPr>
      <w:spacing w:line="480" w:lineRule="auto"/>
      <w:ind w:firstLine="720"/>
    </w:pPr>
  </w:style>
  <w:style w:type="paragraph" w:customStyle="1" w:styleId="Articletitle">
    <w:name w:val="Article title"/>
    <w:basedOn w:val="Normal"/>
    <w:next w:val="Normal"/>
    <w:rsid w:val="00917892"/>
    <w:rPr>
      <w:b/>
      <w:sz w:val="28"/>
    </w:rPr>
  </w:style>
  <w:style w:type="paragraph" w:customStyle="1" w:styleId="Authornames">
    <w:name w:val="Author names"/>
    <w:basedOn w:val="Normal"/>
    <w:next w:val="Normal"/>
    <w:rsid w:val="00917892"/>
    <w:rPr>
      <w:sz w:val="28"/>
    </w:rPr>
  </w:style>
  <w:style w:type="paragraph" w:customStyle="1" w:styleId="Affiliation">
    <w:name w:val="Affiliation"/>
    <w:basedOn w:val="Normal"/>
    <w:next w:val="Normal"/>
    <w:rsid w:val="00917892"/>
    <w:rPr>
      <w:i/>
    </w:rPr>
  </w:style>
  <w:style w:type="paragraph" w:customStyle="1" w:styleId="Correspondencedetails">
    <w:name w:val="Correspondence details"/>
    <w:basedOn w:val="Normal"/>
    <w:next w:val="Normal"/>
    <w:rsid w:val="00917892"/>
  </w:style>
  <w:style w:type="paragraph" w:customStyle="1" w:styleId="Abstract">
    <w:name w:val="Abstract"/>
    <w:basedOn w:val="Normal"/>
    <w:next w:val="Normal"/>
    <w:rsid w:val="00917892"/>
    <w:pPr>
      <w:ind w:left="567" w:right="567"/>
    </w:pPr>
    <w:rPr>
      <w:sz w:val="20"/>
    </w:rPr>
  </w:style>
  <w:style w:type="paragraph" w:customStyle="1" w:styleId="Keywords">
    <w:name w:val="Keywords"/>
    <w:basedOn w:val="Normal"/>
    <w:next w:val="Normal"/>
    <w:rsid w:val="003F7303"/>
    <w:pPr>
      <w:ind w:left="567"/>
    </w:pPr>
    <w:rPr>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2014-08-28T13:21:00Z</dcterms:created>
  <dcterms:modified xsi:type="dcterms:W3CDTF">2014-08-28T13:21:00Z</dcterms:modified>
</cp:coreProperties>
</file>