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PLACE EFFECT: MOTOR, COGNITIVE AND SELF CONFIDENCE BEHAVIORS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Professor Dr.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NaveedShiblipsa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PhD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Head Department of Psychology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Riphah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International University Faisalabad Pakistan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thedailyeasyenglish@yahoo.com</w:t>
      </w:r>
    </w:p>
    <w:p w:rsidR="00C71330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3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FarihaZahid</w:t>
      </w:r>
      <w:proofErr w:type="spellEnd"/>
    </w:p>
    <w:p w:rsidR="00C71330" w:rsidRPr="00AB38A4" w:rsidRDefault="00C71330" w:rsidP="00C71330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Clinical Psychologist</w:t>
      </w:r>
    </w:p>
    <w:p w:rsidR="00C71330" w:rsidRPr="00AB38A4" w:rsidRDefault="005B17BC" w:rsidP="00C713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1330" w:rsidRPr="00AB38A4">
          <w:rPr>
            <w:rStyle w:val="Hyperlink"/>
            <w:rFonts w:ascii="Times New Roman" w:hAnsi="Times New Roman" w:cs="Times New Roman"/>
            <w:sz w:val="24"/>
            <w:szCs w:val="24"/>
          </w:rPr>
          <w:t>farihazahid504@gmail.com</w:t>
        </w:r>
      </w:hyperlink>
    </w:p>
    <w:p w:rsidR="00C71330" w:rsidRPr="00286BCE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Abstract</w:t>
      </w:r>
    </w:p>
    <w:p w:rsidR="00C71330" w:rsidRPr="00C72B76" w:rsidRDefault="00C71330" w:rsidP="00C71330">
      <w:pPr>
        <w:spacing w:line="480" w:lineRule="auto"/>
        <w:jc w:val="both"/>
        <w:rPr>
          <w:sz w:val="24"/>
          <w:szCs w:val="24"/>
        </w:rPr>
      </w:pPr>
      <w:r w:rsidRPr="00C72B76">
        <w:rPr>
          <w:rFonts w:ascii="Times New Roman" w:hAnsi="Times New Roman" w:cs="Times New Roman"/>
          <w:sz w:val="24"/>
          <w:szCs w:val="24"/>
          <w:shd w:val="clear" w:color="auto" w:fill="FFFFFF"/>
        </w:rPr>
        <w:t>Human beings live in various places. Place affects human being. A few experiments were conducted on 200 students, including 100 male and 100 female. Participants were the students of a selected school. Place effect on participants’ motor, cognitive behaviors and academic confidence studied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subjects were divided into two groups. Group-A was consisted of students those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school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more than 5 years, whereas in group-B students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less than 5 years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stay in the school</w:t>
      </w:r>
      <w:r w:rsidR="00CD279C" w:rsidRPr="00CD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79C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CD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It was assumed that duration as stay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school representing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place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 may provide some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link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Following instruments were used;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Taping Board (Electronic)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trails 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both groups as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 performance, Star Mirror Drawing (Electronics)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preferred hand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both groups for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transfer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cognition and </w:t>
      </w:r>
      <w:r w:rsidRPr="0026452C">
        <w:rPr>
          <w:rFonts w:ascii="Times New Roman" w:hAnsi="Times New Roman" w:cs="Times New Roman"/>
          <w:sz w:val="24"/>
          <w:szCs w:val="24"/>
        </w:rPr>
        <w:t>Academic Self-efficacy Scale for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F1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groups for academic</w:t>
      </w:r>
      <w:r w:rsidRPr="0026452C">
        <w:rPr>
          <w:rFonts w:ascii="Times New Roman" w:hAnsi="Times New Roman" w:cs="Times New Roman"/>
          <w:sz w:val="24"/>
          <w:szCs w:val="24"/>
        </w:rPr>
        <w:t xml:space="preserve"> confidence</w:t>
      </w:r>
      <w:r>
        <w:rPr>
          <w:rFonts w:ascii="Times New Roman" w:hAnsi="Times New Roman" w:cs="Times New Roman"/>
          <w:sz w:val="24"/>
          <w:szCs w:val="24"/>
        </w:rPr>
        <w:t xml:space="preserve"> implied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similar controlled conditions.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</w:rPr>
        <w:t xml:space="preserve">The results provided useful significant information </w:t>
      </w:r>
      <w:r>
        <w:rPr>
          <w:rFonts w:ascii="Times New Roman" w:hAnsi="Times New Roman" w:cs="Times New Roman"/>
          <w:sz w:val="24"/>
          <w:szCs w:val="24"/>
        </w:rPr>
        <w:t xml:space="preserve">about the place </w:t>
      </w:r>
      <w:r w:rsidRPr="0026452C">
        <w:rPr>
          <w:rFonts w:ascii="Times New Roman" w:hAnsi="Times New Roman" w:cs="Times New Roman"/>
          <w:sz w:val="24"/>
          <w:szCs w:val="24"/>
        </w:rPr>
        <w:t>effect; some emic proposition regarding gender also emerged. More studies recommended.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b/>
          <w:sz w:val="24"/>
          <w:szCs w:val="24"/>
        </w:rPr>
        <w:t>Keywords</w:t>
      </w:r>
      <w:r w:rsidRPr="0026452C">
        <w:rPr>
          <w:rFonts w:ascii="Times New Roman" w:hAnsi="Times New Roman" w:cs="Times New Roman"/>
          <w:sz w:val="24"/>
          <w:szCs w:val="24"/>
        </w:rPr>
        <w:t>: Place Effect, Motor, Cognition,</w:t>
      </w:r>
      <w:r w:rsidR="00F12AB0">
        <w:rPr>
          <w:rFonts w:ascii="Times New Roman" w:hAnsi="Times New Roman" w:cs="Times New Roman"/>
          <w:sz w:val="24"/>
          <w:szCs w:val="24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52C">
        <w:rPr>
          <w:rFonts w:ascii="Times New Roman" w:hAnsi="Times New Roman" w:cs="Times New Roman"/>
          <w:sz w:val="24"/>
          <w:szCs w:val="24"/>
        </w:rPr>
        <w:t xml:space="preserve"> Confidence 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Introduction 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The place is important in human presence because ‘situational forces’ present in the situation influence behaviors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Zimbardo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2011). Place is a bond (Hernández, Hidalgo, Salazar-Laplace &amp; Hess, 2007) that is related with  identity and is important in 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tachment (Grey &amp; O’Toole, 2018)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because it is related with emotions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Manzo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1995) therefore separation from a place is noticed (Chow &amp; Healey, 2008).Place influences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behaviors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place attachment and the sense of belongingness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Inalhan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Finch, 2004).Experience of place influences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process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of identification because situation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adds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into self-value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Richeson&amp;Ambady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2003) and is related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the development of emotional bond with the place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Broto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Burningham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Carter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Elghali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2010) therefore place attachment has consequences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Carrus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Scopelliti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Fornara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Bonnes&amp;Bonaiuto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2014).It is because of such importance of place attachment that its role in various industries 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valued</w:t>
      </w:r>
      <w:r w:rsidR="00C14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various reasons like tourism marketing (Tsai, 2012a: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Hallak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Brown&amp; Lindsay, 2013).Place attachment</w:t>
      </w:r>
      <w:r w:rsidR="00C14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therefore is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importance in social sciences and psychology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rated as an important construct and concept (Low&amp; Altman, 1992).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Place attachment influences school performance (Moss&amp; St-Laurent, 2001) because “situational effects” are present in school situations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Schraw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Flowerday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Lehman, 2001). It was reported that situational influences and interests are related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4B33E5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knowledge acquisition in school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Rotgans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Schmidt, 2014a)and</w:t>
      </w:r>
      <w:r w:rsidR="004B3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influence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process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of learning in the classroom, academic achievements and interests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Rotgans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Schmidt, 2011).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Motor behavior is a lifelong process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Gabbard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1992), a constituent of human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physiology</w:t>
      </w:r>
      <w:r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it</w:t>
      </w:r>
      <w:r w:rsidR="004B33E5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encompasses all activities of human presence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Cratty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1967). Activity is related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cognitive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function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Weuve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Kang, Manson,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Breteler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Ware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Grodstein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2004) and cognition is a well-defined construct (Varela, Thompson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Rosch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2017).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Attachment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Bowlby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1978) is a known behavior in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variety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of human behaviors and remains side by side in the process of human development (Cassidy &amp; Shaver (2002). The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importance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of attachment is known as a ‘motivational strength’ as motive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Bretherton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1985).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 a study it was found that situations, “present” and “created” can influence the behaviors of the students studying in a school (Tsai,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counter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Lüdtke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Trautwein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Ryan, 2008). It was also found that, ‘lateral’ relationship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an industry influences work outcomes as well as work attitudes and effectiveness of employees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Chiaburu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Harrison2008).Moreover ‘situational optimism’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found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related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4B33E5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Nonis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Wright, 2003)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‘effect on others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and estimates about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human acts (Gunther, 1991). Furthermore, success expectancy is related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performance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Durik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Shechter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Noh,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Rozek&amp;Harackiewicz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2015) and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role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of situational optimism is there in students’ performance outcomes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Nonis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&amp; Wright, 2003).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It was therefore assumed that the possibility does exist that students’ studying is a school for less than five years may behave differently on cognitive and motor devices,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because of</w:t>
      </w:r>
      <w:r w:rsidR="004B3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possible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belongingness,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be due to their feel to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 on others,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own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estimates about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influence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others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association difference with the place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possibility of this whole situation as ‘place effect’ that could influence the participants’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scores 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given instrument?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2C">
        <w:rPr>
          <w:rFonts w:ascii="Times New Roman" w:hAnsi="Times New Roman" w:cs="Times New Roman"/>
          <w:b/>
          <w:sz w:val="24"/>
          <w:szCs w:val="24"/>
        </w:rPr>
        <w:t>Method and Procedure</w:t>
      </w:r>
    </w:p>
    <w:p w:rsidR="00C71330" w:rsidRDefault="00375D2D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obtaining approval from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Riphah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Ethics Committee and informed consent by the participants, 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>200 students studying in a selected school were studied in the present work; these students included 100 boys and 100 girls. The participants were divided into two groups having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330"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equal number of students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girls and 50 boys in each. In group A 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>(that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represented the long stay of the students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>in the school that was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>more than five years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>, or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 place effect possibility)</w:t>
      </w:r>
      <w:r w:rsidR="005B17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>The group B (represented the less stay of the students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330">
        <w:rPr>
          <w:rFonts w:ascii="Times New Roman" w:hAnsi="Times New Roman" w:cs="Times New Roman"/>
          <w:sz w:val="24"/>
          <w:szCs w:val="24"/>
          <w:shd w:val="clear" w:color="auto" w:fill="FFFFFF"/>
        </w:rPr>
        <w:t>less than five years in the school or less place effect possibility group).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participants of </w:t>
      </w:r>
      <w:r w:rsidRPr="0026452C">
        <w:rPr>
          <w:rFonts w:ascii="Times New Roman" w:hAnsi="Times New Roman" w:cs="Times New Roman"/>
          <w:sz w:val="24"/>
          <w:szCs w:val="24"/>
        </w:rPr>
        <w:t>both groups in a</w:t>
      </w:r>
      <w:r>
        <w:rPr>
          <w:rFonts w:ascii="Times New Roman" w:hAnsi="Times New Roman" w:cs="Times New Roman"/>
          <w:sz w:val="24"/>
          <w:szCs w:val="24"/>
        </w:rPr>
        <w:t xml:space="preserve"> similar</w:t>
      </w:r>
      <w:r w:rsidRPr="0026452C">
        <w:rPr>
          <w:rFonts w:ascii="Times New Roman" w:hAnsi="Times New Roman" w:cs="Times New Roman"/>
          <w:sz w:val="24"/>
          <w:szCs w:val="24"/>
        </w:rPr>
        <w:t xml:space="preserve"> standardized control condition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26452C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tested and </w:t>
      </w:r>
      <w:r w:rsidRPr="0026452C">
        <w:rPr>
          <w:rFonts w:ascii="Times New Roman" w:hAnsi="Times New Roman" w:cs="Times New Roman"/>
          <w:sz w:val="24"/>
          <w:szCs w:val="24"/>
        </w:rPr>
        <w:t>administered the following psychological instruments/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26452C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with a pre-supposed criterion for performance assessment for all respondents</w:t>
      </w:r>
      <w:r w:rsidRPr="0026452C">
        <w:rPr>
          <w:rFonts w:ascii="Times New Roman" w:hAnsi="Times New Roman" w:cs="Times New Roman"/>
          <w:sz w:val="24"/>
          <w:szCs w:val="24"/>
        </w:rPr>
        <w:t>.</w:t>
      </w:r>
    </w:p>
    <w:p w:rsidR="00C71330" w:rsidRPr="0026452C" w:rsidRDefault="00C71330" w:rsidP="00C713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Tapping Board (Electronic)</w:t>
      </w:r>
      <w:r>
        <w:rPr>
          <w:rFonts w:ascii="Times New Roman" w:hAnsi="Times New Roman" w:cs="Times New Roman"/>
          <w:sz w:val="24"/>
          <w:szCs w:val="24"/>
        </w:rPr>
        <w:t xml:space="preserve"> (Ten Trails each with preferred hand)</w:t>
      </w:r>
    </w:p>
    <w:p w:rsidR="00C71330" w:rsidRPr="00A570C7" w:rsidRDefault="00C71330" w:rsidP="00C713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Mirror Drawing Apparatus (Electronic)</w:t>
      </w:r>
      <w:r>
        <w:rPr>
          <w:rFonts w:ascii="Times New Roman" w:hAnsi="Times New Roman" w:cs="Times New Roman"/>
          <w:sz w:val="24"/>
          <w:szCs w:val="24"/>
        </w:rPr>
        <w:t>(Ten Trails each with preferred hand)</w:t>
      </w:r>
    </w:p>
    <w:p w:rsidR="00C71330" w:rsidRPr="0026452C" w:rsidRDefault="00C71330" w:rsidP="00C713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Academic Self-efficacy Scale (</w:t>
      </w:r>
      <w:proofErr w:type="spellStart"/>
      <w:r w:rsidRPr="0026452C">
        <w:rPr>
          <w:rFonts w:ascii="Times New Roman" w:hAnsi="Times New Roman" w:cs="Times New Roman"/>
          <w:sz w:val="24"/>
          <w:szCs w:val="24"/>
        </w:rPr>
        <w:t>Gafoor</w:t>
      </w:r>
      <w:proofErr w:type="spellEnd"/>
      <w:r w:rsidRPr="0026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</w:rPr>
        <w:t>Kunnathodi</w:t>
      </w:r>
      <w:proofErr w:type="spellEnd"/>
      <w:r w:rsidRPr="0026452C">
        <w:rPr>
          <w:rFonts w:ascii="Times New Roman" w:hAnsi="Times New Roman" w:cs="Times New Roman"/>
          <w:sz w:val="24"/>
          <w:szCs w:val="24"/>
        </w:rPr>
        <w:t xml:space="preserve">&amp; Ashraf, 2007).  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The responses of the subjects on the instruments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measure, gained and measured in the same sequence, similar duration and performance mode for all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considered as motor, cognitive and academic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responses</w:t>
      </w:r>
      <w:r w:rsidR="00F12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compared and assessed for results and conclusions.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2C">
        <w:rPr>
          <w:rFonts w:ascii="Times New Roman" w:hAnsi="Times New Roman" w:cs="Times New Roman"/>
          <w:b/>
          <w:sz w:val="24"/>
          <w:szCs w:val="24"/>
        </w:rPr>
        <w:t xml:space="preserve">Results and Conclusions </w:t>
      </w:r>
    </w:p>
    <w:p w:rsidR="00C71330" w:rsidRPr="0026452C" w:rsidRDefault="00C71330" w:rsidP="00C713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 significant differences between group A and group B in academic self-confidence was noticed while the mean score of academic self-confidence was higher among group A as compared to group B, moreover, significant gender differences in situational effect were noticed(Table-1-1), situational effect was found higher among male respondents as compared to female respondents (Table 1-2) . The findings indicated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significant differences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between group A and group B in motor and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cognitive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 and transfer, the mean score of motor and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cognitive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higher among group B as compared to group A (Table-1-3). Furthermore, a significant gender difference in cognition and motor transfer was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found, whereas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mean scores of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cognition and motor transfer was significantly higher among female respondents as compared to male respondents (1-4).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2C">
        <w:rPr>
          <w:rFonts w:ascii="Times New Roman" w:hAnsi="Times New Roman" w:cs="Times New Roman"/>
          <w:b/>
          <w:sz w:val="24"/>
          <w:szCs w:val="24"/>
        </w:rPr>
        <w:t>Discussion and Conclusion</w:t>
      </w:r>
    </w:p>
    <w:p w:rsidR="00C71330" w:rsidRPr="0026452C" w:rsidRDefault="00C71330" w:rsidP="00C713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study reflected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an interesting finding that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stay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 an academic institution positively influences confidence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perhaps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because of past success remembrance associated with the place or other association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related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the place or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belonging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to the place (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Voelkl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1997: Nichols, 2008: Van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Ryzin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Gravely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Roseth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2009).</w:t>
      </w:r>
    </w:p>
    <w:p w:rsidR="00C71330" w:rsidRPr="0026452C" w:rsidRDefault="00C71330" w:rsidP="00C713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Emic proposition emerged regarding the role of gender difference role in situational effect that was high among male as compared with female as reported by (Sánchez, Colón &amp; Esparza, 2005).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came in light that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belonging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to an educational institution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positively contribute</w:t>
      </w:r>
      <w:r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towards the development of better motor and cognitive capacity necessary 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5B1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normal growth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person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; interestingly such was more visible among girls (Cornell, Callahan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Loyd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1991). Moreover, an interesting finding regarding the motor and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cognitive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growth with reference to school situational effect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 emerged tha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was found higher among female. Since only focused associations were focused therefore the intervention possibilities of other variables was possible, however, overall results are informing and more 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context studies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could bring in better awareness. 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52C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Bowlby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(1978).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Attachment theory and its therapeutic implications.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Adolescent psychiatry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Broto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C.,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Burningham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K., Carter, C.,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Elghali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L. (2010).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Stigma and attachment: performance of identity in an environmentally degraded place.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Society and Natural Resources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(10), 952-968.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Bretherton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I. (1985). Attachment theory: Retrospect and prospect.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Monographs of the society for research in child development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50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(1-2), 3-35.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Cassidy, J., &amp; Shaver, P. R. (Eds.).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(2002).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Handbook of attachment: Theory, research, and clinical applications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Rough Guides.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Carrus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Scopelliti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Fornara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Bonnes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M.,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Bonaiuto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M. (2014).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 attachment, community identification, and pro-environmental engagement.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Place attachment. Advances in theory, methods and applications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154-164.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Chiaburu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D. S., &amp; Harrison, D. A. (2008).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peers make the place?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Conceptual synthesis and meta-analysis of coworker effects on perceptions, attitudes, OCBs, and performance.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Applied Psychology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93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(5), 1082.</w:t>
      </w:r>
      <w:proofErr w:type="gramEnd"/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Chow, K., &amp; Healey, M. (2008).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 attachment and place identity: First-year undergraduates making the transition from home to university.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Environmental Psychology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(4), 362-372.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Clark, J. E., &amp; Metcalfe, J. S. (2002).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mountain of motor development: A metaphor.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Motor development: Research and reviews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(163-190), 183-202.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Cratty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J. (1967).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Movement behavior and motor learning.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Cornell, D. G., Callahan, C. M.,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Loyd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B. H. (1991). Personality growth of female early college entrants: A controlled, prospective study.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Gifted Child Quarterly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35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(3), 135-143.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Durik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M.,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Shechter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G., Noh, M.,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Rozek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C. S.,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Harackiewicz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J. M. (2015).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 if I can’t? Success expectancies moderate the effects of utility value information on situational interest and performance.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Motivation and Emotion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(1), 104-118.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Gabbard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C. (1992).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Lifelong motor development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(pp. 259-275).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Madison, WI: Brown &amp; Benchmark.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Gafoor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Kunnathodi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Ashraf,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Muhammed</w:t>
      </w:r>
      <w:proofErr w:type="spellEnd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2007).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Academic Self Efficacy Scale.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10.13140/RG.2.1.3930.2640.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Grey, C., &amp; O’Toole, M. (2018).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Placing of Identity and the Identification of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Place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:“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Place-Identity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in Community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Lifeboating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Management Inquiry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1056492618768696.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Gunther, A. (1991). What we think others think: Cause and consequence in the third-person effect.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Communication Research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(3), 355-372.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Hallak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R., Brown, G., &amp; Lindsay, N. J. (2013).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Examining tourism SME owners’ place attachment, support for community and business performance: the role of the enlightened self-interest model.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Sustainable Tourism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(5), 658-678.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Hernández, B., Hidalgo, M. C., Salazar-Laplace, M. E., &amp; Hess, S. (2007). Place attachment and place identity in natives and non-natives.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environmental psychology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27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(4), 310-319.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Inalhan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G., &amp; Finch, E. (2004).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 attachment and sense of belonging.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Facilities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(5/6), 120-128.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Low, S. M., &amp; Altman, I. (1992).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 attachment.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Place attachment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(pp. 1-12).Springer, Boston, MA.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Manzo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L. C. (1995). Relationships to non-residential places: Towards a reconceptualization of attachment to place.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Moss, E., &amp; St-Laurent, D. (2001).Attachment at school age and academic performance.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Developmental psychology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37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(6), 863.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Nichols, S. L. (2008).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An exploration of students' belongingness beliefs in one middle school.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Experimental Education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76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(2), 145-169.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Nonis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S. A., &amp; Wright, D. (2003).Moderating effects of achievement striving and situational optimism on the relationship between ability and performance outcomes of college students.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 in Higher Education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44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(3), 327-346.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Richeson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J. A.,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(2003).Effects of situational power on automatic racial prejudice.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Experimental Social Psychology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(2), 177-183.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Rotgans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J. I., &amp; Schmidt, H. G. (2011).Situational interest and academic achievement in the active-learning classroom.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Learning and Instruction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(1), 58-67.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Rotgans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J. I., &amp; Schmidt, H. G. (2014a).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Situational interest and learning: Thirst for knowledge.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Learning and Instruction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37-50.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Sánchez, B., Colón, Y., &amp; Esparza, P. (2005).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role of sense of school belonging and gender in the academic adjustment of Latino adolescents.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youth and Adolescence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(6), 619-628.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Schraw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Flowerday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&amp; Lehman, S. (2001).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Increasing situational interest in the classroom.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Educational Psychology Review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(3), 211-224.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Tsai, S. P. (2012a). Place attachment and tourism marketing: Investigating international tourists in Singapore.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Tourism Research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(2), 139-152.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52C">
        <w:rPr>
          <w:rFonts w:ascii="Times New Roman" w:eastAsia="Times New Roman" w:hAnsi="Times New Roman" w:cs="Times New Roman"/>
          <w:sz w:val="24"/>
          <w:szCs w:val="24"/>
        </w:rPr>
        <w:t xml:space="preserve">Tsai, Y.-M., </w:t>
      </w:r>
      <w:proofErr w:type="spellStart"/>
      <w:r w:rsidRPr="0026452C">
        <w:rPr>
          <w:rFonts w:ascii="Times New Roman" w:eastAsia="Times New Roman" w:hAnsi="Times New Roman" w:cs="Times New Roman"/>
          <w:sz w:val="24"/>
          <w:szCs w:val="24"/>
        </w:rPr>
        <w:t>Kunter</w:t>
      </w:r>
      <w:proofErr w:type="spellEnd"/>
      <w:r w:rsidRPr="0026452C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6452C">
        <w:rPr>
          <w:rFonts w:ascii="Times New Roman" w:eastAsia="Times New Roman" w:hAnsi="Times New Roman" w:cs="Times New Roman"/>
          <w:sz w:val="24"/>
          <w:szCs w:val="24"/>
        </w:rPr>
        <w:t>Lüdtke</w:t>
      </w:r>
      <w:proofErr w:type="spellEnd"/>
      <w:r w:rsidRPr="0026452C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26452C">
        <w:rPr>
          <w:rFonts w:ascii="Times New Roman" w:eastAsia="Times New Roman" w:hAnsi="Times New Roman" w:cs="Times New Roman"/>
          <w:sz w:val="24"/>
          <w:szCs w:val="24"/>
        </w:rPr>
        <w:t>Trautwein</w:t>
      </w:r>
      <w:proofErr w:type="spellEnd"/>
      <w:r w:rsidRPr="0026452C">
        <w:rPr>
          <w:rFonts w:ascii="Times New Roman" w:eastAsia="Times New Roman" w:hAnsi="Times New Roman" w:cs="Times New Roman"/>
          <w:sz w:val="24"/>
          <w:szCs w:val="24"/>
        </w:rPr>
        <w:t>, U., &amp; Ryan, R. M. (2008).</w:t>
      </w:r>
      <w:proofErr w:type="gramEnd"/>
      <w:r w:rsidRPr="0026452C">
        <w:rPr>
          <w:rFonts w:ascii="Times New Roman" w:eastAsia="Times New Roman" w:hAnsi="Times New Roman" w:cs="Times New Roman"/>
          <w:sz w:val="24"/>
          <w:szCs w:val="24"/>
        </w:rPr>
        <w:t xml:space="preserve"> What makes lessons interesting? </w:t>
      </w:r>
      <w:proofErr w:type="gramStart"/>
      <w:r w:rsidRPr="0026452C">
        <w:rPr>
          <w:rFonts w:ascii="Times New Roman" w:eastAsia="Times New Roman" w:hAnsi="Times New Roman" w:cs="Times New Roman"/>
          <w:sz w:val="24"/>
          <w:szCs w:val="24"/>
        </w:rPr>
        <w:t>The role of situational and individual factors in three school subjects.</w:t>
      </w:r>
      <w:proofErr w:type="gramEnd"/>
      <w:r w:rsidRPr="002645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452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Psychology, 100</w:t>
      </w:r>
      <w:r w:rsidRPr="0026452C">
        <w:rPr>
          <w:rFonts w:ascii="Times New Roman" w:eastAsia="Times New Roman" w:hAnsi="Times New Roman" w:cs="Times New Roman"/>
          <w:sz w:val="24"/>
          <w:szCs w:val="24"/>
        </w:rPr>
        <w:t>(2), 460-472.</w:t>
      </w:r>
    </w:p>
    <w:p w:rsidR="00C71330" w:rsidRPr="0026452C" w:rsidRDefault="005B17BC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C71330" w:rsidRPr="002645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http://dx.doi.org/10.1037/0022-0663.100.2.460</w:t>
        </w:r>
      </w:hyperlink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Ryzin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M. J., Gravely, A. A.,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Roseth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C. J. (2009).Autonomy, belongingness, and engagement in school as contributors to adolescent psychological well-being.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youth and adolescence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38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(1), 1-12.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Varela, F. J., Thompson, E.,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Rosch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E. (2017).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embodied mind: Cognitive science and human experience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MIT press.</w:t>
      </w:r>
      <w:proofErr w:type="gramEnd"/>
    </w:p>
    <w:p w:rsidR="00C71330" w:rsidRPr="0026452C" w:rsidRDefault="00C71330" w:rsidP="00C71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Voelkl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E. (1997).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 with school.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Journal of Education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105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(3), 294-318.</w:t>
      </w:r>
    </w:p>
    <w:p w:rsidR="00C71330" w:rsidRPr="0026452C" w:rsidRDefault="00C71330" w:rsidP="00C71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Weuve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Kang, J. H., Manson, J. E., 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Breteler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 M. M., Ware, J. H., &amp;</w:t>
      </w: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Grodstein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(2004).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Physical activity, including walking, and cognitive function in older women.</w:t>
      </w:r>
      <w:proofErr w:type="gramEnd"/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Jama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5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292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(12), 1454-1461.</w:t>
      </w:r>
    </w:p>
    <w:p w:rsidR="00C71330" w:rsidRPr="0026452C" w:rsidRDefault="00C71330" w:rsidP="00C71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Zimbardo</w:t>
      </w:r>
      <w:proofErr w:type="spell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G. (2011). </w:t>
      </w:r>
      <w:proofErr w:type="gramStart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Lucifer effect.</w:t>
      </w:r>
      <w:proofErr w:type="gramEnd"/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45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Encyclopedia of Peace Psychology</w:t>
      </w:r>
      <w:r w:rsidRPr="00264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0587D" w:rsidRDefault="0040587D" w:rsidP="0040587D">
      <w:pPr>
        <w:spacing w:after="0" w:line="48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PLACE EFFECT: MOTOR, COGNITIVE AND SELF CONFIDENCE BEHAVIORS</w:t>
      </w:r>
    </w:p>
    <w:p w:rsidR="0040587D" w:rsidRPr="00B80FCC" w:rsidRDefault="0040587D" w:rsidP="0040587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1.1</w:t>
      </w:r>
    </w:p>
    <w:p w:rsidR="0040587D" w:rsidRPr="00ED2780" w:rsidRDefault="0040587D" w:rsidP="0040587D">
      <w:pPr>
        <w:pStyle w:val="Caption"/>
        <w:rPr>
          <w:rFonts w:ascii="Times New Roman" w:hAnsi="Times New Roman" w:cs="Times New Roman"/>
          <w:b w:val="0"/>
          <w:color w:val="auto"/>
        </w:rPr>
      </w:pP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 xml:space="preserve">Comparison Group (A&amp;B)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T-t</w:t>
      </w: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>est Academic Self-Confidence</w:t>
      </w:r>
      <w:r w:rsidRPr="00ED2780">
        <w:rPr>
          <w:rStyle w:val="apple-converted-space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 </w:t>
      </w:r>
      <w:r w:rsidRPr="00ED2780">
        <w:rPr>
          <w:rStyle w:val="correction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(</w:t>
      </w: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N=200) </w:t>
      </w:r>
    </w:p>
    <w:tbl>
      <w:tblPr>
        <w:tblW w:w="8864" w:type="dxa"/>
        <w:jc w:val="center"/>
        <w:tblLayout w:type="fixed"/>
        <w:tblLook w:val="00A0" w:firstRow="1" w:lastRow="0" w:firstColumn="1" w:lastColumn="0" w:noHBand="0" w:noVBand="0"/>
      </w:tblPr>
      <w:tblGrid>
        <w:gridCol w:w="1978"/>
        <w:gridCol w:w="990"/>
        <w:gridCol w:w="985"/>
        <w:gridCol w:w="911"/>
        <w:gridCol w:w="1159"/>
        <w:gridCol w:w="720"/>
        <w:gridCol w:w="587"/>
        <w:gridCol w:w="816"/>
        <w:gridCol w:w="718"/>
      </w:tblGrid>
      <w:tr w:rsidR="0040587D" w:rsidRPr="00ED2780" w:rsidTr="000532E5">
        <w:trPr>
          <w:trHeight w:val="4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bCs/>
                <w:sz w:val="24"/>
                <w:szCs w:val="24"/>
              </w:rPr>
              <w:t>Group A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=100)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Group B 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 100)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95%CI</w:t>
            </w:r>
          </w:p>
        </w:tc>
      </w:tr>
      <w:tr w:rsidR="0040587D" w:rsidRPr="00ED2780" w:rsidTr="000532E5">
        <w:trPr>
          <w:trHeight w:val="43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</w:tr>
      <w:tr w:rsidR="0040587D" w:rsidRPr="00ED2780" w:rsidTr="000532E5">
        <w:trPr>
          <w:trHeight w:val="8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Academic Self-Confidence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121.61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119.48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</w:tbl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278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results of this table indicate</w:t>
      </w:r>
      <w:r w:rsidRPr="00ED2780">
        <w:rPr>
          <w:rFonts w:ascii="Times New Roman" w:hAnsi="Times New Roman" w:cs="Times New Roman"/>
          <w:sz w:val="24"/>
          <w:szCs w:val="24"/>
        </w:rPr>
        <w:t xml:space="preserve"> the significant differences between group A and group B in academic self-confidence. While the mean score</w:t>
      </w:r>
      <w:r>
        <w:rPr>
          <w:rFonts w:ascii="Times New Roman" w:hAnsi="Times New Roman" w:cs="Times New Roman"/>
          <w:sz w:val="24"/>
          <w:szCs w:val="24"/>
        </w:rPr>
        <w:t xml:space="preserve"> of academic self-confidence were</w:t>
      </w:r>
      <w:r w:rsidRPr="00ED2780">
        <w:rPr>
          <w:rFonts w:ascii="Times New Roman" w:hAnsi="Times New Roman" w:cs="Times New Roman"/>
          <w:sz w:val="24"/>
          <w:szCs w:val="24"/>
        </w:rPr>
        <w:t xml:space="preserve"> higher among group A as compared to group B</w:t>
      </w: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780">
        <w:rPr>
          <w:rFonts w:ascii="Times New Roman" w:hAnsi="Times New Roman" w:cs="Times New Roman"/>
          <w:b/>
          <w:bCs/>
          <w:sz w:val="24"/>
          <w:szCs w:val="24"/>
        </w:rPr>
        <w:t>Table 1.2</w:t>
      </w:r>
    </w:p>
    <w:p w:rsidR="0040587D" w:rsidRPr="00ED2780" w:rsidRDefault="0040587D" w:rsidP="0040587D">
      <w:pPr>
        <w:pStyle w:val="Caption"/>
        <w:rPr>
          <w:rFonts w:ascii="Times New Roman" w:hAnsi="Times New Roman" w:cs="Times New Roman"/>
          <w:b w:val="0"/>
          <w:color w:val="auto"/>
        </w:rPr>
      </w:pP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Comparison Gender Sample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Place </w:t>
      </w: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>Effect</w:t>
      </w:r>
      <w:r w:rsidRPr="00ED2780">
        <w:rPr>
          <w:rStyle w:val="correction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(</w:t>
      </w: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N=200) </w:t>
      </w:r>
    </w:p>
    <w:tbl>
      <w:tblPr>
        <w:tblW w:w="8864" w:type="dxa"/>
        <w:jc w:val="center"/>
        <w:tblLayout w:type="fixed"/>
        <w:tblLook w:val="00A0" w:firstRow="1" w:lastRow="0" w:firstColumn="1" w:lastColumn="0" w:noHBand="0" w:noVBand="0"/>
      </w:tblPr>
      <w:tblGrid>
        <w:gridCol w:w="1978"/>
        <w:gridCol w:w="990"/>
        <w:gridCol w:w="985"/>
        <w:gridCol w:w="911"/>
        <w:gridCol w:w="1159"/>
        <w:gridCol w:w="720"/>
        <w:gridCol w:w="587"/>
        <w:gridCol w:w="816"/>
        <w:gridCol w:w="718"/>
      </w:tblGrid>
      <w:tr w:rsidR="0040587D" w:rsidRPr="00ED2780" w:rsidTr="000532E5">
        <w:trPr>
          <w:trHeight w:val="4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=100)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Female 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 100)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95%CI</w:t>
            </w:r>
          </w:p>
        </w:tc>
      </w:tr>
      <w:tr w:rsidR="0040587D" w:rsidRPr="00ED2780" w:rsidTr="000532E5">
        <w:trPr>
          <w:trHeight w:val="43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</w:tr>
      <w:tr w:rsidR="0040587D" w:rsidRPr="00ED2780" w:rsidTr="000532E5">
        <w:trPr>
          <w:trHeight w:val="8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Situational Effect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29.76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27.85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</w:tr>
    </w:tbl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278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results of this table indicate</w:t>
      </w:r>
      <w:r w:rsidRPr="00ED2780">
        <w:rPr>
          <w:rFonts w:ascii="Times New Roman" w:hAnsi="Times New Roman" w:cs="Times New Roman"/>
          <w:sz w:val="24"/>
          <w:szCs w:val="24"/>
        </w:rPr>
        <w:t xml:space="preserve"> the significant gender differences in situational effect. While the mean score of </w:t>
      </w:r>
      <w:r>
        <w:rPr>
          <w:rFonts w:ascii="Times New Roman" w:hAnsi="Times New Roman" w:cs="Times New Roman"/>
          <w:sz w:val="24"/>
          <w:szCs w:val="24"/>
        </w:rPr>
        <w:t>place effect were</w:t>
      </w:r>
      <w:r w:rsidRPr="00ED2780">
        <w:rPr>
          <w:rFonts w:ascii="Times New Roman" w:hAnsi="Times New Roman" w:cs="Times New Roman"/>
          <w:sz w:val="24"/>
          <w:szCs w:val="24"/>
        </w:rPr>
        <w:t xml:space="preserve"> higher among male respondents as compared to female respondents</w:t>
      </w:r>
    </w:p>
    <w:p w:rsidR="0040587D" w:rsidRPr="00ED2780" w:rsidRDefault="0040587D" w:rsidP="004058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780">
        <w:rPr>
          <w:rFonts w:ascii="Times New Roman" w:hAnsi="Times New Roman" w:cs="Times New Roman"/>
          <w:b/>
          <w:bCs/>
          <w:sz w:val="24"/>
          <w:szCs w:val="24"/>
        </w:rPr>
        <w:t>Table 1.3</w:t>
      </w:r>
    </w:p>
    <w:p w:rsidR="0040587D" w:rsidRPr="00ED2780" w:rsidRDefault="0040587D" w:rsidP="0040587D">
      <w:pPr>
        <w:pStyle w:val="Caption"/>
        <w:rPr>
          <w:rFonts w:ascii="Times New Roman" w:hAnsi="Times New Roman" w:cs="Times New Roman"/>
          <w:b w:val="0"/>
          <w:color w:val="auto"/>
        </w:rPr>
      </w:pPr>
      <w:r w:rsidRPr="00ED2780">
        <w:rPr>
          <w:rFonts w:ascii="Times New Roman" w:hAnsi="Times New Roman" w:cs="Times New Roman"/>
          <w:b w:val="0"/>
          <w:bCs w:val="0"/>
          <w:iCs/>
          <w:color w:val="auto"/>
        </w:rPr>
        <w:t>Comparison Group (A&amp;B) Motor and Cognition Transfer (N=200)</w:t>
      </w:r>
    </w:p>
    <w:tbl>
      <w:tblPr>
        <w:tblW w:w="9321" w:type="dxa"/>
        <w:jc w:val="center"/>
        <w:tblLayout w:type="fixed"/>
        <w:tblLook w:val="00A0" w:firstRow="1" w:lastRow="0" w:firstColumn="1" w:lastColumn="0" w:noHBand="0" w:noVBand="0"/>
      </w:tblPr>
      <w:tblGrid>
        <w:gridCol w:w="2160"/>
        <w:gridCol w:w="990"/>
        <w:gridCol w:w="985"/>
        <w:gridCol w:w="911"/>
        <w:gridCol w:w="1159"/>
        <w:gridCol w:w="995"/>
        <w:gridCol w:w="587"/>
        <w:gridCol w:w="816"/>
        <w:gridCol w:w="718"/>
      </w:tblGrid>
      <w:tr w:rsidR="0040587D" w:rsidRPr="00ED2780" w:rsidTr="000532E5">
        <w:trPr>
          <w:trHeight w:val="484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bCs/>
                <w:sz w:val="24"/>
                <w:szCs w:val="24"/>
              </w:rPr>
              <w:t>Group A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=100)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Group B 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 100)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95%CI</w:t>
            </w:r>
          </w:p>
        </w:tc>
      </w:tr>
      <w:tr w:rsidR="0040587D" w:rsidRPr="00ED2780" w:rsidTr="000532E5">
        <w:trPr>
          <w:trHeight w:val="431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</w:tr>
      <w:tr w:rsidR="0040587D" w:rsidRPr="00ED2780" w:rsidTr="000532E5">
        <w:trPr>
          <w:trHeight w:val="84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Motor and Cognition Transfer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25.36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-10.14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-6.07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-4.09</w:t>
            </w:r>
          </w:p>
        </w:tc>
      </w:tr>
    </w:tbl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8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results of this table indicate</w:t>
      </w:r>
      <w:r w:rsidRPr="00ED2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significant differences between group A and group B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both</w:t>
      </w:r>
      <w:r w:rsidRPr="00ED2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 and </w:t>
      </w:r>
      <w:r w:rsidRPr="00ED2780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cognitive</w:t>
      </w:r>
      <w:r w:rsidRPr="00ED27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2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transfer. While the mean score of motor and </w:t>
      </w:r>
      <w:r w:rsidRPr="00ED2780">
        <w:rPr>
          <w:rStyle w:val="correc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cognitive</w:t>
      </w:r>
      <w:r w:rsidRPr="00ED27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2780">
        <w:rPr>
          <w:rFonts w:ascii="Times New Roman" w:hAnsi="Times New Roman" w:cs="Times New Roman"/>
          <w:sz w:val="24"/>
          <w:szCs w:val="24"/>
          <w:shd w:val="clear" w:color="auto" w:fill="FFFFFF"/>
        </w:rPr>
        <w:t>transfer was higher among group B as compared to group A</w:t>
      </w: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Default="0040587D" w:rsidP="004058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587D" w:rsidRDefault="0040587D" w:rsidP="004058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587D" w:rsidRDefault="0040587D" w:rsidP="004058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587D" w:rsidRDefault="0040587D" w:rsidP="004058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587D" w:rsidRPr="00ED2780" w:rsidRDefault="0040587D" w:rsidP="004058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780">
        <w:rPr>
          <w:rFonts w:ascii="Times New Roman" w:hAnsi="Times New Roman" w:cs="Times New Roman"/>
          <w:b/>
          <w:bCs/>
          <w:sz w:val="24"/>
          <w:szCs w:val="24"/>
        </w:rPr>
        <w:t>Table 1.4</w:t>
      </w:r>
    </w:p>
    <w:p w:rsidR="0040587D" w:rsidRPr="00ED2780" w:rsidRDefault="0040587D" w:rsidP="0040587D">
      <w:pPr>
        <w:pStyle w:val="Caption"/>
        <w:rPr>
          <w:rFonts w:ascii="Times New Roman" w:hAnsi="Times New Roman" w:cs="Times New Roman"/>
          <w:b w:val="0"/>
          <w:color w:val="auto"/>
        </w:rPr>
      </w:pP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>Comparison Gender Cognition and Motor Transfer</w:t>
      </w:r>
      <w:r w:rsidRPr="00ED2780">
        <w:rPr>
          <w:rStyle w:val="apple-converted-space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 </w:t>
      </w:r>
      <w:r w:rsidRPr="00ED2780">
        <w:rPr>
          <w:rStyle w:val="correction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(</w:t>
      </w:r>
      <w:r w:rsidRPr="00ED27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N=200) </w:t>
      </w:r>
    </w:p>
    <w:tbl>
      <w:tblPr>
        <w:tblW w:w="8864" w:type="dxa"/>
        <w:jc w:val="center"/>
        <w:tblLayout w:type="fixed"/>
        <w:tblLook w:val="00A0" w:firstRow="1" w:lastRow="0" w:firstColumn="1" w:lastColumn="0" w:noHBand="0" w:noVBand="0"/>
      </w:tblPr>
      <w:tblGrid>
        <w:gridCol w:w="1978"/>
        <w:gridCol w:w="990"/>
        <w:gridCol w:w="985"/>
        <w:gridCol w:w="911"/>
        <w:gridCol w:w="1159"/>
        <w:gridCol w:w="720"/>
        <w:gridCol w:w="587"/>
        <w:gridCol w:w="816"/>
        <w:gridCol w:w="718"/>
      </w:tblGrid>
      <w:tr w:rsidR="0040587D" w:rsidRPr="00ED2780" w:rsidTr="000532E5">
        <w:trPr>
          <w:trHeight w:val="4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=100)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Female (</w:t>
            </w: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 xml:space="preserve"> = 100)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95%CI</w:t>
            </w:r>
          </w:p>
        </w:tc>
      </w:tr>
      <w:tr w:rsidR="0040587D" w:rsidRPr="00ED2780" w:rsidTr="000532E5">
        <w:trPr>
          <w:trHeight w:val="43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</w:tr>
      <w:tr w:rsidR="0040587D" w:rsidRPr="00ED2780" w:rsidTr="000532E5">
        <w:trPr>
          <w:trHeight w:val="8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Cognition and Motor Transfer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26.44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29.34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-4.98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-4.05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7D" w:rsidRPr="00ED2780" w:rsidRDefault="0040587D" w:rsidP="000532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0">
              <w:rPr>
                <w:rFonts w:ascii="Times New Roman" w:hAnsi="Times New Roman" w:cs="Times New Roman"/>
                <w:sz w:val="24"/>
                <w:szCs w:val="24"/>
              </w:rPr>
              <w:t>-1.75</w:t>
            </w:r>
          </w:p>
        </w:tc>
      </w:tr>
    </w:tbl>
    <w:p w:rsidR="0040587D" w:rsidRPr="00ED2780" w:rsidRDefault="0040587D" w:rsidP="0040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278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results of this table indicate</w:t>
      </w:r>
      <w:r w:rsidRPr="00ED2780">
        <w:rPr>
          <w:rFonts w:ascii="Times New Roman" w:hAnsi="Times New Roman" w:cs="Times New Roman"/>
          <w:sz w:val="24"/>
          <w:szCs w:val="24"/>
        </w:rPr>
        <w:t xml:space="preserve"> the significant gender differences in cognition and motor transfer. While the mean score of </w:t>
      </w:r>
      <w:r>
        <w:rPr>
          <w:rFonts w:ascii="Times New Roman" w:hAnsi="Times New Roman" w:cs="Times New Roman"/>
          <w:sz w:val="24"/>
          <w:szCs w:val="24"/>
        </w:rPr>
        <w:t>cognition and motor transfers were</w:t>
      </w:r>
      <w:r w:rsidRPr="00ED2780">
        <w:rPr>
          <w:rFonts w:ascii="Times New Roman" w:hAnsi="Times New Roman" w:cs="Times New Roman"/>
          <w:sz w:val="24"/>
          <w:szCs w:val="24"/>
        </w:rPr>
        <w:t xml:space="preserve"> significantly higher among female respondents as compared to male respondents.</w:t>
      </w: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40587D" w:rsidRPr="00ED2780" w:rsidRDefault="0040587D" w:rsidP="0040587D">
      <w:pPr>
        <w:rPr>
          <w:rFonts w:ascii="Times New Roman" w:hAnsi="Times New Roman" w:cs="Times New Roman"/>
          <w:sz w:val="24"/>
          <w:szCs w:val="24"/>
        </w:rPr>
      </w:pPr>
    </w:p>
    <w:p w:rsidR="000F77FE" w:rsidRDefault="000F77FE"/>
    <w:sectPr w:rsidR="000F77FE" w:rsidSect="000F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679"/>
    <w:multiLevelType w:val="hybridMultilevel"/>
    <w:tmpl w:val="D2AC8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718"/>
    <w:rsid w:val="000F77FE"/>
    <w:rsid w:val="001546BC"/>
    <w:rsid w:val="00375D2D"/>
    <w:rsid w:val="0040587D"/>
    <w:rsid w:val="004B33E5"/>
    <w:rsid w:val="005B17BC"/>
    <w:rsid w:val="008C0718"/>
    <w:rsid w:val="00916A36"/>
    <w:rsid w:val="00C14E6C"/>
    <w:rsid w:val="00C71330"/>
    <w:rsid w:val="00CD279C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1330"/>
  </w:style>
  <w:style w:type="character" w:customStyle="1" w:styleId="correction">
    <w:name w:val="correction"/>
    <w:basedOn w:val="DefaultParagraphFont"/>
    <w:rsid w:val="00C71330"/>
  </w:style>
  <w:style w:type="paragraph" w:styleId="ListParagraph">
    <w:name w:val="List Paragraph"/>
    <w:basedOn w:val="Normal"/>
    <w:uiPriority w:val="34"/>
    <w:qFormat/>
    <w:rsid w:val="00C7133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40587D"/>
    <w:pPr>
      <w:keepNext/>
      <w:spacing w:line="240" w:lineRule="auto"/>
    </w:pPr>
    <w:rPr>
      <w:rFonts w:asciiTheme="majorBidi" w:hAnsiTheme="majorBidi" w:cstheme="majorBidi"/>
      <w:b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cnet.apa.org/doi/10.1037/0022-0663.100.2.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hazahid5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HAshmi Computers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Adnan</dc:creator>
  <cp:keywords/>
  <dc:description/>
  <cp:lastModifiedBy>Naveed Shibli</cp:lastModifiedBy>
  <cp:revision>9</cp:revision>
  <dcterms:created xsi:type="dcterms:W3CDTF">2019-08-14T18:49:00Z</dcterms:created>
  <dcterms:modified xsi:type="dcterms:W3CDTF">2019-08-31T08:02:00Z</dcterms:modified>
</cp:coreProperties>
</file>