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3CD09" w14:textId="54068CD6" w:rsidR="00457DF9" w:rsidRPr="00BB55C9" w:rsidRDefault="00457DF9" w:rsidP="00457DF9">
      <w:pPr>
        <w:widowControl/>
        <w:spacing w:after="160" w:line="259" w:lineRule="auto"/>
        <w:rPr>
          <w:sz w:val="24"/>
          <w:szCs w:val="20"/>
        </w:rPr>
      </w:pPr>
      <w:r w:rsidRPr="00BB55C9">
        <w:rPr>
          <w:b/>
          <w:sz w:val="24"/>
          <w:szCs w:val="20"/>
        </w:rPr>
        <w:t xml:space="preserve">Table </w:t>
      </w:r>
      <w:r w:rsidR="00C42F68">
        <w:rPr>
          <w:b/>
          <w:sz w:val="24"/>
          <w:szCs w:val="20"/>
        </w:rPr>
        <w:t>S</w:t>
      </w:r>
      <w:r w:rsidRPr="00BB55C9">
        <w:rPr>
          <w:b/>
          <w:sz w:val="24"/>
          <w:szCs w:val="20"/>
        </w:rPr>
        <w:t xml:space="preserve">1: </w:t>
      </w:r>
      <w:r w:rsidRPr="00BB55C9">
        <w:rPr>
          <w:sz w:val="24"/>
          <w:szCs w:val="20"/>
        </w:rPr>
        <w:t>Tabulation of QT prolonging medications at the first study visit</w:t>
      </w:r>
    </w:p>
    <w:tbl>
      <w:tblPr>
        <w:tblW w:w="8357" w:type="dxa"/>
        <w:jc w:val="center"/>
        <w:tblLayout w:type="fixed"/>
        <w:tblLook w:val="04A0" w:firstRow="1" w:lastRow="0" w:firstColumn="1" w:lastColumn="0" w:noHBand="0" w:noVBand="1"/>
      </w:tblPr>
      <w:tblGrid>
        <w:gridCol w:w="5238"/>
        <w:gridCol w:w="1559"/>
        <w:gridCol w:w="1560"/>
      </w:tblGrid>
      <w:tr w:rsidR="00457DF9" w:rsidRPr="00BB55C9" w14:paraId="26D21DC0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B18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lang w:val="en-CA" w:eastAsia="en-CA"/>
              </w:rPr>
              <w:t>QT prolonging medication* (Generic, Brand name)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768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lang w:val="en-CA" w:eastAsia="en-CA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322F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lang w:val="en-CA" w:eastAsia="en-CA"/>
              </w:rPr>
              <w:t>%</w:t>
            </w:r>
          </w:p>
        </w:tc>
      </w:tr>
      <w:tr w:rsidR="00457DF9" w:rsidRPr="00BB55C9" w14:paraId="73D6D872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206B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Alfuzosin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Uroxatral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A89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D05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15964DF5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7FC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Amiodarone,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Cordarone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F02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9DE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02859F68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7BD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Aripiprazole,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Abilify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BB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52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4015CA4C" w14:textId="77777777" w:rsidTr="000F066F">
        <w:trPr>
          <w:trHeight w:val="231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1B6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Atazanavir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Reyataz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B78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B9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4.05</w:t>
            </w:r>
          </w:p>
        </w:tc>
      </w:tr>
      <w:tr w:rsidR="00457DF9" w:rsidRPr="00BB55C9" w14:paraId="399D3A81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8B5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Azithromycin, Zithromax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731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A7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2.31</w:t>
            </w:r>
          </w:p>
        </w:tc>
      </w:tr>
      <w:tr w:rsidR="00457DF9" w:rsidRPr="00BB55C9" w14:paraId="081EB774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49B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Ciprofloxacin, Cipro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FB8B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11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1.73</w:t>
            </w:r>
          </w:p>
        </w:tc>
      </w:tr>
      <w:tr w:rsidR="00457DF9" w:rsidRPr="00BB55C9" w14:paraId="6E2816F1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81E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Citalopram,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Celexa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86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AC5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0D4EF844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1BC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Diphenhydramine, Benadryl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8CD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B44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3.47</w:t>
            </w:r>
          </w:p>
        </w:tc>
      </w:tr>
      <w:tr w:rsidR="00457DF9" w:rsidRPr="00BB55C9" w14:paraId="4180C364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EE7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Doxepin,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Sinequan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A0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D10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27F07241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BDBB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Erythromycin, E.E.S.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5FB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AC7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10DAEEF1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E85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Escitalopram,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Cipralex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9C2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C39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4.05</w:t>
            </w:r>
          </w:p>
        </w:tc>
      </w:tr>
      <w:tr w:rsidR="00457DF9" w:rsidRPr="00BB55C9" w14:paraId="406BCEAF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55C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Famotidine, Pepcid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EFB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8D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1.73</w:t>
            </w:r>
          </w:p>
        </w:tc>
      </w:tr>
      <w:tr w:rsidR="00457DF9" w:rsidRPr="00BB55C9" w14:paraId="1B8252D6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D81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Fluoxetine, Prozac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570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865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1.16</w:t>
            </w:r>
          </w:p>
        </w:tc>
      </w:tr>
      <w:tr w:rsidR="00457DF9" w:rsidRPr="00BB55C9" w14:paraId="218205E4" w14:textId="77777777" w:rsidTr="000F066F">
        <w:trPr>
          <w:trHeight w:val="259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A64B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Furosemide (Frusemide), Lasix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812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BE5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30.06</w:t>
            </w:r>
          </w:p>
        </w:tc>
      </w:tr>
      <w:tr w:rsidR="00457DF9" w:rsidRPr="00BB55C9" w14:paraId="1D46C735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B4D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Haloperidol, Haldol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CB6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630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6D88747B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F08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Iloperidone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Fanapt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92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628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289BCEAF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846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Indapamide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Lozol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93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62F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4B48490C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D13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Isradipine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Dynacirc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2F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787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038E1DD9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31F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Lansoprazole/Amoxicillin/Clarithromycin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C99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591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1.16</w:t>
            </w:r>
          </w:p>
        </w:tc>
      </w:tr>
      <w:tr w:rsidR="00457DF9" w:rsidRPr="00BB55C9" w14:paraId="767E40AA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CF8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Lopinavir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/Ritonavir,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Kaletra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ECC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BB55C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A3E2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BB55C9">
              <w:rPr>
                <w:rFonts w:eastAsia="Times New Roman"/>
                <w:color w:val="000000"/>
              </w:rPr>
              <w:t>1.16</w:t>
            </w:r>
          </w:p>
        </w:tc>
      </w:tr>
      <w:tr w:rsidR="00457DF9" w:rsidRPr="00BB55C9" w14:paraId="3BDFCB93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C17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Methadone,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Dolophine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72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69F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1.16</w:t>
            </w:r>
          </w:p>
        </w:tc>
      </w:tr>
      <w:tr w:rsidR="00457DF9" w:rsidRPr="00BB55C9" w14:paraId="6D55A50C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8BA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Metronidazole,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Flagyl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BFC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63A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1.16</w:t>
            </w:r>
          </w:p>
        </w:tc>
      </w:tr>
      <w:tr w:rsidR="00457DF9" w:rsidRPr="00BB55C9" w14:paraId="507EB2A3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B8D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Mirtazapine,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Remeron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F72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A3D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2.31</w:t>
            </w:r>
          </w:p>
        </w:tc>
      </w:tr>
      <w:tr w:rsidR="00457DF9" w:rsidRPr="00BB55C9" w14:paraId="65809C10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010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Moxifloxacin,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Avelox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BC3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19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39217661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EEC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Nortriptyline,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Pamelor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F1E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3D6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1.16</w:t>
            </w:r>
          </w:p>
        </w:tc>
      </w:tr>
      <w:tr w:rsidR="00457DF9" w:rsidRPr="00BB55C9" w14:paraId="3F6969E0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388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Olanzapine, Zyprexa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BCA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420B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1.73</w:t>
            </w:r>
          </w:p>
        </w:tc>
      </w:tr>
      <w:tr w:rsidR="00457DF9" w:rsidRPr="00BB55C9" w14:paraId="0762AED1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93F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Ondansetron, Zofran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192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119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1.16</w:t>
            </w:r>
          </w:p>
        </w:tc>
      </w:tr>
      <w:tr w:rsidR="00457DF9" w:rsidRPr="00BB55C9" w14:paraId="4E47C126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3D0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Paliperidone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Invega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D3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555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3C908988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A0C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Paroxetine, Paxil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C13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8E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1.16</w:t>
            </w:r>
          </w:p>
        </w:tc>
      </w:tr>
      <w:tr w:rsidR="00457DF9" w:rsidRPr="00BB55C9" w14:paraId="20980104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0AA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Promethazine, Phenergan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D09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C02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4.05</w:t>
            </w:r>
          </w:p>
        </w:tc>
      </w:tr>
      <w:tr w:rsidR="00457DF9" w:rsidRPr="00BB55C9" w14:paraId="7BBFEF16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CB8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Quetiapine, Seroquel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A73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FDC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1.16</w:t>
            </w:r>
          </w:p>
        </w:tc>
      </w:tr>
      <w:tr w:rsidR="00457DF9" w:rsidRPr="00BB55C9" w14:paraId="0613478C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299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Ranolazine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Ranexa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10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3A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48D38F47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C753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Risperidone, Risperdal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9910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8F6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1B6E1360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725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Ritonavir,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Norvir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E58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9A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6.36</w:t>
            </w:r>
          </w:p>
        </w:tc>
      </w:tr>
      <w:tr w:rsidR="00457DF9" w:rsidRPr="00BB55C9" w14:paraId="27C70C5A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143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Sertraline, Zoloft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EFEB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133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5.2</w:t>
            </w:r>
          </w:p>
        </w:tc>
      </w:tr>
      <w:tr w:rsidR="00457DF9" w:rsidRPr="00BB55C9" w14:paraId="3C3F7013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B27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Solifenacin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Vesicare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239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58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408C6CB9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582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Tacrolimus,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Prograf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6E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077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3A25AAD6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BEC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Tolterodine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, Detrol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0D1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370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4.62</w:t>
            </w:r>
          </w:p>
        </w:tc>
      </w:tr>
      <w:tr w:rsidR="00457DF9" w:rsidRPr="00BB55C9" w14:paraId="0ACB4915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9C6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Trazodone,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Desyrel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BC6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1EE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3.47</w:t>
            </w:r>
          </w:p>
        </w:tc>
      </w:tr>
      <w:tr w:rsidR="00457DF9" w:rsidRPr="00BB55C9" w14:paraId="66ECB63C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50D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Trimethoprim-Sulfa,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Septra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A5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286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4.05</w:t>
            </w:r>
          </w:p>
        </w:tc>
      </w:tr>
      <w:tr w:rsidR="00457DF9" w:rsidRPr="00BB55C9" w14:paraId="2156AB3C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176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Venlafaxine, Effexor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A59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4D8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33D24519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D93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Voriconazole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VFend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FB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FAD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0C7F3F00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9EC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Ziprasidone, Geodon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47A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E917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</w:tr>
      <w:tr w:rsidR="00457DF9" w:rsidRPr="00BB55C9" w14:paraId="41D34C39" w14:textId="77777777" w:rsidTr="000F066F">
        <w:trPr>
          <w:trHeight w:val="20"/>
          <w:jc w:val="center"/>
        </w:trPr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0A26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A36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173**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4894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lang w:val="en-CA" w:eastAsia="en-CA"/>
              </w:rPr>
              <w:t>100</w:t>
            </w:r>
          </w:p>
        </w:tc>
      </w:tr>
    </w:tbl>
    <w:p w14:paraId="622001F8" w14:textId="77777777" w:rsidR="00457DF9" w:rsidRPr="00BB55C9" w:rsidRDefault="00457DF9" w:rsidP="00457DF9">
      <w:pPr>
        <w:rPr>
          <w:sz w:val="20"/>
          <w:szCs w:val="20"/>
        </w:rPr>
      </w:pPr>
      <w:r w:rsidRPr="00BB55C9">
        <w:rPr>
          <w:sz w:val="20"/>
          <w:szCs w:val="20"/>
        </w:rPr>
        <w:t xml:space="preserve">* </w:t>
      </w:r>
      <w:proofErr w:type="spellStart"/>
      <w:r w:rsidRPr="00BB55C9">
        <w:rPr>
          <w:sz w:val="20"/>
          <w:szCs w:val="20"/>
        </w:rPr>
        <w:t>Woosley</w:t>
      </w:r>
      <w:proofErr w:type="spellEnd"/>
      <w:r w:rsidRPr="00BB55C9">
        <w:rPr>
          <w:sz w:val="20"/>
          <w:szCs w:val="20"/>
        </w:rPr>
        <w:t xml:space="preserve">, RL and Romero, KA, www.Crediblemeds.org, </w:t>
      </w:r>
      <w:proofErr w:type="spellStart"/>
      <w:r w:rsidRPr="00BB55C9">
        <w:rPr>
          <w:sz w:val="20"/>
          <w:szCs w:val="20"/>
        </w:rPr>
        <w:t>QTdrugs</w:t>
      </w:r>
      <w:proofErr w:type="spellEnd"/>
      <w:r w:rsidRPr="00BB55C9">
        <w:rPr>
          <w:sz w:val="20"/>
          <w:szCs w:val="20"/>
        </w:rPr>
        <w:t xml:space="preserve"> List, January 2016, AZCERT, Inc. 1822 Innovation Park Dr., Oro Valley, AZ 85755</w:t>
      </w:r>
    </w:p>
    <w:p w14:paraId="00F86A14" w14:textId="77777777" w:rsidR="00457DF9" w:rsidRPr="00BB55C9" w:rsidRDefault="00457DF9" w:rsidP="00457DF9">
      <w:pPr>
        <w:rPr>
          <w:sz w:val="22"/>
          <w:szCs w:val="20"/>
          <w:lang w:val="en-CA"/>
        </w:rPr>
      </w:pPr>
      <w:r w:rsidRPr="00BB55C9">
        <w:rPr>
          <w:rFonts w:eastAsia="Times New Roman"/>
          <w:color w:val="000000"/>
          <w:kern w:val="0"/>
          <w:szCs w:val="18"/>
          <w:lang w:val="en-CA" w:eastAsia="en-CA"/>
        </w:rPr>
        <w:t>** Adds up to more than 118 because some patients received multiple QT prolonging medications</w:t>
      </w:r>
    </w:p>
    <w:p w14:paraId="550A32B8" w14:textId="77777777" w:rsidR="00457DF9" w:rsidRPr="00BB55C9" w:rsidRDefault="00457DF9" w:rsidP="00457DF9">
      <w:pPr>
        <w:rPr>
          <w:rFonts w:ascii="Times New Roman" w:hAnsi="Times New Roman"/>
          <w:b/>
          <w:sz w:val="24"/>
          <w:szCs w:val="24"/>
        </w:rPr>
        <w:sectPr w:rsidR="00457DF9" w:rsidRPr="00BB55C9" w:rsidSect="00673FD2">
          <w:pgSz w:w="12242" w:h="15842"/>
          <w:pgMar w:top="1440" w:right="1440" w:bottom="1440" w:left="1440" w:header="709" w:footer="709" w:gutter="0"/>
          <w:cols w:space="708"/>
          <w:docGrid w:linePitch="360"/>
        </w:sectPr>
      </w:pPr>
    </w:p>
    <w:p w14:paraId="03489231" w14:textId="68E4A4A4" w:rsidR="00457DF9" w:rsidRPr="00BB55C9" w:rsidRDefault="00457DF9" w:rsidP="00457DF9">
      <w:pPr>
        <w:rPr>
          <w:b/>
          <w:sz w:val="24"/>
        </w:rPr>
      </w:pPr>
      <w:r w:rsidRPr="00BB55C9">
        <w:rPr>
          <w:b/>
          <w:sz w:val="24"/>
        </w:rPr>
        <w:lastRenderedPageBreak/>
        <w:t xml:space="preserve">Table </w:t>
      </w:r>
      <w:r w:rsidR="00C42F68">
        <w:rPr>
          <w:b/>
          <w:sz w:val="24"/>
        </w:rPr>
        <w:t>S</w:t>
      </w:r>
      <w:r w:rsidRPr="00BB55C9">
        <w:rPr>
          <w:b/>
          <w:sz w:val="24"/>
        </w:rPr>
        <w:t xml:space="preserve">2: </w:t>
      </w:r>
      <w:r w:rsidRPr="00BB55C9">
        <w:rPr>
          <w:sz w:val="24"/>
        </w:rPr>
        <w:t xml:space="preserve">Baseline associations of serum and dialysate electrolytes with the risk of </w:t>
      </w:r>
      <w:proofErr w:type="spellStart"/>
      <w:r w:rsidRPr="00BB55C9">
        <w:rPr>
          <w:sz w:val="24"/>
        </w:rPr>
        <w:t>QTc</w:t>
      </w:r>
      <w:proofErr w:type="spellEnd"/>
      <w:r w:rsidRPr="00BB55C9">
        <w:rPr>
          <w:sz w:val="24"/>
        </w:rPr>
        <w:t xml:space="preserve"> prolongation in 330 incident dialysis patients</w:t>
      </w:r>
    </w:p>
    <w:p w14:paraId="121D1C79" w14:textId="77777777" w:rsidR="00457DF9" w:rsidRPr="00BB55C9" w:rsidRDefault="00457DF9" w:rsidP="00457DF9">
      <w:pPr>
        <w:rPr>
          <w:b/>
        </w:rPr>
      </w:pPr>
    </w:p>
    <w:tbl>
      <w:tblPr>
        <w:tblW w:w="13676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149"/>
        <w:gridCol w:w="2268"/>
        <w:gridCol w:w="850"/>
        <w:gridCol w:w="2268"/>
        <w:gridCol w:w="851"/>
        <w:gridCol w:w="2268"/>
        <w:gridCol w:w="157"/>
        <w:gridCol w:w="857"/>
        <w:gridCol w:w="8"/>
      </w:tblGrid>
      <w:tr w:rsidR="00457DF9" w:rsidRPr="00BB55C9" w14:paraId="197A894D" w14:textId="77777777" w:rsidTr="000F066F">
        <w:trPr>
          <w:gridAfter w:val="1"/>
          <w:wAfter w:w="8" w:type="dxa"/>
          <w:trHeight w:val="300"/>
        </w:trPr>
        <w:tc>
          <w:tcPr>
            <w:tcW w:w="41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0A0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Variables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7921" w14:textId="77777777" w:rsidR="00457DF9" w:rsidRPr="00BB55C9" w:rsidRDefault="00457DF9" w:rsidP="000F066F">
            <w:pPr>
              <w:widowControl/>
              <w:ind w:right="-108"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Model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3A9C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Model 2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4158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Model 3</w:t>
            </w:r>
          </w:p>
        </w:tc>
      </w:tr>
      <w:tr w:rsidR="00457DF9" w:rsidRPr="00BB55C9" w14:paraId="7755BDD9" w14:textId="77777777" w:rsidTr="000F066F">
        <w:trPr>
          <w:trHeight w:val="300"/>
        </w:trPr>
        <w:tc>
          <w:tcPr>
            <w:tcW w:w="41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1DBA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6B186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RR 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F05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C29A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RR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CDE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5CF6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RR (95% CI)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2EDB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P</w:t>
            </w:r>
          </w:p>
        </w:tc>
      </w:tr>
      <w:tr w:rsidR="00457DF9" w:rsidRPr="00BB55C9" w14:paraId="526118B3" w14:textId="77777777" w:rsidTr="000F066F">
        <w:trPr>
          <w:trHeight w:val="300"/>
        </w:trPr>
        <w:tc>
          <w:tcPr>
            <w:tcW w:w="414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611529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Serum measurements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758BF4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86E31C" w14:textId="77777777" w:rsidR="00457DF9" w:rsidRPr="00BB55C9" w:rsidRDefault="00457DF9" w:rsidP="000F066F">
            <w:pPr>
              <w:widowControl/>
              <w:jc w:val="righ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C39059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8584BD" w14:textId="77777777" w:rsidR="00457DF9" w:rsidRPr="00BB55C9" w:rsidRDefault="00457DF9" w:rsidP="000F066F">
            <w:pPr>
              <w:widowControl/>
              <w:jc w:val="righ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D4241C4" w14:textId="77777777" w:rsidR="00457DF9" w:rsidRPr="00BB55C9" w:rsidRDefault="00457DF9" w:rsidP="000F066F">
            <w:pPr>
              <w:widowControl/>
              <w:jc w:val="righ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E1E6D5" w14:textId="77777777" w:rsidR="00457DF9" w:rsidRPr="00BB55C9" w:rsidRDefault="00457DF9" w:rsidP="000F066F">
            <w:pPr>
              <w:widowControl/>
              <w:jc w:val="righ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457DF9" w:rsidRPr="00BB55C9" w14:paraId="20CEFCDE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205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Total calcium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, per 1 mg/dl decrease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63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1.04 (0.87, 1.25)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65B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0.65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88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1.04 (0.87, 1.24)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9A0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0.65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1EEA069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1.02 (0.85, 1.22)</w:t>
            </w:r>
          </w:p>
        </w:tc>
        <w:tc>
          <w:tcPr>
            <w:tcW w:w="1022" w:type="dxa"/>
            <w:gridSpan w:val="3"/>
            <w:vAlign w:val="bottom"/>
          </w:tcPr>
          <w:p w14:paraId="130ACFB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0.86</w:t>
            </w:r>
          </w:p>
        </w:tc>
      </w:tr>
      <w:tr w:rsidR="00457DF9" w:rsidRPr="00BB55C9" w14:paraId="0FBB8C13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8746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Corrected calcium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, per 1 mg/dl decrease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4BD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1.03 (0.84, 1.26)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96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0.78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F8B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1.02 (0.83, 1.25)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625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3C9FCC2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1.00 (0.81, 1.23)</w:t>
            </w:r>
          </w:p>
        </w:tc>
        <w:tc>
          <w:tcPr>
            <w:tcW w:w="1022" w:type="dxa"/>
            <w:gridSpan w:val="3"/>
            <w:vAlign w:val="bottom"/>
          </w:tcPr>
          <w:p w14:paraId="5968421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0.99</w:t>
            </w:r>
          </w:p>
        </w:tc>
      </w:tr>
      <w:tr w:rsidR="00457DF9" w:rsidRPr="00BB55C9" w14:paraId="303C1228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7F15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Ionized calcium*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, per 0.1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mmol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 decrease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BB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</w:rPr>
              <w:t>1.30 (1.12, 1.51)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72E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</w:rPr>
              <w:t>0.001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FAE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</w:rPr>
              <w:t>1.33 (1.14, 1.55)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75C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</w:rPr>
              <w:t>&lt;0.001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38E2E36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BB55C9">
              <w:rPr>
                <w:rFonts w:eastAsia="Times New Roman"/>
                <w:b/>
                <w:color w:val="000000"/>
              </w:rPr>
              <w:t>1.31 (1.12, 1.53)</w:t>
            </w:r>
          </w:p>
        </w:tc>
        <w:tc>
          <w:tcPr>
            <w:tcW w:w="1022" w:type="dxa"/>
            <w:gridSpan w:val="3"/>
            <w:vAlign w:val="bottom"/>
          </w:tcPr>
          <w:p w14:paraId="733AC24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BB55C9">
              <w:rPr>
                <w:rFonts w:eastAsia="Times New Roman"/>
                <w:b/>
                <w:color w:val="000000"/>
              </w:rPr>
              <w:t>0.001</w:t>
            </w:r>
          </w:p>
        </w:tc>
      </w:tr>
      <w:tr w:rsidR="00457DF9" w:rsidRPr="00BB55C9" w14:paraId="0D89A2AA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65D2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Potassium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, per 1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 decrease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E23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1.23 (0.98, 1.53)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36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C8C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</w:rPr>
              <w:t>1.25 (1.00, 1.55)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8A3B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</w:rPr>
              <w:t>0.05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5523D0A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1.20 (0.97, 1.49)</w:t>
            </w:r>
          </w:p>
        </w:tc>
        <w:tc>
          <w:tcPr>
            <w:tcW w:w="1022" w:type="dxa"/>
            <w:gridSpan w:val="3"/>
            <w:vAlign w:val="bottom"/>
          </w:tcPr>
          <w:p w14:paraId="5A085AA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0.09</w:t>
            </w:r>
          </w:p>
        </w:tc>
      </w:tr>
      <w:tr w:rsidR="00457DF9" w:rsidRPr="00BB55C9" w14:paraId="7009997A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14DE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Magnesium*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, per 0.1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 decrease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82E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0.99 (0.94, 1.04)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CF1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0.62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44A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0.99 (0.94, 1.04)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7F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4C7E084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0.97 (0.92, 1.02)</w:t>
            </w:r>
          </w:p>
        </w:tc>
        <w:tc>
          <w:tcPr>
            <w:tcW w:w="1022" w:type="dxa"/>
            <w:gridSpan w:val="3"/>
            <w:vAlign w:val="bottom"/>
          </w:tcPr>
          <w:p w14:paraId="1A0FED2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0.26</w:t>
            </w:r>
          </w:p>
        </w:tc>
      </w:tr>
      <w:tr w:rsidR="00457DF9" w:rsidRPr="00BB55C9" w14:paraId="68F35C40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51D2E2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Dialysate measurements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1401C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958C7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3B2C5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1FECE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02CD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vAlign w:val="bottom"/>
          </w:tcPr>
          <w:p w14:paraId="5C55F70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457DF9" w:rsidRPr="00BB55C9" w14:paraId="3327C5F8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FBBC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Calcium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194382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4C3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8AA7F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30E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146FA82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022" w:type="dxa"/>
            <w:gridSpan w:val="3"/>
            <w:vAlign w:val="bottom"/>
          </w:tcPr>
          <w:p w14:paraId="1A93CCE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457DF9" w:rsidRPr="00BB55C9" w14:paraId="4FBB51C0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E58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 xml:space="preserve">       2.5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BD7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97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71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F92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4D5E590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022" w:type="dxa"/>
            <w:gridSpan w:val="3"/>
            <w:vAlign w:val="bottom"/>
          </w:tcPr>
          <w:p w14:paraId="378A4D1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457DF9" w:rsidRPr="00BB55C9" w14:paraId="61232B4B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2504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      &lt; </w:t>
            </w: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2.5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64E45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0.95 (0.76, 1.20)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C2C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0.68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D294B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0.96 (0.77, 1.21)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793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1456FE1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1.01 (0.80, 1.27)</w:t>
            </w:r>
          </w:p>
        </w:tc>
        <w:tc>
          <w:tcPr>
            <w:tcW w:w="1022" w:type="dxa"/>
            <w:gridSpan w:val="3"/>
            <w:vAlign w:val="bottom"/>
          </w:tcPr>
          <w:p w14:paraId="685D5F7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0.94</w:t>
            </w:r>
          </w:p>
        </w:tc>
      </w:tr>
      <w:tr w:rsidR="00457DF9" w:rsidRPr="00BB55C9" w14:paraId="65AF64C2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D3C2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Potassium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B08887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8ED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CE00A5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F6C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4F202E5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022" w:type="dxa"/>
            <w:gridSpan w:val="3"/>
            <w:vAlign w:val="bottom"/>
          </w:tcPr>
          <w:p w14:paraId="209DED9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457DF9" w:rsidRPr="00BB55C9" w14:paraId="05E91F0D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5034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 xml:space="preserve">       2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4699A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8A4B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00302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C20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54D5642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022" w:type="dxa"/>
            <w:gridSpan w:val="3"/>
            <w:vAlign w:val="bottom"/>
          </w:tcPr>
          <w:p w14:paraId="197057E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457DF9" w:rsidRPr="00BB55C9" w14:paraId="6C687746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D8F0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 xml:space="preserve">       &gt; 2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74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1.05 (0.76, 1.44)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AA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59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1.05 (0.77, 1.42)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A74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4EE8968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1.02 (0.77, 1.37)</w:t>
            </w:r>
          </w:p>
        </w:tc>
        <w:tc>
          <w:tcPr>
            <w:tcW w:w="1022" w:type="dxa"/>
            <w:gridSpan w:val="3"/>
            <w:vAlign w:val="bottom"/>
          </w:tcPr>
          <w:p w14:paraId="4BE35CB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0.87</w:t>
            </w:r>
          </w:p>
        </w:tc>
      </w:tr>
      <w:tr w:rsidR="00457DF9" w:rsidRPr="00BB55C9" w14:paraId="26175BE4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B4AB5E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Serum-to-dialysate gradients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1F279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3DA73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45A69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153AD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7E015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vAlign w:val="bottom"/>
          </w:tcPr>
          <w:p w14:paraId="6707821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457DF9" w:rsidRPr="00BB55C9" w14:paraId="7CFD9834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CFF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Total calcium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, per 1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 increase in difference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44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0.91 (0.69, 1.19)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6CD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0.47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3E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0.90 (0.69, 1.19)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8D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0.47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765D62C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0.96 (0.72, 1.28)</w:t>
            </w:r>
          </w:p>
        </w:tc>
        <w:tc>
          <w:tcPr>
            <w:tcW w:w="1022" w:type="dxa"/>
            <w:gridSpan w:val="3"/>
            <w:vAlign w:val="bottom"/>
          </w:tcPr>
          <w:p w14:paraId="77A4813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0.80</w:t>
            </w:r>
          </w:p>
        </w:tc>
      </w:tr>
      <w:tr w:rsidR="00457DF9" w:rsidRPr="00BB55C9" w14:paraId="00F3DB76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0DE2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Corrected calcium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, per 1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 increase in difference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ED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0.92 (0.68, 1.23)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2D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922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0.92 (0.69, 1.24)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F2A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0.58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4F7BEC1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0.98 (0.72, 1.34)</w:t>
            </w:r>
          </w:p>
        </w:tc>
        <w:tc>
          <w:tcPr>
            <w:tcW w:w="1022" w:type="dxa"/>
            <w:gridSpan w:val="3"/>
            <w:vAlign w:val="bottom"/>
          </w:tcPr>
          <w:p w14:paraId="601E2EB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0.92</w:t>
            </w:r>
          </w:p>
        </w:tc>
      </w:tr>
      <w:tr w:rsidR="00457DF9" w:rsidRPr="00BB55C9" w14:paraId="11AA1B39" w14:textId="77777777" w:rsidTr="000F066F">
        <w:trPr>
          <w:gridAfter w:val="1"/>
          <w:wAfter w:w="8" w:type="dxa"/>
          <w:trHeight w:val="300"/>
        </w:trPr>
        <w:tc>
          <w:tcPr>
            <w:tcW w:w="128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36E655" w14:textId="77777777" w:rsidR="00457DF9" w:rsidRPr="00BB55C9" w:rsidRDefault="00457DF9" w:rsidP="000F066F">
            <w:pPr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RR = risk ratio</w:t>
            </w:r>
          </w:p>
          <w:p w14:paraId="232F01A8" w14:textId="77777777" w:rsidR="00457DF9" w:rsidRPr="00BB55C9" w:rsidRDefault="00457DF9" w:rsidP="000F066F">
            <w:pPr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Model 1 includes the main exposure (one of serum, dialysate, or gradient measurements)</w:t>
            </w:r>
          </w:p>
          <w:p w14:paraId="5D5F408A" w14:textId="77777777" w:rsidR="00457DF9" w:rsidRPr="00BB55C9" w:rsidRDefault="00457DF9" w:rsidP="000F066F">
            <w:pPr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Model 2 includes model 1, age, sex, and ethnicity</w:t>
            </w:r>
          </w:p>
          <w:p w14:paraId="2A3BE0AA" w14:textId="77777777" w:rsidR="00457DF9" w:rsidRPr="00BB55C9" w:rsidRDefault="00457DF9" w:rsidP="000F066F">
            <w:pPr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Model 3 includes model 2,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Charlson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comorbidity index, non-dialysis systolic blood pressure, left ventricular mass index, and use of antihypertensive medication, renin-angiotensin-aldosterone system blockade,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cinacalcet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, and QT-prolonging medication</w:t>
            </w:r>
          </w:p>
          <w:p w14:paraId="5626928D" w14:textId="77777777" w:rsidR="00457DF9" w:rsidRPr="00BB55C9" w:rsidRDefault="00457DF9" w:rsidP="000F066F">
            <w:pPr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4"/>
                <w:lang w:val="en-CA" w:eastAsia="en-CA"/>
              </w:rPr>
              <w:t>*</w:t>
            </w:r>
            <w:r w:rsidRPr="00BB55C9">
              <w:rPr>
                <w:rFonts w:eastAsia="Times New Roman"/>
                <w:color w:val="000000"/>
                <w:sz w:val="22"/>
                <w:lang w:eastAsia="en-CA"/>
              </w:rPr>
              <w:t xml:space="preserve"> </w:t>
            </w:r>
            <w:r w:rsidRPr="00BB55C9">
              <w:rPr>
                <w:sz w:val="22"/>
              </w:rPr>
              <w:t>Models with ionized calcium and magnesium also include serum pH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20D11F4A" w14:textId="77777777" w:rsidR="00457DF9" w:rsidRPr="00BB55C9" w:rsidRDefault="00457DF9" w:rsidP="000F066F">
            <w:pPr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</w:tr>
    </w:tbl>
    <w:p w14:paraId="45E31C2B" w14:textId="77777777" w:rsidR="00457DF9" w:rsidRPr="00BB55C9" w:rsidRDefault="00457DF9" w:rsidP="00457DF9">
      <w:pPr>
        <w:rPr>
          <w:b/>
          <w:sz w:val="24"/>
        </w:rPr>
      </w:pPr>
    </w:p>
    <w:p w14:paraId="34BC7BE2" w14:textId="77777777" w:rsidR="00457DF9" w:rsidRPr="00BB55C9" w:rsidRDefault="00457DF9" w:rsidP="00457DF9">
      <w:pPr>
        <w:widowControl/>
        <w:spacing w:after="160" w:line="259" w:lineRule="auto"/>
        <w:jc w:val="left"/>
        <w:rPr>
          <w:b/>
          <w:sz w:val="24"/>
        </w:rPr>
      </w:pPr>
      <w:r w:rsidRPr="00BB55C9">
        <w:rPr>
          <w:b/>
          <w:sz w:val="24"/>
        </w:rPr>
        <w:br w:type="page"/>
      </w:r>
    </w:p>
    <w:p w14:paraId="3DE953E9" w14:textId="0F9AFC93" w:rsidR="00457DF9" w:rsidRPr="00BB55C9" w:rsidRDefault="00457DF9" w:rsidP="00457DF9">
      <w:pPr>
        <w:tabs>
          <w:tab w:val="left" w:pos="3349"/>
        </w:tabs>
        <w:jc w:val="left"/>
        <w:rPr>
          <w:sz w:val="24"/>
          <w:szCs w:val="24"/>
        </w:rPr>
      </w:pPr>
      <w:r w:rsidRPr="00BB55C9">
        <w:rPr>
          <w:b/>
          <w:sz w:val="24"/>
          <w:szCs w:val="24"/>
        </w:rPr>
        <w:lastRenderedPageBreak/>
        <w:t xml:space="preserve">Table </w:t>
      </w:r>
      <w:r w:rsidR="00C42F68">
        <w:rPr>
          <w:b/>
          <w:sz w:val="24"/>
          <w:szCs w:val="24"/>
        </w:rPr>
        <w:t>S</w:t>
      </w:r>
      <w:r w:rsidRPr="00BB55C9">
        <w:rPr>
          <w:b/>
          <w:sz w:val="24"/>
          <w:szCs w:val="24"/>
        </w:rPr>
        <w:t xml:space="preserve">3: </w:t>
      </w:r>
      <w:r w:rsidRPr="00BB55C9">
        <w:rPr>
          <w:sz w:val="24"/>
          <w:szCs w:val="24"/>
        </w:rPr>
        <w:t>Comparison of baseline characteristics between participants who completed a follow-up visit and participants who did not complete a follow-up visit among those who survived to 1 year after the first study clinic visit</w:t>
      </w:r>
    </w:p>
    <w:p w14:paraId="3B44DE12" w14:textId="77777777" w:rsidR="00457DF9" w:rsidRPr="00BB55C9" w:rsidRDefault="00457DF9" w:rsidP="00457DF9">
      <w:pPr>
        <w:tabs>
          <w:tab w:val="left" w:pos="3349"/>
        </w:tabs>
        <w:rPr>
          <w:sz w:val="24"/>
          <w:szCs w:val="24"/>
        </w:rPr>
      </w:pPr>
    </w:p>
    <w:tbl>
      <w:tblPr>
        <w:tblW w:w="12985" w:type="dxa"/>
        <w:tblLook w:val="04A0" w:firstRow="1" w:lastRow="0" w:firstColumn="1" w:lastColumn="0" w:noHBand="0" w:noVBand="1"/>
      </w:tblPr>
      <w:tblGrid>
        <w:gridCol w:w="5708"/>
        <w:gridCol w:w="2932"/>
        <w:gridCol w:w="2977"/>
        <w:gridCol w:w="1368"/>
      </w:tblGrid>
      <w:tr w:rsidR="00457DF9" w:rsidRPr="00BB55C9" w14:paraId="6960DBE1" w14:textId="77777777" w:rsidTr="000F066F">
        <w:trPr>
          <w:trHeight w:val="20"/>
        </w:trPr>
        <w:tc>
          <w:tcPr>
            <w:tcW w:w="5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3CDE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Variables</w:t>
            </w:r>
          </w:p>
        </w:tc>
        <w:tc>
          <w:tcPr>
            <w:tcW w:w="5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3F2CE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Mean (± SD), median (IQR), frequency (%)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6A0B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P</w:t>
            </w:r>
          </w:p>
        </w:tc>
      </w:tr>
      <w:tr w:rsidR="00457DF9" w:rsidRPr="00BB55C9" w14:paraId="147EB47C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3E8C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C6BB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Participants without follow-up assessment</w:t>
            </w:r>
          </w:p>
          <w:p w14:paraId="194CD958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(n=149)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ACF9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Participants with follow-up assessment</w:t>
            </w:r>
          </w:p>
          <w:p w14:paraId="4F3AF72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(n=146)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275899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457DF9" w:rsidRPr="00BB55C9" w14:paraId="285C53A7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DEB6C9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Demographic factors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1730A3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B19B1B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569835FF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 </w:t>
            </w:r>
          </w:p>
        </w:tc>
      </w:tr>
      <w:tr w:rsidR="00457DF9" w:rsidRPr="00BB55C9" w14:paraId="71B7632A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1E33D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Age, years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967E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53.6 (13.8)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3902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55.2 (13.6)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0EBE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0.31</w:t>
            </w:r>
          </w:p>
        </w:tc>
      </w:tr>
      <w:tr w:rsidR="00457DF9" w:rsidRPr="00BB55C9" w14:paraId="409D191E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41CA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Male sex</w:t>
            </w:r>
          </w:p>
        </w:tc>
        <w:tc>
          <w:tcPr>
            <w:tcW w:w="29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3C9BD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94 (63.1%)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3E04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90 (61.6%)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EB9DC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0.80 </w:t>
            </w:r>
          </w:p>
        </w:tc>
      </w:tr>
      <w:tr w:rsidR="00457DF9" w:rsidRPr="00BB55C9" w14:paraId="651A739C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78D3" w14:textId="77777777" w:rsidR="00457DF9" w:rsidRPr="00BB55C9" w:rsidRDefault="00457DF9" w:rsidP="000F066F">
            <w:pPr>
              <w:widowControl/>
              <w:ind w:right="323"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African American ethnicity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D2A3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104 (69.8%)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87717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117 (80.1%)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D664D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0.04 </w:t>
            </w:r>
          </w:p>
        </w:tc>
      </w:tr>
      <w:tr w:rsidR="00457DF9" w:rsidRPr="00BB55C9" w14:paraId="57625852" w14:textId="77777777" w:rsidTr="000F066F">
        <w:trPr>
          <w:trHeight w:val="20"/>
        </w:trPr>
        <w:tc>
          <w:tcPr>
            <w:tcW w:w="5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D20721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Physical information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8669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337987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CA1A5F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57DF9" w:rsidRPr="00BB55C9" w14:paraId="5ED4C14B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32943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Body mass index, kg/m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vertAlign w:val="superscript"/>
                <w:lang w:val="en-CA" w:eastAsia="ko-KR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E9A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28.0 (23.9, 33.3)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6362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27.9 (24.3, 33.8)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92A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0.46</w:t>
            </w:r>
          </w:p>
        </w:tc>
      </w:tr>
      <w:tr w:rsidR="00457DF9" w:rsidRPr="00BB55C9" w14:paraId="5F58C8D0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5608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  <w:t>Non-dialysis systolic blood pressure, mmHg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92715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137.5 (24.5)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109E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138.0 (26.6)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35BE2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0.86</w:t>
            </w:r>
          </w:p>
        </w:tc>
      </w:tr>
      <w:tr w:rsidR="00457DF9" w:rsidRPr="00BB55C9" w14:paraId="2BFC7A90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B9FD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  <w:t>Non-dialysis diastolic blood pressure, mmHg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8045D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74.7 (15.6)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3B87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75.5 (14.4)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4786B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0.63</w:t>
            </w:r>
          </w:p>
        </w:tc>
      </w:tr>
      <w:tr w:rsidR="00457DF9" w:rsidRPr="00BB55C9" w14:paraId="0D1EB1B0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AA0D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Non-dialysis study visit pulse pressure, mmHg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66FFF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62.8 (17.4)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30C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62.5 (19.5)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088B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0.89</w:t>
            </w:r>
          </w:p>
        </w:tc>
      </w:tr>
      <w:tr w:rsidR="00457DF9" w:rsidRPr="00BB55C9" w14:paraId="13E28342" w14:textId="77777777" w:rsidTr="000F066F">
        <w:trPr>
          <w:trHeight w:val="20"/>
        </w:trPr>
        <w:tc>
          <w:tcPr>
            <w:tcW w:w="5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9363B5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Comorbidities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50E7D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E9B57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E2765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57DF9" w:rsidRPr="00BB55C9" w14:paraId="6C8E413C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2F6C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Hypertension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482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149 (100.0%)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0A9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146 (100.0%)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B66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  <w:t>n/a</w:t>
            </w:r>
          </w:p>
        </w:tc>
      </w:tr>
      <w:tr w:rsidR="00457DF9" w:rsidRPr="00BB55C9" w14:paraId="65F3D861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99C20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Hypercholesterolemia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3EE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103 (69.1%)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33F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103 (70.5%)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C992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0.79</w:t>
            </w:r>
          </w:p>
        </w:tc>
      </w:tr>
      <w:tr w:rsidR="00457DF9" w:rsidRPr="00BB55C9" w14:paraId="54BCF973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E245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Diabetes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538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80 (53.7%)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091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82 (56.2%)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3674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0.67</w:t>
            </w:r>
          </w:p>
        </w:tc>
      </w:tr>
      <w:tr w:rsidR="00457DF9" w:rsidRPr="00BB55C9" w14:paraId="0ED3863C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8D9C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Coronary artery disease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9BE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56 (37.6%)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4B4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48 (32.9%)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A88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0.40</w:t>
            </w:r>
          </w:p>
        </w:tc>
      </w:tr>
      <w:tr w:rsidR="00457DF9" w:rsidRPr="00BB55C9" w14:paraId="4BE6D7ED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6604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Charlson</w:t>
            </w:r>
            <w:proofErr w:type="spellEnd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 xml:space="preserve"> comorbidity index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3867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5 (3, 6)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430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5 (4, 6)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8FA4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0.41</w:t>
            </w:r>
          </w:p>
        </w:tc>
      </w:tr>
      <w:tr w:rsidR="00457DF9" w:rsidRPr="00BB55C9" w14:paraId="592F2E25" w14:textId="77777777" w:rsidTr="000F066F">
        <w:trPr>
          <w:trHeight w:val="20"/>
        </w:trPr>
        <w:tc>
          <w:tcPr>
            <w:tcW w:w="5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F68BBE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Medications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5BE067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BC83F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1E9B0D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57DF9" w:rsidRPr="00BB55C9" w14:paraId="78998269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14EA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Total number of antihypertensive medications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15D2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2.7 (1.4)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F7B4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2.7 (1.3)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79C7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0.91</w:t>
            </w:r>
          </w:p>
        </w:tc>
      </w:tr>
      <w:tr w:rsidR="00457DF9" w:rsidRPr="00BB55C9" w14:paraId="093FF1D8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CDC0C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Beta-blocker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36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92 (68.7%)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7E2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100 (73.5%)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9C2B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0.38</w:t>
            </w:r>
          </w:p>
        </w:tc>
      </w:tr>
      <w:tr w:rsidR="00457DF9" w:rsidRPr="00BB55C9" w14:paraId="361CCEEB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A53C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RAAS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vertAlign w:val="superscript"/>
                <w:lang w:val="en-CA" w:eastAsia="ko-KR"/>
              </w:rPr>
              <w:t>†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 xml:space="preserve"> blockade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F0B8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49 (36.6%)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C1D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63 (46.3%)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772D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0.10</w:t>
            </w:r>
          </w:p>
        </w:tc>
      </w:tr>
      <w:tr w:rsidR="00457DF9" w:rsidRPr="00BB55C9" w14:paraId="3CFDD2ED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D17C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Calcium channel blockers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39CC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82 (61.2%)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FF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87 (64.0%)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14D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0.64</w:t>
            </w:r>
          </w:p>
        </w:tc>
      </w:tr>
      <w:tr w:rsidR="00457DF9" w:rsidRPr="00BB55C9" w14:paraId="58F7D923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19EF1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Alpha blockers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8362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18 (13.4%)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F59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13 (9.6%)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2AB2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0.32</w:t>
            </w:r>
          </w:p>
        </w:tc>
      </w:tr>
      <w:tr w:rsidR="00457DF9" w:rsidRPr="00BB55C9" w14:paraId="09FC2D08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F1E7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Vasodilators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EAC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46 (34.3%)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50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49 (36.0%)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FB23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0.77</w:t>
            </w:r>
          </w:p>
        </w:tc>
      </w:tr>
      <w:tr w:rsidR="00457DF9" w:rsidRPr="00BB55C9" w14:paraId="7391F695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520A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Diuretic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2413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32 (23.9%)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A998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29 (21.3%)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0B0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0.62</w:t>
            </w:r>
          </w:p>
        </w:tc>
      </w:tr>
      <w:tr w:rsidR="00457DF9" w:rsidRPr="00BB55C9" w14:paraId="39A3AA2F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AE6F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Cinacalcet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BF5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7 (5.2%)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02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 (4.4%)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3E9C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0.76</w:t>
            </w:r>
          </w:p>
        </w:tc>
      </w:tr>
      <w:tr w:rsidR="00457DF9" w:rsidRPr="00BB55C9" w14:paraId="50558029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99CD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QT prolonging medications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D275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46 (30.9%)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9BC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59 (40.4%)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7AAF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0.09</w:t>
            </w:r>
          </w:p>
        </w:tc>
      </w:tr>
      <w:tr w:rsidR="00457DF9" w:rsidRPr="00BB55C9" w14:paraId="1E1BB164" w14:textId="77777777" w:rsidTr="000F066F">
        <w:trPr>
          <w:trHeight w:val="20"/>
        </w:trPr>
        <w:tc>
          <w:tcPr>
            <w:tcW w:w="5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229702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Cardiac parameters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081A1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DCDF35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6BD6C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57DF9" w:rsidRPr="00BB55C9" w14:paraId="17ACBA82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1109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Left ventricular mass index, g/m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vertAlign w:val="superscript"/>
                <w:lang w:val="en-CA" w:eastAsia="ko-KR"/>
              </w:rPr>
              <w:t>2.7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5997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60.5 (49.6, 81.6)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F1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61.7 (50.1, 79.5)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B25E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0.66</w:t>
            </w:r>
          </w:p>
        </w:tc>
      </w:tr>
      <w:tr w:rsidR="00457DF9" w:rsidRPr="00BB55C9" w14:paraId="2D8FBDA0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D874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Left ventricular ejection fraction, %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BC21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65.7 (12.2)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DD8C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66.3 (12.1)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EF65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0.66</w:t>
            </w:r>
          </w:p>
        </w:tc>
      </w:tr>
      <w:tr w:rsidR="00457DF9" w:rsidRPr="00BB55C9" w14:paraId="036B5335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6A64FC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Laboratory measurements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B10AC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F7A8F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192347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57DF9" w:rsidRPr="00BB55C9" w14:paraId="13FA202E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C7D5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Hemoglobin*, g/dl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1D54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10.7 (1.2)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0F62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10.9 (1.3)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03B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0.09</w:t>
            </w:r>
          </w:p>
        </w:tc>
      </w:tr>
      <w:tr w:rsidR="00457DF9" w:rsidRPr="00BB55C9" w14:paraId="20B9B828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4DFD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pH</w:t>
            </w:r>
            <w:r w:rsidRPr="00BB55C9">
              <w:rPr>
                <w:rFonts w:eastAsia="Times New Roman" w:cs="Arial"/>
                <w:color w:val="000000"/>
                <w:kern w:val="0"/>
                <w:sz w:val="22"/>
                <w:vertAlign w:val="superscript"/>
                <w:lang w:val="en-CA" w:eastAsia="ko-KR"/>
              </w:rPr>
              <w:t>‡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D57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7.34 (0.04)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8D3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7.34 (0.04)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DF6B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0.08</w:t>
            </w:r>
          </w:p>
        </w:tc>
      </w:tr>
      <w:tr w:rsidR="00457DF9" w:rsidRPr="00BB55C9" w14:paraId="12FC5F62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A976C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Total calcium*, mg/dl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C94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8.8 (0.5)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6CE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8.8 (0.7)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1F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0.39</w:t>
            </w:r>
          </w:p>
        </w:tc>
      </w:tr>
      <w:tr w:rsidR="00457DF9" w:rsidRPr="00BB55C9" w14:paraId="220AE0C1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F91B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Corrected calcium*, mg/dl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7E17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9.0 (0.5)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6CE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9.1 (0.6)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ED7F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0.05</w:t>
            </w:r>
          </w:p>
        </w:tc>
      </w:tr>
      <w:tr w:rsidR="00457DF9" w:rsidRPr="00BB55C9" w14:paraId="05F26D33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07C2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lastRenderedPageBreak/>
              <w:t>Ionized calcium</w:t>
            </w:r>
            <w:r w:rsidRPr="00BB55C9">
              <w:rPr>
                <w:rFonts w:eastAsia="Times New Roman" w:cs="Arial"/>
                <w:color w:val="000000"/>
                <w:kern w:val="0"/>
                <w:sz w:val="22"/>
                <w:vertAlign w:val="superscript"/>
                <w:lang w:val="en-CA" w:eastAsia="ko-KR"/>
              </w:rPr>
              <w:t>‡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 xml:space="preserve">, </w:t>
            </w: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mmol</w:t>
            </w:r>
            <w:proofErr w:type="spellEnd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/l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676F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1.15 (0.06)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B84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1.14 (0.08)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57A7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0.71</w:t>
            </w:r>
          </w:p>
        </w:tc>
      </w:tr>
      <w:tr w:rsidR="00457DF9" w:rsidRPr="00BB55C9" w14:paraId="619EB918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3F49A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 xml:space="preserve">Total potassium*, </w:t>
            </w: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mEq</w:t>
            </w:r>
            <w:proofErr w:type="spellEnd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/l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7ED3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4.4 (0.5)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5E6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4.4 (0.5)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C26D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0.64</w:t>
            </w:r>
          </w:p>
        </w:tc>
      </w:tr>
      <w:tr w:rsidR="00457DF9" w:rsidRPr="00BB55C9" w14:paraId="7749B123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C455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Magnesium</w:t>
            </w:r>
            <w:r w:rsidRPr="00BB55C9">
              <w:rPr>
                <w:rFonts w:eastAsia="Times New Roman" w:cs="Arial"/>
                <w:color w:val="000000"/>
                <w:kern w:val="0"/>
                <w:sz w:val="22"/>
                <w:vertAlign w:val="superscript"/>
                <w:lang w:val="en-CA" w:eastAsia="ko-KR"/>
              </w:rPr>
              <w:t>‡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 xml:space="preserve">, </w:t>
            </w: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mEq</w:t>
            </w:r>
            <w:proofErr w:type="spellEnd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/l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BB8F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1.77 (0.21)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852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1.75 (0.27)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8874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0.46</w:t>
            </w:r>
          </w:p>
        </w:tc>
      </w:tr>
      <w:tr w:rsidR="00457DF9" w:rsidRPr="00BB55C9" w14:paraId="36E4EBB5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1D748A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Dialysate measurements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0CB078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DAB95E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0639D2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57DF9" w:rsidRPr="00BB55C9" w14:paraId="17DA22CD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3DFF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Calcium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vertAlign w:val="superscript"/>
                <w:lang w:val="en-CA" w:eastAsia="ko-KR"/>
              </w:rPr>
              <w:t>§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 xml:space="preserve">, </w:t>
            </w: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mEq</w:t>
            </w:r>
            <w:proofErr w:type="spellEnd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/l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1ECD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7D0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7E97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57DF9" w:rsidRPr="00BB55C9" w14:paraId="0D864A21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D1F0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3B843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60 (40.3%)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08E2C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62 (42.5%)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11C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0.78</w:t>
            </w:r>
          </w:p>
        </w:tc>
      </w:tr>
      <w:tr w:rsidR="00457DF9" w:rsidRPr="00BB55C9" w14:paraId="4D7F7A49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7BFF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  <w:t>2.25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FE5B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5 (3.4%)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B7B1D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8 (5.5%)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AEC9C5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457DF9" w:rsidRPr="00BB55C9" w14:paraId="6C005134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15C4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  <w:t>2.5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6D27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83 (55.7%)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556BB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75 (51.4%)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7D17A1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457DF9" w:rsidRPr="00BB55C9" w14:paraId="60C653DC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304C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1CFE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 (0.7%)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22AF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 (0.7%)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26E906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457DF9" w:rsidRPr="00BB55C9" w14:paraId="52234D0F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001B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Potassium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vertAlign w:val="superscript"/>
                <w:lang w:val="en-CA" w:eastAsia="ko-KR"/>
              </w:rPr>
              <w:t>§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 xml:space="preserve">, </w:t>
            </w: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mEq</w:t>
            </w:r>
            <w:proofErr w:type="spellEnd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/l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D5D7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5E44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2348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57DF9" w:rsidRPr="00BB55C9" w14:paraId="5CEFDA7B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125D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526D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 (0.0%)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FF4DE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5 (3.4%)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51B73F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0.07</w:t>
            </w:r>
          </w:p>
        </w:tc>
      </w:tr>
      <w:tr w:rsidR="00457DF9" w:rsidRPr="00BB55C9" w14:paraId="4E29D311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7E6A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7B1A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127 (85.2%)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6308D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119 (81.5%)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F15A81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457DF9" w:rsidRPr="00BB55C9" w14:paraId="70C99AAC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029A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D7961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22 (14.8%)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A63A36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22 (15.1%)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14107E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457DF9" w:rsidRPr="00BB55C9" w14:paraId="697F7EE7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3F9DB7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Serum-dialysate measurements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92383F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84764C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BB036E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57DF9" w:rsidRPr="00BB55C9" w14:paraId="3141119A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452E3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 xml:space="preserve">Total calcium*, </w:t>
            </w: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mEq</w:t>
            </w:r>
            <w:proofErr w:type="spellEnd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/l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A8AF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2.1 (0.4)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E95C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2.1 (0.4)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5993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0.32</w:t>
            </w:r>
          </w:p>
        </w:tc>
      </w:tr>
      <w:tr w:rsidR="00457DF9" w:rsidRPr="00BB55C9" w14:paraId="2B5EE728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D1970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 xml:space="preserve">Corrected calcium*, </w:t>
            </w: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mEq</w:t>
            </w:r>
            <w:proofErr w:type="spellEnd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/l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5A505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2.2 (0.4)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87A9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2.3 (0.4)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925E1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0.06</w:t>
            </w:r>
          </w:p>
        </w:tc>
      </w:tr>
      <w:tr w:rsidR="00457DF9" w:rsidRPr="00BB55C9" w14:paraId="0AE0CA28" w14:textId="77777777" w:rsidTr="000F066F">
        <w:trPr>
          <w:trHeight w:val="20"/>
        </w:trPr>
        <w:tc>
          <w:tcPr>
            <w:tcW w:w="5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D6A8C5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en-CA" w:eastAsia="ko-KR"/>
              </w:rPr>
              <w:t>ECG measurements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157318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ED3E5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7DEC58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57DF9" w:rsidRPr="00BB55C9" w14:paraId="57DD8BFA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205E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QT interval</w:t>
            </w:r>
            <w:r w:rsidRPr="00BB55C9">
              <w:rPr>
                <w:rFonts w:eastAsia="Times New Roman" w:cs="Arial"/>
                <w:color w:val="000000"/>
                <w:kern w:val="0"/>
                <w:sz w:val="22"/>
                <w:vertAlign w:val="superscript"/>
                <w:lang w:val="en-CA" w:eastAsia="ko-KR"/>
              </w:rPr>
              <w:t>‡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 xml:space="preserve">, </w:t>
            </w: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ms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AD0F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435.5 (58.2)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C7B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436.1 (53.1)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C10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0.92</w:t>
            </w:r>
          </w:p>
        </w:tc>
      </w:tr>
      <w:tr w:rsidR="00457DF9" w:rsidRPr="00BB55C9" w14:paraId="4F882FE9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FCCA9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Corrected QT interval</w:t>
            </w:r>
            <w:r w:rsidRPr="00BB55C9">
              <w:rPr>
                <w:rFonts w:eastAsia="Times New Roman" w:cs="Arial"/>
                <w:color w:val="000000"/>
                <w:kern w:val="0"/>
                <w:sz w:val="22"/>
                <w:vertAlign w:val="superscript"/>
                <w:lang w:val="en-CA" w:eastAsia="ko-KR"/>
              </w:rPr>
              <w:t>‡</w:t>
            </w: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 xml:space="preserve">, </w:t>
            </w: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ms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D3E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453.1 (48.4)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1F0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456.4 (44.7)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9CA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0.54</w:t>
            </w:r>
          </w:p>
        </w:tc>
      </w:tr>
      <w:tr w:rsidR="00457DF9" w:rsidRPr="00BB55C9" w14:paraId="2F0E1F2E" w14:textId="77777777" w:rsidTr="000F066F">
        <w:trPr>
          <w:trHeight w:val="20"/>
        </w:trPr>
        <w:tc>
          <w:tcPr>
            <w:tcW w:w="5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DC34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0"/>
                <w:szCs w:val="20"/>
                <w:lang w:val="en-CA" w:eastAsia="ko-KR"/>
              </w:rPr>
              <w:t>QT prolongation</w:t>
            </w:r>
            <w:r w:rsidRPr="00BB55C9">
              <w:rPr>
                <w:rFonts w:eastAsia="Times New Roman" w:cs="Arial"/>
                <w:color w:val="000000"/>
                <w:kern w:val="0"/>
                <w:sz w:val="22"/>
                <w:vertAlign w:val="superscript"/>
                <w:lang w:val="en-CA" w:eastAsia="ko-KR"/>
              </w:rPr>
              <w:t>‡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E69993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68 (45.6%)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5858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sz w:val="20"/>
                <w:szCs w:val="20"/>
              </w:rPr>
              <w:t>69 (47.3%)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00DCC" w14:textId="77777777" w:rsidR="00457DF9" w:rsidRPr="00BB55C9" w:rsidRDefault="00457DF9" w:rsidP="000F066F">
            <w:pPr>
              <w:widowControl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sz w:val="20"/>
                <w:szCs w:val="20"/>
              </w:rPr>
              <w:t>0.78</w:t>
            </w:r>
          </w:p>
        </w:tc>
      </w:tr>
      <w:tr w:rsidR="00457DF9" w:rsidRPr="00BB55C9" w14:paraId="5E561D16" w14:textId="77777777" w:rsidTr="000F066F">
        <w:trPr>
          <w:trHeight w:val="20"/>
        </w:trPr>
        <w:tc>
          <w:tcPr>
            <w:tcW w:w="12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F9E8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2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2"/>
                <w:vertAlign w:val="superscript"/>
                <w:lang w:val="en-CA" w:eastAsia="ko-KR"/>
              </w:rPr>
              <w:t>†</w:t>
            </w:r>
            <w:r w:rsidRPr="00BB55C9">
              <w:rPr>
                <w:rFonts w:eastAsia="Times New Roman" w:cs="Arial"/>
                <w:color w:val="000000"/>
                <w:kern w:val="0"/>
                <w:sz w:val="22"/>
                <w:lang w:val="en-CA" w:eastAsia="ko-KR"/>
              </w:rPr>
              <w:t>Renin-angiotensin-aldosterone system blockade includes angiotensin-converting-enzyme inhibitor and angiotensin II receptor blocker</w:t>
            </w:r>
            <w:r w:rsidRPr="00BB55C9">
              <w:rPr>
                <w:rFonts w:eastAsia="Times New Roman" w:cs="Arial"/>
                <w:color w:val="000000"/>
                <w:kern w:val="0"/>
                <w:sz w:val="22"/>
                <w:vertAlign w:val="superscript"/>
                <w:lang w:eastAsia="ko-KR"/>
              </w:rPr>
              <w:t> </w:t>
            </w:r>
          </w:p>
        </w:tc>
      </w:tr>
      <w:tr w:rsidR="00457DF9" w:rsidRPr="00BB55C9" w14:paraId="133B4816" w14:textId="77777777" w:rsidTr="000F066F">
        <w:trPr>
          <w:trHeight w:val="806"/>
        </w:trPr>
        <w:tc>
          <w:tcPr>
            <w:tcW w:w="129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A6ACBC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2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2"/>
                <w:lang w:eastAsia="ko-KR"/>
              </w:rPr>
              <w:t xml:space="preserve">*3-month average </w:t>
            </w: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2"/>
                <w:lang w:eastAsia="ko-KR"/>
              </w:rPr>
              <w:t>predialysis</w:t>
            </w:r>
            <w:proofErr w:type="spellEnd"/>
            <w:r w:rsidRPr="00BB55C9">
              <w:rPr>
                <w:rFonts w:eastAsia="Times New Roman" w:cs="Arial"/>
                <w:color w:val="000000"/>
                <w:kern w:val="0"/>
                <w:sz w:val="22"/>
                <w:lang w:eastAsia="ko-KR"/>
              </w:rPr>
              <w:t xml:space="preserve"> measurements</w:t>
            </w:r>
          </w:p>
          <w:p w14:paraId="1D3D76AD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2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2"/>
                <w:vertAlign w:val="superscript"/>
                <w:lang w:eastAsia="ko-KR"/>
              </w:rPr>
              <w:t>‡</w:t>
            </w:r>
            <w:r w:rsidRPr="00BB55C9">
              <w:rPr>
                <w:rFonts w:eastAsia="Times New Roman" w:cs="Arial"/>
                <w:color w:val="000000"/>
                <w:kern w:val="0"/>
                <w:sz w:val="22"/>
                <w:lang w:eastAsia="ko-KR"/>
              </w:rPr>
              <w:t>Non-dialysis (</w:t>
            </w:r>
            <w:proofErr w:type="spellStart"/>
            <w:r w:rsidRPr="00BB55C9">
              <w:rPr>
                <w:rFonts w:eastAsia="Times New Roman" w:cs="Arial"/>
                <w:color w:val="000000"/>
                <w:kern w:val="0"/>
                <w:sz w:val="22"/>
                <w:lang w:eastAsia="ko-KR"/>
              </w:rPr>
              <w:t>interdialytic</w:t>
            </w:r>
            <w:proofErr w:type="spellEnd"/>
            <w:r w:rsidRPr="00BB55C9">
              <w:rPr>
                <w:rFonts w:eastAsia="Times New Roman" w:cs="Arial"/>
                <w:color w:val="000000"/>
                <w:kern w:val="0"/>
                <w:sz w:val="22"/>
                <w:lang w:eastAsia="ko-KR"/>
              </w:rPr>
              <w:t>) measurements</w:t>
            </w:r>
          </w:p>
          <w:p w14:paraId="59FE7E2C" w14:textId="77777777" w:rsidR="00457DF9" w:rsidRPr="00BB55C9" w:rsidRDefault="00457DF9" w:rsidP="000F066F">
            <w:pPr>
              <w:widowControl/>
              <w:jc w:val="left"/>
              <w:rPr>
                <w:rFonts w:eastAsia="Times New Roman" w:cs="Arial"/>
                <w:color w:val="000000"/>
                <w:kern w:val="0"/>
                <w:sz w:val="22"/>
                <w:lang w:eastAsia="ko-KR"/>
              </w:rPr>
            </w:pPr>
            <w:r w:rsidRPr="00BB55C9">
              <w:rPr>
                <w:rFonts w:eastAsia="Times New Roman" w:cs="Arial"/>
                <w:color w:val="000000"/>
                <w:kern w:val="0"/>
                <w:sz w:val="22"/>
                <w:vertAlign w:val="superscript"/>
                <w:lang w:eastAsia="ko-KR"/>
              </w:rPr>
              <w:t>§</w:t>
            </w:r>
            <w:r w:rsidRPr="00BB55C9">
              <w:rPr>
                <w:rFonts w:eastAsia="Times New Roman" w:cs="Arial"/>
                <w:color w:val="000000"/>
                <w:kern w:val="0"/>
                <w:sz w:val="22"/>
                <w:lang w:eastAsia="ko-KR"/>
              </w:rPr>
              <w:t>Measurement closest to the study clinic visit</w:t>
            </w:r>
            <w:r w:rsidRPr="00BB55C9">
              <w:rPr>
                <w:rFonts w:eastAsia="Times New Roman" w:cs="Arial"/>
                <w:color w:val="000000"/>
                <w:kern w:val="0"/>
                <w:sz w:val="22"/>
                <w:vertAlign w:val="superscript"/>
                <w:lang w:eastAsia="ko-KR"/>
              </w:rPr>
              <w:t> </w:t>
            </w:r>
          </w:p>
        </w:tc>
      </w:tr>
    </w:tbl>
    <w:p w14:paraId="64492F42" w14:textId="77777777" w:rsidR="00457DF9" w:rsidRPr="00BB55C9" w:rsidRDefault="00457DF9" w:rsidP="00457DF9">
      <w:pPr>
        <w:widowControl/>
        <w:spacing w:after="160" w:line="259" w:lineRule="auto"/>
        <w:jc w:val="left"/>
        <w:rPr>
          <w:sz w:val="20"/>
          <w:szCs w:val="20"/>
        </w:rPr>
      </w:pPr>
    </w:p>
    <w:p w14:paraId="66A6EAD0" w14:textId="77777777" w:rsidR="00457DF9" w:rsidRPr="00BB55C9" w:rsidRDefault="00457DF9" w:rsidP="00457DF9">
      <w:pPr>
        <w:widowControl/>
        <w:jc w:val="left"/>
      </w:pPr>
      <w:r w:rsidRPr="00BB55C9">
        <w:br w:type="page"/>
      </w:r>
    </w:p>
    <w:p w14:paraId="2C8B26B9" w14:textId="4F29B727" w:rsidR="00457DF9" w:rsidRPr="00BB55C9" w:rsidRDefault="00457DF9" w:rsidP="00457DF9">
      <w:pPr>
        <w:widowControl/>
        <w:spacing w:after="160" w:line="259" w:lineRule="auto"/>
        <w:jc w:val="left"/>
        <w:rPr>
          <w:b/>
          <w:sz w:val="24"/>
          <w:szCs w:val="24"/>
        </w:rPr>
      </w:pPr>
      <w:r w:rsidRPr="00BB55C9">
        <w:rPr>
          <w:b/>
          <w:sz w:val="24"/>
        </w:rPr>
        <w:lastRenderedPageBreak/>
        <w:t xml:space="preserve">Table </w:t>
      </w:r>
      <w:r w:rsidR="00C42F68">
        <w:rPr>
          <w:b/>
          <w:sz w:val="24"/>
        </w:rPr>
        <w:t>S</w:t>
      </w:r>
      <w:r w:rsidRPr="00BB55C9">
        <w:rPr>
          <w:b/>
          <w:sz w:val="24"/>
        </w:rPr>
        <w:t xml:space="preserve">4: </w:t>
      </w:r>
      <w:r w:rsidRPr="00BB55C9">
        <w:rPr>
          <w:sz w:val="24"/>
        </w:rPr>
        <w:t>Longitudinal associations</w:t>
      </w:r>
      <w:r w:rsidRPr="00BB55C9">
        <w:rPr>
          <w:rFonts w:asciiTheme="minorHAnsi" w:hAnsiTheme="minorHAnsi"/>
          <w:sz w:val="24"/>
          <w:szCs w:val="24"/>
        </w:rPr>
        <w:t xml:space="preserve"> </w:t>
      </w:r>
      <w:r w:rsidRPr="00BB55C9">
        <w:rPr>
          <w:sz w:val="24"/>
        </w:rPr>
        <w:t xml:space="preserve">of serum and dialysate electrolytes with the risk of </w:t>
      </w:r>
      <w:proofErr w:type="spellStart"/>
      <w:r w:rsidRPr="00BB55C9">
        <w:rPr>
          <w:sz w:val="24"/>
        </w:rPr>
        <w:t>QTc</w:t>
      </w:r>
      <w:proofErr w:type="spellEnd"/>
      <w:r w:rsidRPr="00BB55C9">
        <w:rPr>
          <w:sz w:val="24"/>
        </w:rPr>
        <w:t xml:space="preserve"> prolongation in 146 participants</w:t>
      </w:r>
    </w:p>
    <w:tbl>
      <w:tblPr>
        <w:tblW w:w="13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9"/>
        <w:gridCol w:w="2268"/>
        <w:gridCol w:w="850"/>
        <w:gridCol w:w="2268"/>
        <w:gridCol w:w="851"/>
        <w:gridCol w:w="2268"/>
        <w:gridCol w:w="157"/>
        <w:gridCol w:w="857"/>
        <w:gridCol w:w="8"/>
      </w:tblGrid>
      <w:tr w:rsidR="00457DF9" w:rsidRPr="00BB55C9" w14:paraId="07C31C26" w14:textId="77777777" w:rsidTr="000F066F">
        <w:trPr>
          <w:gridAfter w:val="1"/>
          <w:wAfter w:w="8" w:type="dxa"/>
          <w:trHeight w:val="300"/>
        </w:trPr>
        <w:tc>
          <w:tcPr>
            <w:tcW w:w="41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560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Variables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4E0C" w14:textId="77777777" w:rsidR="00457DF9" w:rsidRPr="00BB55C9" w:rsidRDefault="00457DF9" w:rsidP="000F066F">
            <w:pPr>
              <w:widowControl/>
              <w:ind w:right="-108"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Model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CCD7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Model 2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252E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Model 3</w:t>
            </w:r>
          </w:p>
        </w:tc>
      </w:tr>
      <w:tr w:rsidR="00457DF9" w:rsidRPr="00BB55C9" w14:paraId="239D10DF" w14:textId="77777777" w:rsidTr="000F066F">
        <w:trPr>
          <w:trHeight w:val="300"/>
        </w:trPr>
        <w:tc>
          <w:tcPr>
            <w:tcW w:w="41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8211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9C31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RR 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CE9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0BB8D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RR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1A9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B46A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RR (95% CI)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2590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P</w:t>
            </w:r>
          </w:p>
        </w:tc>
      </w:tr>
      <w:tr w:rsidR="00457DF9" w:rsidRPr="00BB55C9" w14:paraId="252702C0" w14:textId="77777777" w:rsidTr="000F066F">
        <w:trPr>
          <w:trHeight w:val="300"/>
        </w:trPr>
        <w:tc>
          <w:tcPr>
            <w:tcW w:w="414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9CF382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Serum measurements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36A5EC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8808E1" w14:textId="77777777" w:rsidR="00457DF9" w:rsidRPr="00BB55C9" w:rsidRDefault="00457DF9" w:rsidP="000F066F">
            <w:pPr>
              <w:widowControl/>
              <w:jc w:val="righ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C977C8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04F78C" w14:textId="77777777" w:rsidR="00457DF9" w:rsidRPr="00BB55C9" w:rsidRDefault="00457DF9" w:rsidP="000F066F">
            <w:pPr>
              <w:widowControl/>
              <w:jc w:val="righ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09958B3" w14:textId="77777777" w:rsidR="00457DF9" w:rsidRPr="00BB55C9" w:rsidRDefault="00457DF9" w:rsidP="000F066F">
            <w:pPr>
              <w:widowControl/>
              <w:jc w:val="righ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ECB6A0" w14:textId="77777777" w:rsidR="00457DF9" w:rsidRPr="00BB55C9" w:rsidRDefault="00457DF9" w:rsidP="000F066F">
            <w:pPr>
              <w:widowControl/>
              <w:jc w:val="righ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457DF9" w:rsidRPr="00BB55C9" w14:paraId="00D96B7B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456E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Total calcium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, per 1 mg/dl decrease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9F18A5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1.13 (0.92, 1.39)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541AD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0.25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F96AD0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1.12 (0.91, 1.38)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77E5B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0.27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B47BF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1.02 (0.81, 1.28)</w:t>
            </w:r>
          </w:p>
        </w:tc>
        <w:tc>
          <w:tcPr>
            <w:tcW w:w="1022" w:type="dxa"/>
            <w:gridSpan w:val="3"/>
          </w:tcPr>
          <w:p w14:paraId="23048E7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0.88</w:t>
            </w:r>
          </w:p>
        </w:tc>
      </w:tr>
      <w:tr w:rsidR="00457DF9" w:rsidRPr="00BB55C9" w14:paraId="2001E618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0CC6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Corrected calcium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, per 1 mg/dl decrease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9DFDF8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1.07 (0.85, 1.34)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8EE39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0.58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0BF14F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1.04 (0.83, 1.30)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D94A49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0.73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A7C2D8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0.94 (0.73, 1.22)</w:t>
            </w:r>
          </w:p>
        </w:tc>
        <w:tc>
          <w:tcPr>
            <w:tcW w:w="1022" w:type="dxa"/>
            <w:gridSpan w:val="3"/>
          </w:tcPr>
          <w:p w14:paraId="68EB254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0.65</w:t>
            </w:r>
          </w:p>
        </w:tc>
      </w:tr>
      <w:tr w:rsidR="00457DF9" w:rsidRPr="00BB55C9" w14:paraId="78CFEDA1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DD45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Ionized calcium*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, per 0.1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mmol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 decrease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E095C8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b/>
              </w:rPr>
              <w:t>1.20 (1.01, 1.44)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82FBDA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b/>
              </w:rPr>
              <w:t>0.04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8B670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b/>
              </w:rPr>
              <w:t>1.21 (1.01, 1.46)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FCCD6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b/>
              </w:rPr>
              <w:t>0.04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60383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1.18 (0.98, 1.43)</w:t>
            </w:r>
          </w:p>
        </w:tc>
        <w:tc>
          <w:tcPr>
            <w:tcW w:w="1022" w:type="dxa"/>
            <w:gridSpan w:val="3"/>
          </w:tcPr>
          <w:p w14:paraId="6F5A5DD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0.08</w:t>
            </w:r>
          </w:p>
        </w:tc>
      </w:tr>
      <w:tr w:rsidR="00457DF9" w:rsidRPr="00BB55C9" w14:paraId="0577DA8A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D8D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Potassium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, per 1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 decrease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CC620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b/>
              </w:rPr>
              <w:t>1.50 (1.16, 1.94)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3D8636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b/>
              </w:rPr>
              <w:t>0.002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F6B4D1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b/>
              </w:rPr>
              <w:t>1.54 (1.17, 2.03)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279A5A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b/>
              </w:rPr>
              <w:t>0.002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D3DA6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BB55C9">
              <w:rPr>
                <w:b/>
              </w:rPr>
              <w:t>1.50 (1.14, 1.97)</w:t>
            </w:r>
          </w:p>
        </w:tc>
        <w:tc>
          <w:tcPr>
            <w:tcW w:w="1022" w:type="dxa"/>
            <w:gridSpan w:val="3"/>
          </w:tcPr>
          <w:p w14:paraId="7D6E246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BB55C9">
              <w:rPr>
                <w:b/>
              </w:rPr>
              <w:t>0.004</w:t>
            </w:r>
          </w:p>
        </w:tc>
      </w:tr>
      <w:tr w:rsidR="00457DF9" w:rsidRPr="00BB55C9" w14:paraId="688AA5D3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A67D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Magnesium*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, per 0.1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 decrease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A8AF8C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1.00 (0.95, 1.06)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075DAC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0.98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457F0B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1.00 (0.95, 1.05)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CBB960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0.95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7808D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0.99 (0.93, 1.04)</w:t>
            </w:r>
          </w:p>
        </w:tc>
        <w:tc>
          <w:tcPr>
            <w:tcW w:w="1022" w:type="dxa"/>
            <w:gridSpan w:val="3"/>
          </w:tcPr>
          <w:p w14:paraId="0EF8596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0.65</w:t>
            </w:r>
          </w:p>
        </w:tc>
      </w:tr>
      <w:tr w:rsidR="00457DF9" w:rsidRPr="00BB55C9" w14:paraId="00C9A1F3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086E97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Dialysate measurements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874FA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07875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E108D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1D55A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6C034B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vAlign w:val="bottom"/>
          </w:tcPr>
          <w:p w14:paraId="07C7385B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457DF9" w:rsidRPr="00BB55C9" w14:paraId="1333B921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A52B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Calcium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0B3DC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15A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FF61C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86D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297F38C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022" w:type="dxa"/>
            <w:gridSpan w:val="3"/>
            <w:vAlign w:val="bottom"/>
          </w:tcPr>
          <w:p w14:paraId="10B1E1E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457DF9" w:rsidRPr="00BB55C9" w14:paraId="5D1763E2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DD89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 xml:space="preserve">       2.5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B39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4D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503D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8F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2BD5505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1022" w:type="dxa"/>
            <w:gridSpan w:val="3"/>
            <w:vAlign w:val="bottom"/>
          </w:tcPr>
          <w:p w14:paraId="3177D44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457DF9" w:rsidRPr="00BB55C9" w14:paraId="36759DA5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C8DD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      &lt; </w:t>
            </w: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2.5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6A9B87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  <w:r w:rsidRPr="00BB55C9">
              <w:t>1.11 (0.85, 1.44)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816F34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  <w:r w:rsidRPr="00BB55C9">
              <w:t>0.46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37F547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  <w:r w:rsidRPr="00BB55C9">
              <w:t>1.11 (0.86, 1.44)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6D82E2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0.42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E6E53B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1.19 (0.90, 1.57)</w:t>
            </w:r>
          </w:p>
        </w:tc>
        <w:tc>
          <w:tcPr>
            <w:tcW w:w="1022" w:type="dxa"/>
            <w:gridSpan w:val="3"/>
          </w:tcPr>
          <w:p w14:paraId="198FA33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0.22</w:t>
            </w:r>
          </w:p>
        </w:tc>
      </w:tr>
      <w:tr w:rsidR="00457DF9" w:rsidRPr="00BB55C9" w14:paraId="77A1AD97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97E9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Potassium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299EB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6B0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9052E5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16F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61B1FD6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022" w:type="dxa"/>
            <w:gridSpan w:val="3"/>
            <w:vAlign w:val="bottom"/>
          </w:tcPr>
          <w:p w14:paraId="0452CD7B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457DF9" w:rsidRPr="00BB55C9" w14:paraId="58D58FB0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65C1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 xml:space="preserve">       2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B85662C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5D48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E06EF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i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00F2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14:paraId="36EA253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rPr>
                <w:rFonts w:eastAsia="Times New Roman"/>
                <w:color w:val="000000"/>
              </w:rPr>
              <w:t>reference</w:t>
            </w:r>
          </w:p>
        </w:tc>
        <w:tc>
          <w:tcPr>
            <w:tcW w:w="1022" w:type="dxa"/>
            <w:gridSpan w:val="3"/>
            <w:vAlign w:val="bottom"/>
          </w:tcPr>
          <w:p w14:paraId="4FA3C551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457DF9" w:rsidRPr="00BB55C9" w14:paraId="7CEBAB58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35EC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 xml:space="preserve">       &gt; 2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77F502F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0.93 (0.60, 1.46)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A3416C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0.76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B5ACC3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0.95 (0.62, 1.44)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559912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0.81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8236FD3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0.95 (0.60, 1.50)</w:t>
            </w:r>
          </w:p>
        </w:tc>
        <w:tc>
          <w:tcPr>
            <w:tcW w:w="1022" w:type="dxa"/>
            <w:gridSpan w:val="3"/>
          </w:tcPr>
          <w:p w14:paraId="2285AA86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0.83</w:t>
            </w:r>
          </w:p>
        </w:tc>
      </w:tr>
      <w:tr w:rsidR="00457DF9" w:rsidRPr="00BB55C9" w14:paraId="0D83EA74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1958E9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Serum-to-dialysate gradients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74CBE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BFD82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D42BA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9B9D8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81C0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vAlign w:val="bottom"/>
          </w:tcPr>
          <w:p w14:paraId="7B58821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</w:pPr>
          </w:p>
        </w:tc>
      </w:tr>
      <w:tr w:rsidR="00457DF9" w:rsidRPr="00BB55C9" w14:paraId="38DF5397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0E0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Total calcium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, per 1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 increase in difference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18225B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0.86 (0.63, 1.18)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8ED83C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AE4EF7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0.86 (0.62, 1.20)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BC27D0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4300C7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1.02 (0.72, 1.45)</w:t>
            </w:r>
          </w:p>
        </w:tc>
        <w:tc>
          <w:tcPr>
            <w:tcW w:w="1022" w:type="dxa"/>
            <w:gridSpan w:val="3"/>
          </w:tcPr>
          <w:p w14:paraId="4881DBF0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0.91</w:t>
            </w:r>
          </w:p>
        </w:tc>
      </w:tr>
      <w:tr w:rsidR="00457DF9" w:rsidRPr="00BB55C9" w14:paraId="1ABE0E64" w14:textId="77777777" w:rsidTr="000F066F">
        <w:trPr>
          <w:trHeight w:val="300"/>
        </w:trPr>
        <w:tc>
          <w:tcPr>
            <w:tcW w:w="41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3AE" w14:textId="77777777" w:rsidR="00457DF9" w:rsidRPr="00BB55C9" w:rsidRDefault="00457DF9" w:rsidP="000F066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b/>
                <w:color w:val="000000"/>
                <w:kern w:val="0"/>
                <w:sz w:val="22"/>
                <w:lang w:val="en-CA" w:eastAsia="en-CA"/>
              </w:rPr>
              <w:t>Corrected calcium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, per 1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mEq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/l increase in difference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DAC738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0.94 (0.66, 1.33)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BD89214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0.73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E68DE29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0.96 (0.67, 1.38)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81F9D05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t>0.83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FD77F4A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1.14 (0.77, 1.71)</w:t>
            </w:r>
          </w:p>
        </w:tc>
        <w:tc>
          <w:tcPr>
            <w:tcW w:w="1022" w:type="dxa"/>
            <w:gridSpan w:val="3"/>
          </w:tcPr>
          <w:p w14:paraId="693B15BE" w14:textId="77777777" w:rsidR="00457DF9" w:rsidRPr="00BB55C9" w:rsidRDefault="00457DF9" w:rsidP="000F066F">
            <w:pPr>
              <w:widowControl/>
              <w:jc w:val="center"/>
              <w:rPr>
                <w:rFonts w:eastAsia="Times New Roman"/>
                <w:color w:val="000000"/>
                <w:sz w:val="22"/>
              </w:rPr>
            </w:pPr>
            <w:r w:rsidRPr="00BB55C9">
              <w:t>0.51</w:t>
            </w:r>
          </w:p>
        </w:tc>
      </w:tr>
      <w:tr w:rsidR="00457DF9" w:rsidRPr="00BB55C9" w14:paraId="48F38050" w14:textId="77777777" w:rsidTr="000F066F">
        <w:trPr>
          <w:gridAfter w:val="1"/>
          <w:wAfter w:w="8" w:type="dxa"/>
          <w:trHeight w:val="300"/>
        </w:trPr>
        <w:tc>
          <w:tcPr>
            <w:tcW w:w="128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3AC92E" w14:textId="77777777" w:rsidR="00457DF9" w:rsidRPr="00BB55C9" w:rsidRDefault="00457DF9" w:rsidP="000F066F">
            <w:pPr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RR = risk ratio</w:t>
            </w:r>
          </w:p>
          <w:p w14:paraId="52449BB0" w14:textId="77777777" w:rsidR="00457DF9" w:rsidRPr="00BB55C9" w:rsidRDefault="00457DF9" w:rsidP="000F066F">
            <w:pPr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Model 1 includes the main exposure (one of serum, dialysate, or gradient measurements)</w:t>
            </w:r>
          </w:p>
          <w:p w14:paraId="2D158EB3" w14:textId="77777777" w:rsidR="00457DF9" w:rsidRPr="00BB55C9" w:rsidRDefault="00457DF9" w:rsidP="000F066F">
            <w:pPr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Model 2 includes model 1, age, sex, and ethnicity</w:t>
            </w:r>
          </w:p>
          <w:p w14:paraId="2F1021C0" w14:textId="77777777" w:rsidR="00457DF9" w:rsidRPr="00BB55C9" w:rsidRDefault="00457DF9" w:rsidP="000F066F">
            <w:pPr>
              <w:jc w:val="left"/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Model 3 includes model 2,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Charlson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 comorbidity index, non-dialysis systolic blood pressure, left ventricular mass index, and use of antihypertensive medication, renin-angiotensin-aldosterone system blockade,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cinacalcet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, and QT-prolonging medication</w:t>
            </w:r>
          </w:p>
          <w:p w14:paraId="18EB897C" w14:textId="77777777" w:rsidR="00457DF9" w:rsidRPr="00BB55C9" w:rsidRDefault="00457DF9" w:rsidP="000F066F">
            <w:pPr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  <w:r w:rsidRPr="00BB55C9">
              <w:rPr>
                <w:rFonts w:eastAsia="Times New Roman"/>
                <w:color w:val="000000"/>
                <w:kern w:val="0"/>
                <w:sz w:val="24"/>
                <w:lang w:val="en-CA" w:eastAsia="en-CA"/>
              </w:rPr>
              <w:t>*</w:t>
            </w:r>
            <w:r w:rsidRPr="00BB55C9">
              <w:rPr>
                <w:rFonts w:eastAsia="Times New Roman"/>
                <w:color w:val="000000"/>
                <w:sz w:val="22"/>
                <w:lang w:eastAsia="en-CA"/>
              </w:rPr>
              <w:t xml:space="preserve"> </w:t>
            </w:r>
            <w:r w:rsidRPr="00BB55C9">
              <w:rPr>
                <w:sz w:val="22"/>
              </w:rPr>
              <w:t>Models with ionized calcium and magnesium also include serum pH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1F061F82" w14:textId="77777777" w:rsidR="00457DF9" w:rsidRPr="00BB55C9" w:rsidRDefault="00457DF9" w:rsidP="000F066F">
            <w:pPr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</w:pPr>
          </w:p>
        </w:tc>
      </w:tr>
    </w:tbl>
    <w:p w14:paraId="408E5ED8" w14:textId="77777777" w:rsidR="00457DF9" w:rsidRPr="00BB55C9" w:rsidRDefault="00457DF9" w:rsidP="00457DF9">
      <w:pPr>
        <w:widowControl/>
        <w:spacing w:after="160" w:line="259" w:lineRule="auto"/>
        <w:jc w:val="left"/>
        <w:rPr>
          <w:b/>
          <w:sz w:val="24"/>
        </w:rPr>
      </w:pPr>
    </w:p>
    <w:p w14:paraId="30D95FE2" w14:textId="77777777" w:rsidR="00457DF9" w:rsidRPr="00BB55C9" w:rsidRDefault="00457DF9" w:rsidP="00457DF9">
      <w:pPr>
        <w:widowControl/>
        <w:jc w:val="left"/>
        <w:rPr>
          <w:b/>
          <w:sz w:val="24"/>
        </w:rPr>
      </w:pPr>
      <w:r w:rsidRPr="00BB55C9">
        <w:rPr>
          <w:b/>
          <w:sz w:val="24"/>
        </w:rPr>
        <w:br w:type="page"/>
      </w:r>
    </w:p>
    <w:p w14:paraId="1E402BA8" w14:textId="77777777" w:rsidR="00457DF9" w:rsidRPr="00BB55C9" w:rsidRDefault="00457DF9" w:rsidP="00457DF9">
      <w:pPr>
        <w:widowControl/>
        <w:spacing w:after="160" w:line="259" w:lineRule="auto"/>
        <w:jc w:val="left"/>
        <w:rPr>
          <w:b/>
          <w:sz w:val="24"/>
        </w:rPr>
        <w:sectPr w:rsidR="00457DF9" w:rsidRPr="00BB55C9" w:rsidSect="002A384E">
          <w:pgSz w:w="15842" w:h="12242" w:orient="landscape"/>
          <w:pgMar w:top="720" w:right="1418" w:bottom="1418" w:left="1418" w:header="709" w:footer="709" w:gutter="0"/>
          <w:cols w:space="708"/>
          <w:docGrid w:linePitch="360"/>
        </w:sectPr>
      </w:pPr>
    </w:p>
    <w:p w14:paraId="1ED79B9C" w14:textId="135D551F" w:rsidR="00457DF9" w:rsidRPr="00BB55C9" w:rsidRDefault="00457DF9" w:rsidP="00457DF9">
      <w:pPr>
        <w:widowControl/>
        <w:spacing w:after="160" w:line="259" w:lineRule="auto"/>
        <w:jc w:val="left"/>
        <w:rPr>
          <w:sz w:val="24"/>
        </w:rPr>
      </w:pPr>
      <w:r w:rsidRPr="00BB55C9">
        <w:rPr>
          <w:b/>
          <w:sz w:val="24"/>
        </w:rPr>
        <w:lastRenderedPageBreak/>
        <w:t xml:space="preserve">Figure </w:t>
      </w:r>
      <w:r w:rsidR="00C42F68">
        <w:rPr>
          <w:b/>
          <w:sz w:val="24"/>
        </w:rPr>
        <w:t>S</w:t>
      </w:r>
      <w:bookmarkStart w:id="0" w:name="_GoBack"/>
      <w:bookmarkEnd w:id="0"/>
      <w:r w:rsidRPr="00BB55C9">
        <w:rPr>
          <w:b/>
          <w:sz w:val="24"/>
        </w:rPr>
        <w:t xml:space="preserve">1: </w:t>
      </w:r>
      <w:r w:rsidRPr="00BB55C9">
        <w:rPr>
          <w:sz w:val="24"/>
        </w:rPr>
        <w:t xml:space="preserve">Predicted probabilities of </w:t>
      </w:r>
      <w:proofErr w:type="spellStart"/>
      <w:r w:rsidRPr="00BB55C9">
        <w:rPr>
          <w:sz w:val="24"/>
        </w:rPr>
        <w:t>QTc</w:t>
      </w:r>
      <w:proofErr w:type="spellEnd"/>
      <w:r w:rsidRPr="00BB55C9">
        <w:rPr>
          <w:sz w:val="24"/>
        </w:rPr>
        <w:t xml:space="preserve"> prolongation by (A) serum total calcium, (B) corrected calcium, (C) ionized calcium, and (D) potassium using restricted cubic splines from longitudinal analysis</w:t>
      </w:r>
      <w:r w:rsidRPr="00BB55C9">
        <w:rPr>
          <w:rFonts w:asciiTheme="minorHAnsi" w:hAnsiTheme="minorHAnsi"/>
          <w:sz w:val="24"/>
          <w:szCs w:val="24"/>
        </w:rPr>
        <w:t xml:space="preserve"> </w:t>
      </w:r>
      <w:r w:rsidRPr="00BB55C9">
        <w:rPr>
          <w:sz w:val="24"/>
        </w:rPr>
        <w:t xml:space="preserve">of serum and dialysate electrolytes with the risk of </w:t>
      </w:r>
      <w:proofErr w:type="spellStart"/>
      <w:r w:rsidRPr="00BB55C9">
        <w:rPr>
          <w:sz w:val="24"/>
        </w:rPr>
        <w:t>QTc</w:t>
      </w:r>
      <w:proofErr w:type="spellEnd"/>
      <w:r w:rsidRPr="00BB55C9">
        <w:rPr>
          <w:sz w:val="24"/>
        </w:rPr>
        <w:t xml:space="preserve"> prolongation in 146 participants </w:t>
      </w:r>
    </w:p>
    <w:p w14:paraId="50795F67" w14:textId="77777777" w:rsidR="00457DF9" w:rsidRPr="00BB55C9" w:rsidRDefault="00457DF9" w:rsidP="00457DF9">
      <w:pPr>
        <w:widowControl/>
        <w:spacing w:after="160" w:line="259" w:lineRule="auto"/>
        <w:jc w:val="center"/>
        <w:rPr>
          <w:b/>
          <w:sz w:val="24"/>
        </w:rPr>
      </w:pPr>
      <w:r w:rsidRPr="00BB55C9">
        <w:rPr>
          <w:b/>
          <w:noProof/>
          <w:sz w:val="24"/>
          <w:lang w:eastAsia="en-US"/>
        </w:rPr>
        <w:drawing>
          <wp:inline distT="0" distB="0" distL="0" distR="0" wp14:anchorId="5921DACD" wp14:editId="02D3CB22">
            <wp:extent cx="50292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DC0F1" w14:textId="77777777" w:rsidR="00457DF9" w:rsidRPr="00BB55C9" w:rsidRDefault="00457DF9" w:rsidP="00457DF9">
      <w:pPr>
        <w:widowControl/>
        <w:spacing w:after="160" w:line="259" w:lineRule="auto"/>
        <w:jc w:val="left"/>
        <w:rPr>
          <w:b/>
          <w:sz w:val="24"/>
        </w:rPr>
      </w:pPr>
      <w:r w:rsidRPr="00BB55C9">
        <w:rPr>
          <w:sz w:val="24"/>
        </w:rPr>
        <w:t xml:space="preserve">Models include the main exposure (either calcium or potassium), age, sex, ethnicity, </w:t>
      </w:r>
      <w:proofErr w:type="spellStart"/>
      <w:r w:rsidRPr="00BB55C9">
        <w:rPr>
          <w:sz w:val="24"/>
        </w:rPr>
        <w:t>Charlson</w:t>
      </w:r>
      <w:proofErr w:type="spellEnd"/>
      <w:r w:rsidRPr="00BB55C9">
        <w:rPr>
          <w:sz w:val="24"/>
        </w:rPr>
        <w:t xml:space="preserve"> comorbidity index, non-dialysis systolic blood pressure, left ventricular mass index, and use of antihypertensive medication, renin-angiotensin-aldosterone system blockade, </w:t>
      </w:r>
      <w:proofErr w:type="spellStart"/>
      <w:r w:rsidRPr="00BB55C9">
        <w:rPr>
          <w:sz w:val="24"/>
        </w:rPr>
        <w:t>cinacalcet</w:t>
      </w:r>
      <w:proofErr w:type="spellEnd"/>
      <w:r w:rsidRPr="00BB55C9">
        <w:rPr>
          <w:sz w:val="24"/>
        </w:rPr>
        <w:t xml:space="preserve">, and QT-prolonging medication. Model with ionized calcium additionally includes serum </w:t>
      </w:r>
      <w:proofErr w:type="spellStart"/>
      <w:r w:rsidRPr="00BB55C9">
        <w:rPr>
          <w:sz w:val="24"/>
        </w:rPr>
        <w:t>pH.</w:t>
      </w:r>
      <w:proofErr w:type="spellEnd"/>
    </w:p>
    <w:p w14:paraId="50EFC52D" w14:textId="77777777" w:rsidR="00457DF9" w:rsidRPr="00BB55C9" w:rsidRDefault="00457DF9" w:rsidP="00457DF9">
      <w:pPr>
        <w:widowControl/>
        <w:jc w:val="left"/>
      </w:pPr>
      <w:r w:rsidRPr="00BB55C9">
        <w:br w:type="page"/>
      </w:r>
    </w:p>
    <w:p w14:paraId="196C3135" w14:textId="77777777" w:rsidR="00457DF9" w:rsidRPr="00BB55C9" w:rsidRDefault="00457DF9" w:rsidP="00457DF9">
      <w:pPr>
        <w:sectPr w:rsidR="00457DF9" w:rsidRPr="00BB55C9" w:rsidSect="002A384E">
          <w:pgSz w:w="12242" w:h="15842"/>
          <w:pgMar w:top="1418" w:right="720" w:bottom="1418" w:left="1418" w:header="709" w:footer="709" w:gutter="0"/>
          <w:cols w:space="708"/>
          <w:docGrid w:linePitch="360"/>
        </w:sectPr>
      </w:pPr>
    </w:p>
    <w:p w14:paraId="66A87A45" w14:textId="32D20667" w:rsidR="00457DF9" w:rsidRPr="00BB55C9" w:rsidRDefault="00457DF9" w:rsidP="00457DF9">
      <w:pPr>
        <w:rPr>
          <w:b/>
        </w:rPr>
      </w:pPr>
      <w:r w:rsidRPr="00BB55C9">
        <w:rPr>
          <w:b/>
          <w:sz w:val="24"/>
        </w:rPr>
        <w:lastRenderedPageBreak/>
        <w:t xml:space="preserve">Table </w:t>
      </w:r>
      <w:r w:rsidR="00C42F68">
        <w:rPr>
          <w:b/>
          <w:sz w:val="24"/>
        </w:rPr>
        <w:t>S</w:t>
      </w:r>
      <w:r w:rsidRPr="00BB55C9">
        <w:rPr>
          <w:b/>
          <w:sz w:val="24"/>
        </w:rPr>
        <w:t xml:space="preserve">5: </w:t>
      </w:r>
      <w:r w:rsidRPr="00BB55C9">
        <w:rPr>
          <w:sz w:val="24"/>
        </w:rPr>
        <w:t xml:space="preserve">Longitudinal associations of serum calcium and ionized calcium with the risk of </w:t>
      </w:r>
      <w:proofErr w:type="spellStart"/>
      <w:r w:rsidRPr="00BB55C9">
        <w:rPr>
          <w:sz w:val="24"/>
        </w:rPr>
        <w:t>QTc</w:t>
      </w:r>
      <w:proofErr w:type="spellEnd"/>
      <w:r w:rsidRPr="00BB55C9">
        <w:rPr>
          <w:sz w:val="24"/>
        </w:rPr>
        <w:t xml:space="preserve"> prolongation in 146 participants after simultaneously adjusting for serum potassium, and the interaction </w:t>
      </w:r>
      <w:proofErr w:type="gramStart"/>
      <w:r w:rsidRPr="00BB55C9">
        <w:rPr>
          <w:sz w:val="24"/>
        </w:rPr>
        <w:t>between each serum calcium measure and serum potassium</w:t>
      </w:r>
      <w:proofErr w:type="gramEnd"/>
    </w:p>
    <w:p w14:paraId="686795DC" w14:textId="77777777" w:rsidR="00457DF9" w:rsidRPr="00BB55C9" w:rsidRDefault="00457DF9" w:rsidP="00457DF9">
      <w:pPr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34"/>
        <w:gridCol w:w="2714"/>
        <w:gridCol w:w="1120"/>
        <w:gridCol w:w="1308"/>
      </w:tblGrid>
      <w:tr w:rsidR="00457DF9" w:rsidRPr="00BB55C9" w14:paraId="20765E76" w14:textId="77777777" w:rsidTr="000F066F">
        <w:trPr>
          <w:trHeight w:val="302"/>
        </w:trPr>
        <w:tc>
          <w:tcPr>
            <w:tcW w:w="23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0F3B" w14:textId="77777777" w:rsidR="00457DF9" w:rsidRPr="00BB55C9" w:rsidRDefault="00457DF9" w:rsidP="000F066F">
            <w:pPr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bCs/>
                <w:color w:val="000000"/>
                <w:lang w:eastAsia="en-CA"/>
              </w:rPr>
              <w:t>Variables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435E" w14:textId="77777777" w:rsidR="00457DF9" w:rsidRPr="00BB55C9" w:rsidRDefault="00457DF9" w:rsidP="000F066F">
            <w:pPr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bCs/>
                <w:color w:val="000000"/>
                <w:lang w:eastAsia="en-CA"/>
              </w:rPr>
              <w:t>Multivariable</w:t>
            </w:r>
            <w:r w:rsidRPr="00BB55C9">
              <w:rPr>
                <w:rFonts w:eastAsia="Times New Roman"/>
                <w:b/>
                <w:bCs/>
                <w:color w:val="000000"/>
                <w:vertAlign w:val="superscript"/>
                <w:lang w:eastAsia="en-CA"/>
              </w:rPr>
              <w:t>*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1B4D6E" w14:textId="77777777" w:rsidR="00457DF9" w:rsidRPr="00BB55C9" w:rsidRDefault="00457DF9" w:rsidP="000F066F">
            <w:pPr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bCs/>
                <w:color w:val="000000"/>
                <w:lang w:eastAsia="en-CA"/>
              </w:rPr>
              <w:t>Interaction</w:t>
            </w:r>
          </w:p>
        </w:tc>
      </w:tr>
      <w:tr w:rsidR="00457DF9" w:rsidRPr="00BB55C9" w14:paraId="6123C7E3" w14:textId="77777777" w:rsidTr="000F066F">
        <w:trPr>
          <w:trHeight w:val="302"/>
        </w:trPr>
        <w:tc>
          <w:tcPr>
            <w:tcW w:w="2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A51D" w14:textId="77777777" w:rsidR="00457DF9" w:rsidRPr="00BB55C9" w:rsidRDefault="00457DF9" w:rsidP="000F066F">
            <w:pPr>
              <w:rPr>
                <w:rFonts w:eastAsia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37FA" w14:textId="77777777" w:rsidR="00457DF9" w:rsidRPr="00BB55C9" w:rsidRDefault="00457DF9" w:rsidP="000F066F">
            <w:pPr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bCs/>
                <w:color w:val="000000"/>
                <w:lang w:eastAsia="en-CA"/>
              </w:rPr>
              <w:t>RR (95% CI)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822" w14:textId="77777777" w:rsidR="00457DF9" w:rsidRPr="00BB55C9" w:rsidRDefault="00457DF9" w:rsidP="000F066F">
            <w:pPr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bCs/>
                <w:color w:val="000000"/>
                <w:lang w:eastAsia="en-CA"/>
              </w:rPr>
              <w:t>P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14B300" w14:textId="77777777" w:rsidR="00457DF9" w:rsidRPr="00BB55C9" w:rsidRDefault="00457DF9" w:rsidP="000F066F">
            <w:pPr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bCs/>
                <w:color w:val="000000"/>
                <w:lang w:eastAsia="en-CA"/>
              </w:rPr>
              <w:t>P**</w:t>
            </w:r>
          </w:p>
        </w:tc>
      </w:tr>
      <w:tr w:rsidR="00457DF9" w:rsidRPr="00BB55C9" w14:paraId="60CDF833" w14:textId="77777777" w:rsidTr="000F066F">
        <w:trPr>
          <w:trHeight w:val="302"/>
        </w:trPr>
        <w:tc>
          <w:tcPr>
            <w:tcW w:w="2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834D8" w14:textId="77777777" w:rsidR="00457DF9" w:rsidRPr="00BB55C9" w:rsidRDefault="00457DF9" w:rsidP="000F066F">
            <w:pPr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bCs/>
                <w:color w:val="000000"/>
                <w:lang w:eastAsia="en-CA"/>
              </w:rPr>
              <w:t>Serum calcium and potassium in one model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D01318" w14:textId="77777777" w:rsidR="00457DF9" w:rsidRPr="00BB55C9" w:rsidRDefault="00457DF9" w:rsidP="000F066F">
            <w:pPr>
              <w:jc w:val="center"/>
              <w:rPr>
                <w:rFonts w:eastAsia="Times New Roman"/>
                <w:color w:val="000000"/>
                <w:lang w:eastAsia="en-CA"/>
              </w:rPr>
            </w:pPr>
            <w:r w:rsidRPr="00BB55C9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94447" w14:textId="77777777" w:rsidR="00457DF9" w:rsidRPr="00BB55C9" w:rsidRDefault="00457DF9" w:rsidP="000F066F">
            <w:pPr>
              <w:jc w:val="center"/>
              <w:rPr>
                <w:rFonts w:eastAsia="Times New Roman"/>
                <w:color w:val="000000"/>
                <w:lang w:eastAsia="en-CA"/>
              </w:rPr>
            </w:pPr>
            <w:r w:rsidRPr="00BB55C9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14:paraId="6D3D3959" w14:textId="77777777" w:rsidR="00457DF9" w:rsidRPr="00BB55C9" w:rsidRDefault="00457DF9" w:rsidP="000F066F">
            <w:pPr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457DF9" w:rsidRPr="00BB55C9" w14:paraId="7C44A857" w14:textId="77777777" w:rsidTr="000F066F">
        <w:trPr>
          <w:trHeight w:val="302"/>
        </w:trPr>
        <w:tc>
          <w:tcPr>
            <w:tcW w:w="2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B9E2" w14:textId="77777777" w:rsidR="00457DF9" w:rsidRPr="00BB55C9" w:rsidRDefault="00457DF9" w:rsidP="000F066F">
            <w:pPr>
              <w:rPr>
                <w:rFonts w:eastAsia="Times New Roman"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Total calcium</w:t>
            </w:r>
            <w:r w:rsidRPr="00BB55C9">
              <w:rPr>
                <w:rFonts w:eastAsia="Times New Roman"/>
                <w:color w:val="000000"/>
                <w:lang w:eastAsia="en-CA"/>
              </w:rPr>
              <w:t>, per 1 SD decrease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E886" w14:textId="77777777" w:rsidR="00457DF9" w:rsidRPr="00BB55C9" w:rsidRDefault="00457DF9" w:rsidP="000F066F">
            <w:pPr>
              <w:jc w:val="center"/>
              <w:rPr>
                <w:rFonts w:eastAsia="Times New Roman"/>
                <w:color w:val="000000"/>
                <w:lang w:eastAsia="en-CA"/>
              </w:rPr>
            </w:pPr>
            <w:r w:rsidRPr="00BB55C9">
              <w:rPr>
                <w:rFonts w:eastAsia="Times New Roman"/>
                <w:color w:val="000000"/>
                <w:sz w:val="22"/>
              </w:rPr>
              <w:t>1.01 (0.86, 1.18)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12DA" w14:textId="77777777" w:rsidR="00457DF9" w:rsidRPr="00BB55C9" w:rsidRDefault="00457DF9" w:rsidP="000F066F">
            <w:pPr>
              <w:jc w:val="center"/>
              <w:rPr>
                <w:rFonts w:eastAsia="Times New Roman"/>
                <w:color w:val="000000"/>
                <w:lang w:eastAsia="en-CA"/>
              </w:rPr>
            </w:pPr>
            <w:r w:rsidRPr="00BB55C9">
              <w:rPr>
                <w:color w:val="000000"/>
                <w:sz w:val="22"/>
              </w:rPr>
              <w:t>0.90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2031B8B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rPr>
                <w:color w:val="000000"/>
                <w:sz w:val="22"/>
              </w:rPr>
              <w:t>0.64</w:t>
            </w:r>
          </w:p>
        </w:tc>
      </w:tr>
      <w:tr w:rsidR="00457DF9" w:rsidRPr="00BB55C9" w14:paraId="08C39B55" w14:textId="77777777" w:rsidTr="000F066F">
        <w:trPr>
          <w:trHeight w:val="302"/>
        </w:trPr>
        <w:tc>
          <w:tcPr>
            <w:tcW w:w="2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13C1" w14:textId="77777777" w:rsidR="00457DF9" w:rsidRPr="00BB55C9" w:rsidRDefault="00457DF9" w:rsidP="000F066F">
            <w:pPr>
              <w:rPr>
                <w:rFonts w:eastAsia="Times New Roman"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Potassium</w:t>
            </w:r>
            <w:r w:rsidRPr="00BB55C9">
              <w:rPr>
                <w:rFonts w:eastAsia="Times New Roman"/>
                <w:color w:val="000000"/>
                <w:lang w:eastAsia="en-CA"/>
              </w:rPr>
              <w:t>, per 1 SD decrease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C095" w14:textId="77777777" w:rsidR="00457DF9" w:rsidRPr="00BB55C9" w:rsidRDefault="00457DF9" w:rsidP="000F066F">
            <w:pPr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sz w:val="22"/>
              </w:rPr>
              <w:t>1.26 (1.08, 1.47)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FC80" w14:textId="77777777" w:rsidR="00457DF9" w:rsidRPr="00BB55C9" w:rsidRDefault="00457DF9" w:rsidP="000F066F">
            <w:pPr>
              <w:jc w:val="center"/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b/>
                <w:color w:val="000000"/>
                <w:sz w:val="22"/>
              </w:rPr>
              <w:t>0.004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56A4BBC0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</w:tr>
      <w:tr w:rsidR="00457DF9" w:rsidRPr="00BB55C9" w14:paraId="6CA848E4" w14:textId="77777777" w:rsidTr="000F066F">
        <w:trPr>
          <w:trHeight w:val="302"/>
        </w:trPr>
        <w:tc>
          <w:tcPr>
            <w:tcW w:w="2315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2AB28B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Ionized calcium and potassium in one model</w:t>
            </w:r>
          </w:p>
        </w:tc>
        <w:tc>
          <w:tcPr>
            <w:tcW w:w="1417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28104DD9" w14:textId="77777777" w:rsidR="00457DF9" w:rsidRPr="00BB55C9" w:rsidRDefault="00457DF9" w:rsidP="000F066F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873F06" w14:textId="77777777" w:rsidR="00457DF9" w:rsidRPr="00BB55C9" w:rsidRDefault="00457DF9" w:rsidP="000F066F">
            <w:pPr>
              <w:jc w:val="center"/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897DB5" w14:textId="77777777" w:rsidR="00457DF9" w:rsidRPr="00BB55C9" w:rsidRDefault="00457DF9" w:rsidP="000F066F">
            <w:pPr>
              <w:jc w:val="center"/>
            </w:pPr>
          </w:p>
        </w:tc>
      </w:tr>
      <w:tr w:rsidR="00457DF9" w:rsidRPr="00BB55C9" w14:paraId="3B3F8718" w14:textId="77777777" w:rsidTr="000F066F">
        <w:trPr>
          <w:trHeight w:val="302"/>
        </w:trPr>
        <w:tc>
          <w:tcPr>
            <w:tcW w:w="2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3F41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Ionized calcium</w:t>
            </w:r>
            <w:r w:rsidRPr="00BB55C9">
              <w:rPr>
                <w:rFonts w:eastAsia="Times New Roman"/>
                <w:color w:val="000000"/>
                <w:lang w:eastAsia="en-CA"/>
              </w:rPr>
              <w:t>, per 1 SD decrease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44DCC" w14:textId="77777777" w:rsidR="00457DF9" w:rsidRPr="00BB55C9" w:rsidRDefault="00457DF9" w:rsidP="000F066F">
            <w:pPr>
              <w:jc w:val="center"/>
              <w:rPr>
                <w:b/>
              </w:rPr>
            </w:pPr>
            <w:r w:rsidRPr="00BB55C9">
              <w:rPr>
                <w:b/>
                <w:color w:val="000000"/>
                <w:sz w:val="22"/>
              </w:rPr>
              <w:t>1.21 (1.04, 1.40)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52E3" w14:textId="77777777" w:rsidR="00457DF9" w:rsidRPr="00BB55C9" w:rsidRDefault="00457DF9" w:rsidP="000F066F">
            <w:pPr>
              <w:jc w:val="center"/>
              <w:rPr>
                <w:b/>
              </w:rPr>
            </w:pPr>
            <w:r w:rsidRPr="00BB55C9">
              <w:rPr>
                <w:b/>
                <w:color w:val="000000"/>
                <w:sz w:val="22"/>
              </w:rPr>
              <w:t>0.01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13DCF1F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rPr>
                <w:color w:val="000000"/>
                <w:sz w:val="22"/>
              </w:rPr>
              <w:t>0.29</w:t>
            </w:r>
          </w:p>
        </w:tc>
      </w:tr>
      <w:tr w:rsidR="00457DF9" w:rsidRPr="00BB55C9" w14:paraId="491CF0CE" w14:textId="77777777" w:rsidTr="000F066F">
        <w:trPr>
          <w:trHeight w:val="302"/>
        </w:trPr>
        <w:tc>
          <w:tcPr>
            <w:tcW w:w="23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6B5B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Potassium</w:t>
            </w:r>
            <w:r w:rsidRPr="00BB55C9">
              <w:rPr>
                <w:rFonts w:eastAsia="Times New Roman"/>
                <w:color w:val="000000"/>
                <w:lang w:eastAsia="en-CA"/>
              </w:rPr>
              <w:t>, per 1 SD decrease</w:t>
            </w:r>
          </w:p>
        </w:tc>
        <w:tc>
          <w:tcPr>
            <w:tcW w:w="1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D93384" w14:textId="77777777" w:rsidR="00457DF9" w:rsidRPr="00BB55C9" w:rsidRDefault="00457DF9" w:rsidP="000F066F">
            <w:pPr>
              <w:jc w:val="center"/>
              <w:rPr>
                <w:b/>
              </w:rPr>
            </w:pPr>
            <w:r w:rsidRPr="00BB55C9">
              <w:rPr>
                <w:b/>
                <w:color w:val="000000"/>
                <w:sz w:val="22"/>
              </w:rPr>
              <w:t>1.26 (1.09, 1.46)</w:t>
            </w:r>
          </w:p>
        </w:tc>
        <w:tc>
          <w:tcPr>
            <w:tcW w:w="5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FDEE" w14:textId="77777777" w:rsidR="00457DF9" w:rsidRPr="00BB55C9" w:rsidRDefault="00457DF9" w:rsidP="000F066F">
            <w:pPr>
              <w:jc w:val="center"/>
              <w:rPr>
                <w:b/>
              </w:rPr>
            </w:pPr>
            <w:r w:rsidRPr="00BB55C9">
              <w:rPr>
                <w:b/>
                <w:color w:val="000000"/>
                <w:sz w:val="22"/>
              </w:rPr>
              <w:t>0.002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nil"/>
            </w:tcBorders>
          </w:tcPr>
          <w:p w14:paraId="6BAF8F64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</w:tr>
      <w:tr w:rsidR="00457DF9" w:rsidRPr="00BB55C9" w14:paraId="4ED4DB1A" w14:textId="77777777" w:rsidTr="000F066F">
        <w:trPr>
          <w:trHeight w:val="302"/>
        </w:trPr>
        <w:tc>
          <w:tcPr>
            <w:tcW w:w="231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4EE3E0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Serum calcium and magnesium in one model</w:t>
            </w:r>
          </w:p>
        </w:tc>
        <w:tc>
          <w:tcPr>
            <w:tcW w:w="1417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4B890ECC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097CDA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07A1BE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</w:tr>
      <w:tr w:rsidR="00457DF9" w:rsidRPr="00BB55C9" w14:paraId="7227E491" w14:textId="77777777" w:rsidTr="000F066F">
        <w:trPr>
          <w:trHeight w:val="302"/>
        </w:trPr>
        <w:tc>
          <w:tcPr>
            <w:tcW w:w="231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4F8F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Serum calcium</w:t>
            </w:r>
            <w:r w:rsidRPr="00BB55C9">
              <w:rPr>
                <w:rFonts w:eastAsia="Times New Roman"/>
                <w:color w:val="000000"/>
                <w:lang w:eastAsia="en-CA"/>
              </w:rPr>
              <w:t>, per 1 SD decrease</w:t>
            </w:r>
          </w:p>
        </w:tc>
        <w:tc>
          <w:tcPr>
            <w:tcW w:w="14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86F5FE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rPr>
                <w:color w:val="000000"/>
                <w:sz w:val="22"/>
              </w:rPr>
              <w:t>1.02 (0.87, 0.18)</w:t>
            </w:r>
          </w:p>
        </w:tc>
        <w:tc>
          <w:tcPr>
            <w:tcW w:w="5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F155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t>0.85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0121E7A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rPr>
                <w:color w:val="000000"/>
                <w:sz w:val="22"/>
              </w:rPr>
              <w:t>0.64</w:t>
            </w:r>
          </w:p>
        </w:tc>
      </w:tr>
      <w:tr w:rsidR="00457DF9" w:rsidRPr="00BB55C9" w14:paraId="031C3480" w14:textId="77777777" w:rsidTr="000F066F">
        <w:trPr>
          <w:trHeight w:val="302"/>
        </w:trPr>
        <w:tc>
          <w:tcPr>
            <w:tcW w:w="231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7BFE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Magnesium</w:t>
            </w:r>
            <w:r w:rsidRPr="00BB55C9">
              <w:rPr>
                <w:rFonts w:eastAsia="Times New Roman"/>
                <w:color w:val="000000"/>
                <w:lang w:eastAsia="en-CA"/>
              </w:rPr>
              <w:t>, per 1 SD decrease</w:t>
            </w:r>
          </w:p>
        </w:tc>
        <w:tc>
          <w:tcPr>
            <w:tcW w:w="14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39C013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rPr>
                <w:color w:val="000000"/>
                <w:sz w:val="22"/>
              </w:rPr>
              <w:t>1.02 (0.87, 1.19)</w:t>
            </w:r>
          </w:p>
        </w:tc>
        <w:tc>
          <w:tcPr>
            <w:tcW w:w="5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7C08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t>0.84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nil"/>
            </w:tcBorders>
          </w:tcPr>
          <w:p w14:paraId="01C524AA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</w:tr>
      <w:tr w:rsidR="00457DF9" w:rsidRPr="00BB55C9" w14:paraId="517B049F" w14:textId="77777777" w:rsidTr="000F066F">
        <w:trPr>
          <w:trHeight w:val="302"/>
        </w:trPr>
        <w:tc>
          <w:tcPr>
            <w:tcW w:w="231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16C274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Ionized calcium and magnesium in one model</w:t>
            </w:r>
          </w:p>
        </w:tc>
        <w:tc>
          <w:tcPr>
            <w:tcW w:w="1417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402ED692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EA69BE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E77B89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</w:tr>
      <w:tr w:rsidR="00457DF9" w:rsidRPr="00BB55C9" w14:paraId="40E17E49" w14:textId="77777777" w:rsidTr="000F066F">
        <w:trPr>
          <w:trHeight w:val="302"/>
        </w:trPr>
        <w:tc>
          <w:tcPr>
            <w:tcW w:w="231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1708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Ionized calcium</w:t>
            </w:r>
            <w:r w:rsidRPr="00BB55C9">
              <w:rPr>
                <w:rFonts w:eastAsia="Times New Roman"/>
                <w:color w:val="000000"/>
                <w:lang w:eastAsia="en-CA"/>
              </w:rPr>
              <w:t>, per 1 SD decrease</w:t>
            </w:r>
          </w:p>
        </w:tc>
        <w:tc>
          <w:tcPr>
            <w:tcW w:w="14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1994DA" w14:textId="77777777" w:rsidR="00457DF9" w:rsidRPr="00BB55C9" w:rsidRDefault="00457DF9" w:rsidP="000F066F">
            <w:pPr>
              <w:jc w:val="center"/>
              <w:rPr>
                <w:b/>
                <w:color w:val="000000"/>
                <w:sz w:val="22"/>
              </w:rPr>
            </w:pPr>
            <w:r w:rsidRPr="00BB55C9">
              <w:rPr>
                <w:b/>
                <w:color w:val="000000"/>
                <w:sz w:val="22"/>
              </w:rPr>
              <w:t>1.21 (1.05, 1.39)</w:t>
            </w:r>
          </w:p>
        </w:tc>
        <w:tc>
          <w:tcPr>
            <w:tcW w:w="5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4E49" w14:textId="77777777" w:rsidR="00457DF9" w:rsidRPr="00BB55C9" w:rsidRDefault="00457DF9" w:rsidP="000F066F">
            <w:pPr>
              <w:jc w:val="center"/>
              <w:rPr>
                <w:b/>
                <w:color w:val="000000"/>
                <w:sz w:val="22"/>
              </w:rPr>
            </w:pPr>
            <w:r w:rsidRPr="00BB55C9">
              <w:rPr>
                <w:b/>
                <w:color w:val="000000"/>
                <w:sz w:val="22"/>
              </w:rPr>
              <w:t>0.01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677E6E4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rPr>
                <w:color w:val="000000"/>
                <w:sz w:val="22"/>
              </w:rPr>
              <w:t>0.97</w:t>
            </w:r>
          </w:p>
        </w:tc>
      </w:tr>
      <w:tr w:rsidR="00457DF9" w:rsidRPr="00BB55C9" w14:paraId="44793AC3" w14:textId="77777777" w:rsidTr="000F066F">
        <w:trPr>
          <w:trHeight w:val="302"/>
        </w:trPr>
        <w:tc>
          <w:tcPr>
            <w:tcW w:w="231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9EF9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Magnesium</w:t>
            </w:r>
            <w:r w:rsidRPr="00BB55C9">
              <w:rPr>
                <w:rFonts w:eastAsia="Times New Roman"/>
                <w:color w:val="000000"/>
                <w:lang w:eastAsia="en-CA"/>
              </w:rPr>
              <w:t>, per 1 SD decrease</w:t>
            </w:r>
          </w:p>
        </w:tc>
        <w:tc>
          <w:tcPr>
            <w:tcW w:w="14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FD71DF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rPr>
                <w:color w:val="000000"/>
                <w:sz w:val="22"/>
              </w:rPr>
              <w:t>1.06 (0.90, 1.25)</w:t>
            </w:r>
          </w:p>
        </w:tc>
        <w:tc>
          <w:tcPr>
            <w:tcW w:w="5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79CA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t>0.51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nil"/>
            </w:tcBorders>
          </w:tcPr>
          <w:p w14:paraId="027B04F1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</w:tr>
      <w:tr w:rsidR="00457DF9" w:rsidRPr="00BB55C9" w14:paraId="2624CA72" w14:textId="77777777" w:rsidTr="000F066F">
        <w:trPr>
          <w:trHeight w:val="302"/>
        </w:trPr>
        <w:tc>
          <w:tcPr>
            <w:tcW w:w="231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D020EE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Serum potassium and magnesium in one model</w:t>
            </w:r>
          </w:p>
        </w:tc>
        <w:tc>
          <w:tcPr>
            <w:tcW w:w="1417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408C565A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D99954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DC152A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</w:tr>
      <w:tr w:rsidR="00457DF9" w:rsidRPr="00BB55C9" w14:paraId="0251489E" w14:textId="77777777" w:rsidTr="000F066F">
        <w:trPr>
          <w:trHeight w:val="302"/>
        </w:trPr>
        <w:tc>
          <w:tcPr>
            <w:tcW w:w="231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3740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Serum potassium</w:t>
            </w:r>
            <w:r w:rsidRPr="00BB55C9">
              <w:rPr>
                <w:rFonts w:eastAsia="Times New Roman"/>
                <w:color w:val="000000"/>
                <w:lang w:eastAsia="en-CA"/>
              </w:rPr>
              <w:t>, per 1 SD decrease</w:t>
            </w:r>
          </w:p>
        </w:tc>
        <w:tc>
          <w:tcPr>
            <w:tcW w:w="14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8F892A" w14:textId="77777777" w:rsidR="00457DF9" w:rsidRPr="00BB55C9" w:rsidRDefault="00457DF9" w:rsidP="000F066F">
            <w:pPr>
              <w:jc w:val="center"/>
              <w:rPr>
                <w:b/>
                <w:color w:val="000000"/>
                <w:sz w:val="22"/>
              </w:rPr>
            </w:pPr>
            <w:r w:rsidRPr="00BB55C9">
              <w:rPr>
                <w:b/>
                <w:color w:val="000000"/>
                <w:sz w:val="22"/>
              </w:rPr>
              <w:t>1.26 (1.08, 1.47)</w:t>
            </w:r>
          </w:p>
        </w:tc>
        <w:tc>
          <w:tcPr>
            <w:tcW w:w="5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CDEE" w14:textId="77777777" w:rsidR="00457DF9" w:rsidRPr="00BB55C9" w:rsidRDefault="00457DF9" w:rsidP="000F066F">
            <w:pPr>
              <w:jc w:val="center"/>
              <w:rPr>
                <w:b/>
                <w:color w:val="000000"/>
                <w:sz w:val="22"/>
              </w:rPr>
            </w:pPr>
            <w:r w:rsidRPr="00BB55C9">
              <w:rPr>
                <w:b/>
              </w:rPr>
              <w:t>0.004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821C362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rPr>
                <w:color w:val="000000"/>
                <w:sz w:val="22"/>
              </w:rPr>
              <w:t>0.81</w:t>
            </w:r>
          </w:p>
        </w:tc>
      </w:tr>
      <w:tr w:rsidR="00457DF9" w:rsidRPr="00BB55C9" w14:paraId="3B19AFD0" w14:textId="77777777" w:rsidTr="000F066F">
        <w:trPr>
          <w:trHeight w:val="302"/>
        </w:trPr>
        <w:tc>
          <w:tcPr>
            <w:tcW w:w="23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9551" w14:textId="77777777" w:rsidR="00457DF9" w:rsidRPr="00BB55C9" w:rsidRDefault="00457DF9" w:rsidP="000F066F">
            <w:pPr>
              <w:rPr>
                <w:rFonts w:eastAsia="Times New Roman"/>
                <w:b/>
                <w:color w:val="000000"/>
                <w:lang w:eastAsia="en-CA"/>
              </w:rPr>
            </w:pPr>
            <w:r w:rsidRPr="00BB55C9">
              <w:rPr>
                <w:rFonts w:eastAsia="Times New Roman"/>
                <w:b/>
                <w:color w:val="000000"/>
                <w:lang w:eastAsia="en-CA"/>
              </w:rPr>
              <w:t>Magnesium</w:t>
            </w:r>
            <w:r w:rsidRPr="00BB55C9">
              <w:rPr>
                <w:rFonts w:eastAsia="Times New Roman"/>
                <w:color w:val="000000"/>
                <w:lang w:eastAsia="en-CA"/>
              </w:rPr>
              <w:t>, per 1 SD decrease</w:t>
            </w:r>
          </w:p>
        </w:tc>
        <w:tc>
          <w:tcPr>
            <w:tcW w:w="14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BF594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rPr>
                <w:color w:val="000000"/>
                <w:sz w:val="22"/>
              </w:rPr>
              <w:t>1.03 (0.88, 1.20)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2599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  <w:r w:rsidRPr="00BB55C9">
              <w:t>0.75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1740611" w14:textId="77777777" w:rsidR="00457DF9" w:rsidRPr="00BB55C9" w:rsidRDefault="00457DF9" w:rsidP="000F066F">
            <w:pPr>
              <w:jc w:val="center"/>
              <w:rPr>
                <w:color w:val="000000"/>
                <w:sz w:val="22"/>
              </w:rPr>
            </w:pPr>
          </w:p>
        </w:tc>
      </w:tr>
      <w:tr w:rsidR="00457DF9" w:rsidRPr="000A783E" w14:paraId="70347AE7" w14:textId="77777777" w:rsidTr="000F066F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7A9F25" w14:textId="77777777" w:rsidR="00457DF9" w:rsidRPr="00BB55C9" w:rsidRDefault="00457DF9" w:rsidP="000F066F">
            <w:r w:rsidRPr="00BB55C9">
              <w:t xml:space="preserve">* Includes main exposures (calcium, potassium, or magnesium), age, sex, ethnicity, </w:t>
            </w:r>
            <w:proofErr w:type="spellStart"/>
            <w:r w:rsidRPr="00BB55C9">
              <w:t>Charlson</w:t>
            </w:r>
            <w:proofErr w:type="spellEnd"/>
            <w:r w:rsidRPr="00BB55C9">
              <w:t xml:space="preserve"> comorbidity index, non-dialysis systolic blood pressure, left ventricular mass index, and use of beta-blocker, </w:t>
            </w:r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 xml:space="preserve">renin-angiotensin-aldosterone system blockade, </w:t>
            </w:r>
            <w:proofErr w:type="spellStart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cinacalcet</w:t>
            </w:r>
            <w:proofErr w:type="spellEnd"/>
            <w:r w:rsidRPr="00BB55C9">
              <w:rPr>
                <w:rFonts w:eastAsia="Times New Roman"/>
                <w:color w:val="000000"/>
                <w:kern w:val="0"/>
                <w:sz w:val="22"/>
                <w:lang w:val="en-CA" w:eastAsia="en-CA"/>
              </w:rPr>
              <w:t>, and QT-prolonging medication</w:t>
            </w:r>
            <w:r w:rsidRPr="00BB55C9">
              <w:t xml:space="preserve">. Model with ionized calcium also includes serum </w:t>
            </w:r>
            <w:proofErr w:type="spellStart"/>
            <w:r w:rsidRPr="00BB55C9">
              <w:t>pH.</w:t>
            </w:r>
            <w:proofErr w:type="spellEnd"/>
          </w:p>
          <w:p w14:paraId="72382D73" w14:textId="77777777" w:rsidR="00457DF9" w:rsidRDefault="00457DF9" w:rsidP="000F066F">
            <w:r w:rsidRPr="00BB55C9">
              <w:t>** Interaction between calcium and potassium tested in a separate model</w:t>
            </w:r>
          </w:p>
        </w:tc>
      </w:tr>
    </w:tbl>
    <w:p w14:paraId="285BDFF0" w14:textId="77777777" w:rsidR="00457DF9" w:rsidRDefault="00457DF9" w:rsidP="00457DF9">
      <w:pPr>
        <w:tabs>
          <w:tab w:val="left" w:pos="2130"/>
        </w:tabs>
        <w:spacing w:line="480" w:lineRule="auto"/>
        <w:rPr>
          <w:b/>
          <w:sz w:val="24"/>
        </w:rPr>
      </w:pPr>
    </w:p>
    <w:p w14:paraId="67AAC2F1" w14:textId="77777777" w:rsidR="002B251F" w:rsidRDefault="00C42F68"/>
    <w:sectPr w:rsidR="002B251F" w:rsidSect="00B7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4EC"/>
    <w:multiLevelType w:val="multilevel"/>
    <w:tmpl w:val="1A3E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58A4"/>
    <w:multiLevelType w:val="multilevel"/>
    <w:tmpl w:val="9E9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24F4D"/>
    <w:multiLevelType w:val="hybridMultilevel"/>
    <w:tmpl w:val="01EAAF6C"/>
    <w:lvl w:ilvl="0" w:tplc="008A0E4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7788"/>
    <w:multiLevelType w:val="hybridMultilevel"/>
    <w:tmpl w:val="9EA00B3E"/>
    <w:lvl w:ilvl="0" w:tplc="684210C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1C64"/>
    <w:multiLevelType w:val="hybridMultilevel"/>
    <w:tmpl w:val="0BB6ACAA"/>
    <w:lvl w:ilvl="0" w:tplc="0B68DB1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6DE"/>
    <w:multiLevelType w:val="hybridMultilevel"/>
    <w:tmpl w:val="22FA5770"/>
    <w:lvl w:ilvl="0" w:tplc="6F6C0676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408CA"/>
    <w:multiLevelType w:val="hybridMultilevel"/>
    <w:tmpl w:val="863E79C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B1B53"/>
    <w:multiLevelType w:val="hybridMultilevel"/>
    <w:tmpl w:val="6C52EDD6"/>
    <w:lvl w:ilvl="0" w:tplc="CF4056E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97804"/>
    <w:multiLevelType w:val="multilevel"/>
    <w:tmpl w:val="1F0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8056E"/>
    <w:multiLevelType w:val="hybridMultilevel"/>
    <w:tmpl w:val="58DA2116"/>
    <w:lvl w:ilvl="0" w:tplc="689809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A533B"/>
    <w:multiLevelType w:val="hybridMultilevel"/>
    <w:tmpl w:val="469AE60A"/>
    <w:lvl w:ilvl="0" w:tplc="5630F41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7741"/>
    <w:multiLevelType w:val="hybridMultilevel"/>
    <w:tmpl w:val="89585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E4425"/>
    <w:multiLevelType w:val="multilevel"/>
    <w:tmpl w:val="E89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705C4"/>
    <w:multiLevelType w:val="hybridMultilevel"/>
    <w:tmpl w:val="E538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B43DC"/>
    <w:multiLevelType w:val="hybridMultilevel"/>
    <w:tmpl w:val="49000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010AD"/>
    <w:multiLevelType w:val="hybridMultilevel"/>
    <w:tmpl w:val="D93ED96C"/>
    <w:lvl w:ilvl="0" w:tplc="91CE0B9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54CA8"/>
    <w:multiLevelType w:val="hybridMultilevel"/>
    <w:tmpl w:val="CE02BCC8"/>
    <w:lvl w:ilvl="0" w:tplc="4844F05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55439"/>
    <w:multiLevelType w:val="hybridMultilevel"/>
    <w:tmpl w:val="71404786"/>
    <w:lvl w:ilvl="0" w:tplc="F5E28D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1200"/>
    <w:multiLevelType w:val="multilevel"/>
    <w:tmpl w:val="71E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75A33"/>
    <w:multiLevelType w:val="hybridMultilevel"/>
    <w:tmpl w:val="CDDAB356"/>
    <w:lvl w:ilvl="0" w:tplc="168077A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45C75"/>
    <w:multiLevelType w:val="hybridMultilevel"/>
    <w:tmpl w:val="90AE0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D0802"/>
    <w:multiLevelType w:val="hybridMultilevel"/>
    <w:tmpl w:val="C4F8118E"/>
    <w:lvl w:ilvl="0" w:tplc="D3108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E69EB"/>
    <w:multiLevelType w:val="hybridMultilevel"/>
    <w:tmpl w:val="1AAA5A34"/>
    <w:lvl w:ilvl="0" w:tplc="49B296C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86916"/>
    <w:multiLevelType w:val="multilevel"/>
    <w:tmpl w:val="7018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2"/>
  </w:num>
  <w:num w:numId="5">
    <w:abstractNumId w:val="0"/>
  </w:num>
  <w:num w:numId="6">
    <w:abstractNumId w:val="1"/>
  </w:num>
  <w:num w:numId="7">
    <w:abstractNumId w:val="14"/>
  </w:num>
  <w:num w:numId="8">
    <w:abstractNumId w:val="20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22"/>
  </w:num>
  <w:num w:numId="15">
    <w:abstractNumId w:val="19"/>
  </w:num>
  <w:num w:numId="16">
    <w:abstractNumId w:val="3"/>
  </w:num>
  <w:num w:numId="17">
    <w:abstractNumId w:val="6"/>
  </w:num>
  <w:num w:numId="18">
    <w:abstractNumId w:val="10"/>
  </w:num>
  <w:num w:numId="19">
    <w:abstractNumId w:val="4"/>
  </w:num>
  <w:num w:numId="20">
    <w:abstractNumId w:val="21"/>
  </w:num>
  <w:num w:numId="21">
    <w:abstractNumId w:val="2"/>
  </w:num>
  <w:num w:numId="22">
    <w:abstractNumId w:val="16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F9"/>
    <w:rsid w:val="00457DF9"/>
    <w:rsid w:val="007C3819"/>
    <w:rsid w:val="00A10712"/>
    <w:rsid w:val="00B7660C"/>
    <w:rsid w:val="00C4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C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F9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7DF9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57DF9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57DF9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F9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57D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7DF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57DF9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  <w:lang w:val="en-CA"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457DF9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7DF9"/>
    <w:rPr>
      <w:rFonts w:ascii="Calibri" w:eastAsia="SimSun" w:hAnsi="Calibri" w:cs="Calibri"/>
      <w:noProof/>
      <w:kern w:val="2"/>
      <w:sz w:val="20"/>
      <w:szCs w:val="2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457DF9"/>
    <w:pPr>
      <w:jc w:val="left"/>
    </w:pPr>
    <w:rPr>
      <w:rFonts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457DF9"/>
    <w:rPr>
      <w:rFonts w:ascii="Calibri" w:eastAsia="SimSun" w:hAnsi="Calibri" w:cs="Calibri"/>
      <w:noProof/>
      <w:kern w:val="2"/>
      <w:sz w:val="20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57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DF9"/>
    <w:pPr>
      <w:widowControl/>
      <w:spacing w:after="200"/>
      <w:jc w:val="left"/>
    </w:pPr>
    <w:rPr>
      <w:rFonts w:asciiTheme="minorHAnsi" w:eastAsiaTheme="minorHAnsi" w:hAnsiTheme="minorHAnsi" w:cstheme="minorBidi"/>
      <w:kern w:val="0"/>
      <w:sz w:val="20"/>
      <w:szCs w:val="20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DF9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F9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57D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7DF9"/>
  </w:style>
  <w:style w:type="character" w:customStyle="1" w:styleId="ui-ncbitoggler-master-text">
    <w:name w:val="ui-ncbitoggler-master-text"/>
    <w:basedOn w:val="DefaultParagraphFont"/>
    <w:rsid w:val="00457DF9"/>
  </w:style>
  <w:style w:type="character" w:customStyle="1" w:styleId="highlight">
    <w:name w:val="highlight"/>
    <w:basedOn w:val="DefaultParagraphFont"/>
    <w:rsid w:val="00457DF9"/>
  </w:style>
  <w:style w:type="character" w:customStyle="1" w:styleId="collapsetext">
    <w:name w:val="collapsetext"/>
    <w:basedOn w:val="DefaultParagraphFont"/>
    <w:rsid w:val="00457DF9"/>
  </w:style>
  <w:style w:type="character" w:customStyle="1" w:styleId="showinfo">
    <w:name w:val="showinfo"/>
    <w:basedOn w:val="DefaultParagraphFont"/>
    <w:rsid w:val="00457DF9"/>
  </w:style>
  <w:style w:type="character" w:customStyle="1" w:styleId="outtext">
    <w:name w:val="outtext"/>
    <w:basedOn w:val="DefaultParagraphFont"/>
    <w:rsid w:val="00457DF9"/>
  </w:style>
  <w:style w:type="paragraph" w:customStyle="1" w:styleId="volissue">
    <w:name w:val="volissue"/>
    <w:basedOn w:val="Normal"/>
    <w:rsid w:val="00457DF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authordegrees">
    <w:name w:val="authordegrees"/>
    <w:basedOn w:val="DefaultParagraphFont"/>
    <w:rsid w:val="00457DF9"/>
  </w:style>
  <w:style w:type="paragraph" w:styleId="ListParagraph">
    <w:name w:val="List Paragraph"/>
    <w:basedOn w:val="Normal"/>
    <w:uiPriority w:val="34"/>
    <w:qFormat/>
    <w:rsid w:val="00457DF9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F9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57DF9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7DF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57DF9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DF9"/>
    <w:rPr>
      <w:sz w:val="22"/>
      <w:szCs w:val="22"/>
      <w:lang w:val="en-CA"/>
    </w:rPr>
  </w:style>
  <w:style w:type="paragraph" w:styleId="NoSpacing">
    <w:name w:val="No Spacing"/>
    <w:aliases w:val="Manuscript"/>
    <w:next w:val="Normal"/>
    <w:link w:val="NoSpacingChar"/>
    <w:uiPriority w:val="1"/>
    <w:qFormat/>
    <w:rsid w:val="00457DF9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firstLine="432"/>
    </w:pPr>
    <w:rPr>
      <w:rFonts w:ascii="Times New Roman" w:eastAsia="Arial Unicode MS" w:hAnsi="Times New Roman" w:cs="Times New Roman"/>
      <w:bdr w:val="nil"/>
    </w:rPr>
  </w:style>
  <w:style w:type="character" w:customStyle="1" w:styleId="NoSpacingChar">
    <w:name w:val="No Spacing Char"/>
    <w:aliases w:val="Manuscript Char"/>
    <w:basedOn w:val="DefaultParagraphFont"/>
    <w:link w:val="NoSpacing"/>
    <w:uiPriority w:val="1"/>
    <w:rsid w:val="00457DF9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457DF9"/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57DF9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457DF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DF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F9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7DF9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57DF9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57DF9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F9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57D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7DF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57DF9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  <w:lang w:val="en-CA"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457DF9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57DF9"/>
    <w:rPr>
      <w:rFonts w:ascii="Calibri" w:eastAsia="SimSun" w:hAnsi="Calibri" w:cs="Calibri"/>
      <w:noProof/>
      <w:kern w:val="2"/>
      <w:sz w:val="20"/>
      <w:szCs w:val="2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457DF9"/>
    <w:pPr>
      <w:jc w:val="left"/>
    </w:pPr>
    <w:rPr>
      <w:rFonts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457DF9"/>
    <w:rPr>
      <w:rFonts w:ascii="Calibri" w:eastAsia="SimSun" w:hAnsi="Calibri" w:cs="Calibri"/>
      <w:noProof/>
      <w:kern w:val="2"/>
      <w:sz w:val="20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57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DF9"/>
    <w:pPr>
      <w:widowControl/>
      <w:spacing w:after="200"/>
      <w:jc w:val="left"/>
    </w:pPr>
    <w:rPr>
      <w:rFonts w:asciiTheme="minorHAnsi" w:eastAsiaTheme="minorHAnsi" w:hAnsiTheme="minorHAnsi" w:cstheme="minorBidi"/>
      <w:kern w:val="0"/>
      <w:sz w:val="20"/>
      <w:szCs w:val="20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DF9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F9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57D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7DF9"/>
  </w:style>
  <w:style w:type="character" w:customStyle="1" w:styleId="ui-ncbitoggler-master-text">
    <w:name w:val="ui-ncbitoggler-master-text"/>
    <w:basedOn w:val="DefaultParagraphFont"/>
    <w:rsid w:val="00457DF9"/>
  </w:style>
  <w:style w:type="character" w:customStyle="1" w:styleId="highlight">
    <w:name w:val="highlight"/>
    <w:basedOn w:val="DefaultParagraphFont"/>
    <w:rsid w:val="00457DF9"/>
  </w:style>
  <w:style w:type="character" w:customStyle="1" w:styleId="collapsetext">
    <w:name w:val="collapsetext"/>
    <w:basedOn w:val="DefaultParagraphFont"/>
    <w:rsid w:val="00457DF9"/>
  </w:style>
  <w:style w:type="character" w:customStyle="1" w:styleId="showinfo">
    <w:name w:val="showinfo"/>
    <w:basedOn w:val="DefaultParagraphFont"/>
    <w:rsid w:val="00457DF9"/>
  </w:style>
  <w:style w:type="character" w:customStyle="1" w:styleId="outtext">
    <w:name w:val="outtext"/>
    <w:basedOn w:val="DefaultParagraphFont"/>
    <w:rsid w:val="00457DF9"/>
  </w:style>
  <w:style w:type="paragraph" w:customStyle="1" w:styleId="volissue">
    <w:name w:val="volissue"/>
    <w:basedOn w:val="Normal"/>
    <w:rsid w:val="00457DF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authordegrees">
    <w:name w:val="authordegrees"/>
    <w:basedOn w:val="DefaultParagraphFont"/>
    <w:rsid w:val="00457DF9"/>
  </w:style>
  <w:style w:type="paragraph" w:styleId="ListParagraph">
    <w:name w:val="List Paragraph"/>
    <w:basedOn w:val="Normal"/>
    <w:uiPriority w:val="34"/>
    <w:qFormat/>
    <w:rsid w:val="00457DF9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F9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57DF9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7DF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57DF9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DF9"/>
    <w:rPr>
      <w:sz w:val="22"/>
      <w:szCs w:val="22"/>
      <w:lang w:val="en-CA"/>
    </w:rPr>
  </w:style>
  <w:style w:type="paragraph" w:styleId="NoSpacing">
    <w:name w:val="No Spacing"/>
    <w:aliases w:val="Manuscript"/>
    <w:next w:val="Normal"/>
    <w:link w:val="NoSpacingChar"/>
    <w:uiPriority w:val="1"/>
    <w:qFormat/>
    <w:rsid w:val="00457DF9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firstLine="432"/>
    </w:pPr>
    <w:rPr>
      <w:rFonts w:ascii="Times New Roman" w:eastAsia="Arial Unicode MS" w:hAnsi="Times New Roman" w:cs="Times New Roman"/>
      <w:bdr w:val="nil"/>
    </w:rPr>
  </w:style>
  <w:style w:type="character" w:customStyle="1" w:styleId="NoSpacingChar">
    <w:name w:val="No Spacing Char"/>
    <w:aliases w:val="Manuscript Char"/>
    <w:basedOn w:val="DefaultParagraphFont"/>
    <w:link w:val="NoSpacing"/>
    <w:uiPriority w:val="1"/>
    <w:rsid w:val="00457DF9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457DF9"/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57DF9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457DF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D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1572</Words>
  <Characters>8964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LAMIRA</cp:lastModifiedBy>
  <cp:revision>7</cp:revision>
  <dcterms:created xsi:type="dcterms:W3CDTF">2019-02-25T18:47:00Z</dcterms:created>
  <dcterms:modified xsi:type="dcterms:W3CDTF">2019-03-07T22:46:00Z</dcterms:modified>
</cp:coreProperties>
</file>