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3" w:rsidRDefault="00057523" w:rsidP="00057523">
      <w:pPr>
        <w:spacing w:after="0" w:line="360" w:lineRule="auto"/>
        <w:ind w:left="60" w:right="-604" w:firstLine="300"/>
        <w:rPr>
          <w:rFonts w:ascii="Times New Roman" w:eastAsia="SimSun" w:hAnsi="Times New Roman" w:cs="Times New Roman"/>
          <w:b/>
          <w:lang w:val="en-GB"/>
        </w:rPr>
      </w:pPr>
      <w:r>
        <w:rPr>
          <w:rFonts w:ascii="Times New Roman" w:eastAsia="SimSun" w:hAnsi="Times New Roman" w:cs="Times New Roman"/>
          <w:b/>
          <w:lang w:val="en-GB"/>
        </w:rPr>
        <w:t xml:space="preserve">Additional file </w:t>
      </w:r>
      <w:r w:rsidR="006B4326">
        <w:rPr>
          <w:rFonts w:ascii="Times New Roman" w:eastAsia="SimSun" w:hAnsi="Times New Roman" w:cs="Times New Roman"/>
          <w:b/>
          <w:lang w:val="en-GB"/>
        </w:rPr>
        <w:t>4</w:t>
      </w:r>
      <w:bookmarkStart w:id="0" w:name="_GoBack"/>
      <w:bookmarkEnd w:id="0"/>
      <w:r>
        <w:rPr>
          <w:rFonts w:ascii="Times New Roman" w:eastAsia="SimSun" w:hAnsi="Times New Roman" w:cs="Times New Roman"/>
          <w:b/>
          <w:lang w:val="en-GB"/>
        </w:rPr>
        <w:t>:</w:t>
      </w:r>
    </w:p>
    <w:p w:rsidR="00057523" w:rsidRPr="00F30F1A" w:rsidRDefault="00057523" w:rsidP="00057523">
      <w:pPr>
        <w:spacing w:after="0" w:line="360" w:lineRule="auto"/>
        <w:ind w:left="60" w:right="-604" w:firstLine="300"/>
        <w:rPr>
          <w:rFonts w:ascii="Times New Roman" w:eastAsia="SimSun" w:hAnsi="Times New Roman"/>
          <w:lang w:val="en-GB"/>
        </w:rPr>
      </w:pPr>
      <w:r w:rsidRPr="00F30F1A">
        <w:rPr>
          <w:rFonts w:ascii="Times New Roman" w:eastAsia="SimSun" w:hAnsi="Times New Roman" w:cs="Times New Roman"/>
          <w:b/>
          <w:lang w:val="en-GB"/>
        </w:rPr>
        <w:t>Supplemental Table S1</w:t>
      </w:r>
      <w:r w:rsidRPr="00F30F1A">
        <w:rPr>
          <w:rFonts w:ascii="Times New Roman" w:eastAsia="SimSun" w:hAnsi="Times New Roman"/>
          <w:b/>
          <w:lang w:val="en-GB"/>
        </w:rPr>
        <w:t>.</w:t>
      </w:r>
      <w:r w:rsidRPr="00F30F1A">
        <w:rPr>
          <w:rFonts w:ascii="Times New Roman" w:eastAsia="SimSun" w:hAnsi="Times New Roman"/>
          <w:lang w:val="en-GB"/>
        </w:rPr>
        <w:t xml:space="preserve"> Baseline characteristics of patients with chronic kidney disease stage 3-5 with 2-year follow-</w:t>
      </w:r>
      <w:proofErr w:type="spellStart"/>
      <w:r w:rsidRPr="00F30F1A">
        <w:rPr>
          <w:rFonts w:ascii="Times New Roman" w:eastAsia="SimSun" w:hAnsi="Times New Roman"/>
          <w:lang w:val="en-GB"/>
        </w:rPr>
        <w:t>up</w:t>
      </w:r>
      <w:r w:rsidRPr="00F30F1A">
        <w:rPr>
          <w:rFonts w:ascii="Times New Roman" w:eastAsia="SimSun" w:hAnsi="Times New Roman"/>
          <w:vertAlign w:val="superscript"/>
          <w:lang w:val="en-GB"/>
        </w:rPr>
        <w:t>a</w:t>
      </w:r>
      <w:proofErr w:type="spellEnd"/>
    </w:p>
    <w:tbl>
      <w:tblPr>
        <w:tblW w:w="390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1827"/>
        <w:gridCol w:w="1588"/>
        <w:gridCol w:w="1667"/>
      </w:tblGrid>
      <w:tr w:rsidR="00057523" w:rsidRPr="00F30F1A" w:rsidTr="006A5C99">
        <w:trPr>
          <w:trHeight w:hRule="exact" w:val="1017"/>
          <w:jc w:val="center"/>
        </w:trPr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spacing w:line="240" w:lineRule="auto"/>
              <w:ind w:leftChars="19" w:left="42" w:rightChars="-5" w:right="-11"/>
              <w:rPr>
                <w:rFonts w:ascii="Times New Roman" w:hAnsi="Times New Roman"/>
                <w:lang w:val="en-GB"/>
              </w:rPr>
            </w:pPr>
            <w:r w:rsidRPr="00F30F1A">
              <w:rPr>
                <w:rFonts w:ascii="Times New Roman" w:hAnsi="Times New Roman"/>
                <w:lang w:val="en-GB"/>
              </w:rPr>
              <w:t>Variable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57523" w:rsidRPr="00F30F1A" w:rsidRDefault="00057523" w:rsidP="006A5C99">
            <w:pPr>
              <w:pStyle w:val="Body"/>
              <w:spacing w:line="276" w:lineRule="auto"/>
              <w:ind w:rightChars="-38" w:right="-84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Total patients   </w:t>
            </w:r>
          </w:p>
          <w:p w:rsidR="00057523" w:rsidRPr="00F30F1A" w:rsidRDefault="00057523" w:rsidP="006A5C99">
            <w:pPr>
              <w:pStyle w:val="Body"/>
              <w:spacing w:line="276" w:lineRule="auto"/>
              <w:ind w:rightChars="-38" w:right="-84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with CKD</w:t>
            </w:r>
          </w:p>
          <w:p w:rsidR="00057523" w:rsidRPr="00F30F1A" w:rsidRDefault="00057523" w:rsidP="006A5C99">
            <w:pPr>
              <w:pStyle w:val="Body"/>
              <w:spacing w:line="276" w:lineRule="auto"/>
              <w:ind w:leftChars="-12" w:left="-26" w:rightChars="-38" w:right="-84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(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=</w:t>
            </w:r>
            <w:r w:rsidRPr="00F30F1A">
              <w:rPr>
                <w:kern w:val="24"/>
                <w:sz w:val="22"/>
                <w:szCs w:val="22"/>
                <w:lang w:val="en-GB"/>
              </w:rPr>
              <w:t>17,444)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pacing w:line="276" w:lineRule="auto"/>
              <w:ind w:leftChars="-12" w:left="-26" w:rightChars="-38" w:right="-84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Patients with </w:t>
            </w:r>
          </w:p>
          <w:p w:rsidR="00057523" w:rsidRPr="00F30F1A" w:rsidRDefault="00057523" w:rsidP="006A5C99">
            <w:pPr>
              <w:pStyle w:val="Body"/>
              <w:spacing w:line="276" w:lineRule="auto"/>
              <w:ind w:leftChars="-12" w:left="-26" w:rightChars="-38" w:right="-84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ESKD</w:t>
            </w:r>
          </w:p>
          <w:p w:rsidR="00057523" w:rsidRPr="00F30F1A" w:rsidRDefault="00057523" w:rsidP="006A5C99">
            <w:pPr>
              <w:pStyle w:val="Body"/>
              <w:spacing w:line="276" w:lineRule="auto"/>
              <w:ind w:leftChars="-12" w:left="-25" w:rightChars="-38" w:right="-84" w:hanging="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(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=</w:t>
            </w:r>
            <w:r w:rsidRPr="00F30F1A">
              <w:rPr>
                <w:kern w:val="24"/>
                <w:sz w:val="22"/>
                <w:szCs w:val="22"/>
                <w:lang w:val="en-GB"/>
              </w:rPr>
              <w:t>330)</w:t>
            </w:r>
          </w:p>
          <w:p w:rsidR="00057523" w:rsidRPr="00F30F1A" w:rsidRDefault="00057523" w:rsidP="006A5C99">
            <w:pPr>
              <w:pStyle w:val="Body"/>
              <w:spacing w:line="276" w:lineRule="auto"/>
              <w:ind w:leftChars="-12" w:left="-26" w:rightChars="-38" w:right="-84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spacing w:line="276" w:lineRule="auto"/>
              <w:ind w:leftChars="-28" w:left="-62" w:rightChars="-33" w:right="-73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Patients without </w:t>
            </w:r>
          </w:p>
          <w:p w:rsidR="00057523" w:rsidRPr="00F30F1A" w:rsidRDefault="00057523" w:rsidP="006A5C99">
            <w:pPr>
              <w:pStyle w:val="Body"/>
              <w:tabs>
                <w:tab w:val="left" w:pos="2059"/>
              </w:tabs>
              <w:spacing w:line="276" w:lineRule="auto"/>
              <w:ind w:leftChars="-28" w:left="-62" w:rightChars="-33" w:right="-73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   ESKD</w:t>
            </w:r>
          </w:p>
          <w:p w:rsidR="00057523" w:rsidRPr="00F30F1A" w:rsidRDefault="00057523" w:rsidP="006A5C99">
            <w:pPr>
              <w:pStyle w:val="Body"/>
              <w:spacing w:line="276" w:lineRule="auto"/>
              <w:ind w:leftChars="-12" w:left="-25" w:rightChars="-38" w:right="-84" w:hanging="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(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=</w:t>
            </w:r>
            <w:r w:rsidRPr="00F30F1A">
              <w:rPr>
                <w:kern w:val="24"/>
                <w:sz w:val="22"/>
                <w:szCs w:val="22"/>
                <w:lang w:val="en-GB"/>
              </w:rPr>
              <w:t>17,114)</w:t>
            </w:r>
          </w:p>
          <w:p w:rsidR="00057523" w:rsidRPr="00F30F1A" w:rsidRDefault="00057523" w:rsidP="006A5C99">
            <w:pPr>
              <w:pStyle w:val="Body"/>
              <w:tabs>
                <w:tab w:val="left" w:pos="2059"/>
              </w:tabs>
              <w:spacing w:line="276" w:lineRule="auto"/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CKD stages,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Stage 3 CKD (30≤eGFR&lt;60 </w:t>
            </w:r>
            <w:r w:rsidRPr="00F30F1A">
              <w:rPr>
                <w:rFonts w:eastAsia="Times New Roman" w:hAnsi="Times New Roman"/>
                <w:sz w:val="22"/>
                <w:szCs w:val="22"/>
                <w:lang w:val="en-GB"/>
              </w:rPr>
              <w:t>mL/min/1.73m</w:t>
            </w:r>
            <w:r w:rsidRPr="00F30F1A">
              <w:rPr>
                <w:rFonts w:eastAsia="Times New Roman" w:hAnsi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15,295 (88)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48 (15)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15,247 (89)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Stage 4 CKD (15≤eGFR&lt;30 </w:t>
            </w:r>
            <w:r w:rsidRPr="00F30F1A">
              <w:rPr>
                <w:rFonts w:eastAsia="Times New Roman" w:hAnsi="Times New Roman"/>
                <w:sz w:val="22"/>
                <w:szCs w:val="22"/>
                <w:lang w:val="en-GB"/>
              </w:rPr>
              <w:t>mL/min/1.73m</w:t>
            </w:r>
            <w:r w:rsidRPr="00F30F1A">
              <w:rPr>
                <w:rFonts w:eastAsia="Times New Roman" w:hAnsi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1,976 (11)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188 (57)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1,788 (10)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Stage 5 CKD (</w:t>
            </w:r>
            <w:proofErr w:type="spellStart"/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eGFR</w:t>
            </w:r>
            <w:proofErr w:type="spellEnd"/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&lt;15 </w:t>
            </w:r>
            <w:r w:rsidRPr="00F30F1A">
              <w:rPr>
                <w:rFonts w:eastAsia="Times New Roman" w:hAnsi="Times New Roman"/>
                <w:sz w:val="22"/>
                <w:szCs w:val="22"/>
                <w:lang w:val="en-GB"/>
              </w:rPr>
              <w:t>mL/min/1.73m</w:t>
            </w:r>
            <w:r w:rsidRPr="00F30F1A">
              <w:rPr>
                <w:rFonts w:eastAsia="Times New Roman" w:hAnsi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 w:hint="eastAsia"/>
                <w:sz w:val="22"/>
                <w:szCs w:val="22"/>
                <w:lang w:val="en-GB"/>
              </w:rPr>
              <w:t>173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F30F1A">
              <w:rPr>
                <w:rFonts w:hAnsi="Times New Roman" w:cs="Times New Roman" w:hint="eastAsia"/>
                <w:sz w:val="22"/>
                <w:szCs w:val="22"/>
                <w:lang w:val="en-GB"/>
              </w:rPr>
              <w:t>(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0.99)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94 (28)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79 (0.46)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Demographics </w:t>
            </w: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Age (years), mean (SD)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76 (9)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70 (11)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76 (9)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Gender,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Men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8,671 (50)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176 (53)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8,495 (50)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Women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8,773 (50)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154 (47)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8,619 (50)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Ethnicity,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 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8" w:left="205" w:rightChars="-5" w:right="-11" w:hanging="165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Chinese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13,842 (79)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239 (72)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13,603 (80)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Indians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731 (4)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11 (3)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720 (4)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Malays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2,307 (13)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68 (21)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2,239 (13)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Others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564 (3)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12 (4)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552 (3)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Lifestyle factors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Government housing,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15,545 (89)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303 (92)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15,242 (89)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Past or current smoker,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1,247 (7)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31 (9)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1,216 (7)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lastRenderedPageBreak/>
              <w:t xml:space="preserve">     BMI (kg/m</w:t>
            </w:r>
            <w:r w:rsidRPr="00F30F1A">
              <w:rPr>
                <w:rFonts w:hAnsi="Times New Roman"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), mean (SD)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25.4 (4.54)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26.0 (4.98)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tabs>
                <w:tab w:val="left" w:pos="2059"/>
              </w:tabs>
              <w:ind w:leftChars="-28" w:left="-62" w:rightChars="-33" w:right="-73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25.4 (4.53)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Known co-</w:t>
            </w:r>
            <w:proofErr w:type="spellStart"/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morbidities</w:t>
            </w:r>
            <w:r w:rsidRPr="00F30F1A">
              <w:rPr>
                <w:rFonts w:hAnsi="Times New Roman" w:cs="Times New Roman"/>
                <w:sz w:val="22"/>
                <w:szCs w:val="22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Physician-diagnosed diabetes mellitus,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10,282 (59)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266 (81)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10,016 (59)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Physician-diagnosed hypertension,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17,135 (98)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327 (99)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16,808 (98)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Physician-diagnosed cardiovascular disease,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4,411 (25)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89 (27)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4,322 (25)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napToGrid w:val="0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Physician-diagnosed stroke,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snapToGrid w:val="0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2,185 (13)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napToGrid w:val="0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44 (13)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napToGrid w:val="0"/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2,141 (13)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napToGrid w:val="0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</w:rPr>
              <w:t xml:space="preserve">Recalibrated 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Pooled KFRE SEA </w:t>
            </w:r>
            <w:proofErr w:type="spellStart"/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equation</w:t>
            </w:r>
            <w:r w:rsidRPr="00F30F1A">
              <w:rPr>
                <w:rFonts w:hAnsi="Times New Roman" w:cs="Times New Roman"/>
                <w:sz w:val="22"/>
                <w:szCs w:val="22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057523" w:rsidRPr="00F30F1A" w:rsidRDefault="00057523" w:rsidP="006A5C99">
            <w:pPr>
              <w:pStyle w:val="Body"/>
              <w:snapToGrid w:val="0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napToGrid w:val="0"/>
              <w:ind w:left="6" w:right="34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napToGrid w:val="0"/>
              <w:ind w:left="6" w:rightChars="-39" w:right="-86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napToGrid w:val="0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 w:hint="eastAsia"/>
                <w:sz w:val="22"/>
                <w:szCs w:val="22"/>
                <w:lang w:val="en-GB"/>
              </w:rPr>
              <w:t xml:space="preserve">     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&gt;</w:t>
            </w:r>
            <w:r w:rsidRPr="00F30F1A">
              <w:rPr>
                <w:rFonts w:hAnsi="Times New Roman" w:cs="Times New Roman" w:hint="eastAsia"/>
                <w:sz w:val="22"/>
                <w:szCs w:val="22"/>
                <w:lang w:val="en-GB"/>
              </w:rPr>
              <w:t xml:space="preserve">20%,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523" w:rsidRPr="00F30F1A" w:rsidRDefault="00057523" w:rsidP="006A5C99">
            <w:pPr>
              <w:pStyle w:val="Body"/>
              <w:snapToGrid w:val="0"/>
              <w:spacing w:line="276" w:lineRule="auto"/>
              <w:ind w:left="6" w:rightChars="159" w:right="35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1,240 (7)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snapToGrid w:val="0"/>
              <w:spacing w:line="276" w:lineRule="auto"/>
              <w:ind w:left="6" w:rightChars="159" w:right="35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268 (81)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snapToGrid w:val="0"/>
              <w:spacing w:line="276" w:lineRule="auto"/>
              <w:ind w:left="6" w:rightChars="-31" w:right="-68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972 (6)</w:t>
            </w:r>
          </w:p>
        </w:tc>
      </w:tr>
      <w:tr w:rsidR="00057523" w:rsidRPr="00F30F1A" w:rsidTr="006A5C99">
        <w:trPr>
          <w:trHeight w:hRule="exact" w:val="360"/>
          <w:jc w:val="center"/>
        </w:trPr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23" w:rsidRPr="00F30F1A" w:rsidRDefault="00057523" w:rsidP="006A5C99">
            <w:pPr>
              <w:pStyle w:val="Body"/>
              <w:snapToGrid w:val="0"/>
              <w:ind w:leftChars="19" w:left="42" w:rightChars="-5" w:right="-11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    &gt;40</w:t>
            </w:r>
            <w:r w:rsidRPr="00F30F1A">
              <w:rPr>
                <w:rFonts w:hAnsi="Times New Roman" w:cs="Times New Roman" w:hint="eastAsia"/>
                <w:sz w:val="22"/>
                <w:szCs w:val="22"/>
                <w:lang w:val="en-GB"/>
              </w:rPr>
              <w:t xml:space="preserve">%, </w:t>
            </w:r>
            <w:r w:rsidRPr="00F30F1A">
              <w:rPr>
                <w:rFonts w:hAnsi="Times New Roman" w:cs="Times New Roman"/>
                <w:i/>
                <w:sz w:val="22"/>
                <w:szCs w:val="22"/>
                <w:lang w:val="en-GB"/>
              </w:rPr>
              <w:t>n</w:t>
            </w: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523" w:rsidRPr="00F30F1A" w:rsidRDefault="00057523" w:rsidP="006A5C99">
            <w:pPr>
              <w:pStyle w:val="Body"/>
              <w:snapToGrid w:val="0"/>
              <w:spacing w:line="276" w:lineRule="auto"/>
              <w:ind w:left="6" w:rightChars="159" w:right="35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531 (3)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snapToGrid w:val="0"/>
              <w:spacing w:line="276" w:lineRule="auto"/>
              <w:ind w:left="6" w:rightChars="159" w:right="350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195 (59)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7523" w:rsidRPr="00F30F1A" w:rsidRDefault="00057523" w:rsidP="006A5C99">
            <w:pPr>
              <w:pStyle w:val="Body"/>
              <w:snapToGrid w:val="0"/>
              <w:spacing w:line="276" w:lineRule="auto"/>
              <w:ind w:left="6" w:rightChars="-31" w:right="-68"/>
              <w:jc w:val="center"/>
              <w:rPr>
                <w:rFonts w:hAnsi="Times New Roman" w:cs="Times New Roman"/>
                <w:sz w:val="22"/>
                <w:szCs w:val="22"/>
                <w:lang w:val="en-GB"/>
              </w:rPr>
            </w:pPr>
            <w:r w:rsidRPr="00F30F1A">
              <w:rPr>
                <w:rFonts w:hAnsi="Times New Roman" w:cs="Times New Roman"/>
                <w:sz w:val="22"/>
                <w:szCs w:val="22"/>
                <w:lang w:val="en-GB"/>
              </w:rPr>
              <w:t>336 (2)</w:t>
            </w:r>
          </w:p>
        </w:tc>
      </w:tr>
    </w:tbl>
    <w:p w:rsidR="00057523" w:rsidRPr="00F30F1A" w:rsidRDefault="00057523" w:rsidP="00057523">
      <w:pPr>
        <w:spacing w:after="0" w:line="360" w:lineRule="auto"/>
        <w:ind w:left="360"/>
      </w:pPr>
      <w:proofErr w:type="spellStart"/>
      <w:proofErr w:type="gramStart"/>
      <w:r w:rsidRPr="00F30F1A">
        <w:rPr>
          <w:rFonts w:ascii="Times New Roman" w:eastAsia="SimSun" w:hAnsi="Times New Roman"/>
          <w:vertAlign w:val="superscript"/>
          <w:lang w:val="en-GB"/>
        </w:rPr>
        <w:t>a</w:t>
      </w:r>
      <w:r w:rsidRPr="00F30F1A">
        <w:rPr>
          <w:rFonts w:ascii="Times New Roman" w:eastAsia="SimSun" w:hAnsi="Times New Roman"/>
          <w:lang w:val="en-GB"/>
        </w:rPr>
        <w:t>Data</w:t>
      </w:r>
      <w:proofErr w:type="spellEnd"/>
      <w:proofErr w:type="gramEnd"/>
      <w:r w:rsidRPr="00F30F1A">
        <w:rPr>
          <w:rFonts w:ascii="Times New Roman" w:eastAsia="SimSun" w:hAnsi="Times New Roman"/>
          <w:lang w:val="en-GB"/>
        </w:rPr>
        <w:t xml:space="preserve"> are expressed as mean (SD) for continuous variables and </w:t>
      </w:r>
      <w:r w:rsidRPr="00F30F1A">
        <w:rPr>
          <w:rFonts w:ascii="Times New Roman" w:eastAsia="SimSun" w:hAnsi="Times New Roman"/>
          <w:i/>
          <w:lang w:val="en-GB"/>
        </w:rPr>
        <w:t>n</w:t>
      </w:r>
      <w:r w:rsidRPr="00F30F1A">
        <w:rPr>
          <w:rFonts w:ascii="Times New Roman" w:eastAsia="SimSun" w:hAnsi="Times New Roman"/>
          <w:lang w:val="en-GB"/>
        </w:rPr>
        <w:t xml:space="preserve"> (percentage) for categorical variables. CKD was defined as </w:t>
      </w:r>
      <w:r w:rsidRPr="00F30F1A">
        <w:rPr>
          <w:rFonts w:ascii="Times New Roman" w:eastAsia="Times New Roman" w:hAnsi="Times New Roman"/>
          <w:color w:val="000000"/>
          <w:lang w:val="en-GB"/>
        </w:rPr>
        <w:t xml:space="preserve">CKD-EPI </w:t>
      </w:r>
      <w:proofErr w:type="spellStart"/>
      <w:r w:rsidRPr="00F30F1A">
        <w:rPr>
          <w:rFonts w:ascii="Times New Roman" w:eastAsia="Times New Roman" w:hAnsi="Times New Roman"/>
          <w:color w:val="000000"/>
          <w:lang w:val="en-GB"/>
        </w:rPr>
        <w:t>eGFR</w:t>
      </w:r>
      <w:proofErr w:type="spellEnd"/>
      <w:r w:rsidRPr="00F30F1A">
        <w:rPr>
          <w:rFonts w:ascii="Times New Roman" w:eastAsia="Times New Roman" w:hAnsi="Times New Roman"/>
          <w:color w:val="000000"/>
          <w:lang w:val="en-GB"/>
        </w:rPr>
        <w:t xml:space="preserve"> &lt;60 mL/min/1.73m</w:t>
      </w:r>
      <w:r w:rsidRPr="00F30F1A">
        <w:rPr>
          <w:rFonts w:ascii="Times New Roman" w:eastAsia="Times New Roman" w:hAnsi="Times New Roman"/>
          <w:color w:val="000000"/>
          <w:vertAlign w:val="superscript"/>
          <w:lang w:val="en-GB"/>
        </w:rPr>
        <w:t>2</w:t>
      </w:r>
      <w:r w:rsidRPr="00F30F1A">
        <w:rPr>
          <w:rFonts w:ascii="Times New Roman" w:eastAsia="Times New Roman" w:hAnsi="Times New Roman"/>
          <w:color w:val="000000"/>
          <w:lang w:val="en-GB"/>
        </w:rPr>
        <w:t>.</w:t>
      </w:r>
    </w:p>
    <w:p w:rsidR="00057523" w:rsidRPr="00F30F1A" w:rsidRDefault="00057523" w:rsidP="00057523">
      <w:pPr>
        <w:spacing w:after="0" w:line="360" w:lineRule="auto"/>
        <w:ind w:left="360"/>
        <w:rPr>
          <w:rFonts w:ascii="Times New Roman" w:eastAsia="SimSun" w:hAnsi="Times New Roman"/>
          <w:lang w:val="en-GB"/>
        </w:rPr>
      </w:pPr>
      <w:proofErr w:type="spellStart"/>
      <w:proofErr w:type="gramStart"/>
      <w:r w:rsidRPr="00F30F1A">
        <w:rPr>
          <w:rFonts w:ascii="Times New Roman" w:eastAsia="SimSun" w:hAnsi="Times New Roman"/>
          <w:vertAlign w:val="superscript"/>
          <w:lang w:val="en-GB"/>
        </w:rPr>
        <w:t>b</w:t>
      </w:r>
      <w:r w:rsidRPr="00F30F1A">
        <w:rPr>
          <w:rFonts w:ascii="Times New Roman" w:eastAsia="SimSun" w:hAnsi="Times New Roman"/>
          <w:lang w:val="en-GB"/>
        </w:rPr>
        <w:t>Known</w:t>
      </w:r>
      <w:proofErr w:type="spellEnd"/>
      <w:proofErr w:type="gramEnd"/>
      <w:r w:rsidRPr="00F30F1A">
        <w:rPr>
          <w:rFonts w:ascii="Times New Roman" w:eastAsia="SimSun" w:hAnsi="Times New Roman"/>
          <w:lang w:val="en-GB"/>
        </w:rPr>
        <w:t xml:space="preserve"> co-morbidities as documented by physicians in the electronic health record. </w:t>
      </w:r>
    </w:p>
    <w:p w:rsidR="00057523" w:rsidRDefault="00057523" w:rsidP="00057523">
      <w:pPr>
        <w:spacing w:after="0" w:line="360" w:lineRule="auto"/>
        <w:ind w:left="360"/>
        <w:rPr>
          <w:rFonts w:ascii="Times New Roman" w:eastAsia="SimSun" w:hAnsi="Times New Roman" w:cs="Times New Roman"/>
          <w:b/>
          <w:lang w:val="en-GB"/>
        </w:rPr>
      </w:pPr>
      <w:proofErr w:type="spellStart"/>
      <w:proofErr w:type="gramStart"/>
      <w:r w:rsidRPr="00F30F1A">
        <w:rPr>
          <w:rFonts w:ascii="Times New Roman" w:eastAsia="SimSun" w:hAnsi="Times New Roman" w:cs="Times New Roman"/>
          <w:vertAlign w:val="superscript"/>
          <w:lang w:val="en-GB"/>
        </w:rPr>
        <w:t>c</w:t>
      </w:r>
      <w:r w:rsidRPr="00F30F1A">
        <w:rPr>
          <w:rFonts w:ascii="Times New Roman" w:hAnsi="Times New Roman" w:cs="Times New Roman"/>
          <w:lang w:val="en-GB"/>
        </w:rPr>
        <w:t>The</w:t>
      </w:r>
      <w:proofErr w:type="spellEnd"/>
      <w:proofErr w:type="gramEnd"/>
      <w:r w:rsidRPr="00F30F1A">
        <w:rPr>
          <w:rFonts w:ascii="Times New Roman" w:hAnsi="Times New Roman" w:cs="Times New Roman"/>
          <w:lang w:val="en-GB"/>
        </w:rPr>
        <w:t xml:space="preserve"> </w:t>
      </w:r>
      <w:r w:rsidRPr="00F30F1A">
        <w:rPr>
          <w:rFonts w:ascii="Times New Roman" w:hAnsi="Times New Roman" w:cs="Times New Roman"/>
          <w:szCs w:val="24"/>
        </w:rPr>
        <w:t xml:space="preserve">Recalibrated </w:t>
      </w:r>
      <w:r w:rsidRPr="00F30F1A">
        <w:rPr>
          <w:rFonts w:ascii="Times New Roman" w:hAnsi="Times New Roman" w:cs="Times New Roman"/>
          <w:lang w:val="en-GB"/>
        </w:rPr>
        <w:t xml:space="preserve">Pooled KFRE SEA equation at 2-year ESKD risk was calculated as: 1 - 0.8976 ^ </w:t>
      </w:r>
      <w:proofErr w:type="spellStart"/>
      <w:r w:rsidRPr="00F30F1A">
        <w:rPr>
          <w:rFonts w:ascii="Times New Roman" w:hAnsi="Times New Roman" w:cs="Times New Roman"/>
          <w:lang w:val="en-GB"/>
        </w:rPr>
        <w:t>exp</w:t>
      </w:r>
      <w:proofErr w:type="spellEnd"/>
      <w:r w:rsidRPr="00F30F1A">
        <w:rPr>
          <w:rFonts w:ascii="Times New Roman" w:hAnsi="Times New Roman" w:cs="Times New Roman"/>
          <w:lang w:val="en-GB"/>
        </w:rPr>
        <w:t xml:space="preserve"> (-0.2245 × (age/10 - 7.036) + 0.3212 × (male - 0.5642) - 0.4553 × (</w:t>
      </w:r>
      <w:proofErr w:type="spellStart"/>
      <w:r w:rsidRPr="00F30F1A">
        <w:rPr>
          <w:rFonts w:ascii="Times New Roman" w:hAnsi="Times New Roman" w:cs="Times New Roman"/>
          <w:lang w:val="en-GB"/>
        </w:rPr>
        <w:t>eGFR</w:t>
      </w:r>
      <w:proofErr w:type="spellEnd"/>
      <w:r w:rsidRPr="00F30F1A">
        <w:rPr>
          <w:rFonts w:ascii="Times New Roman" w:hAnsi="Times New Roman" w:cs="Times New Roman"/>
          <w:lang w:val="en-GB"/>
        </w:rPr>
        <w:t>/5 - 7.222) + 0.4469 × (</w:t>
      </w:r>
      <w:proofErr w:type="spellStart"/>
      <w:r w:rsidRPr="00F30F1A">
        <w:rPr>
          <w:rFonts w:ascii="Times New Roman" w:hAnsi="Times New Roman" w:cs="Times New Roman"/>
          <w:lang w:val="en-GB"/>
        </w:rPr>
        <w:t>lnACR</w:t>
      </w:r>
      <w:proofErr w:type="spellEnd"/>
      <w:r w:rsidRPr="00F30F1A">
        <w:rPr>
          <w:rFonts w:ascii="Times New Roman" w:hAnsi="Times New Roman" w:cs="Times New Roman"/>
          <w:lang w:val="en-GB"/>
        </w:rPr>
        <w:t xml:space="preserve"> - 5.137)).</w:t>
      </w:r>
    </w:p>
    <w:p w:rsidR="00EB4CD4" w:rsidRPr="00057523" w:rsidRDefault="00057523" w:rsidP="00057523">
      <w:pPr>
        <w:spacing w:after="0" w:line="360" w:lineRule="auto"/>
        <w:ind w:left="360"/>
        <w:rPr>
          <w:rFonts w:ascii="Times New Roman" w:eastAsia="SimSun" w:hAnsi="Times New Roman" w:cs="Times New Roman"/>
          <w:b/>
          <w:lang w:val="en-GB"/>
        </w:rPr>
      </w:pPr>
      <w:r w:rsidRPr="00F30F1A">
        <w:rPr>
          <w:rFonts w:ascii="Times New Roman" w:eastAsia="SimSun" w:hAnsi="Times New Roman"/>
          <w:b/>
          <w:lang w:val="en-GB"/>
        </w:rPr>
        <w:t>Abbreviation:</w:t>
      </w:r>
      <w:r w:rsidRPr="00F30F1A">
        <w:rPr>
          <w:rFonts w:ascii="Times New Roman" w:eastAsia="SimSun" w:hAnsi="Times New Roman"/>
          <w:lang w:val="en-GB"/>
        </w:rPr>
        <w:t xml:space="preserve"> ACR, albumin-to-creatinine ratio; BMI, body mass index; CKD, chronic kidney disease; </w:t>
      </w:r>
      <w:r w:rsidRPr="00F30F1A">
        <w:rPr>
          <w:rFonts w:ascii="Times New Roman" w:eastAsia="Times New Roman" w:hAnsi="Times New Roman"/>
          <w:lang w:val="en-GB"/>
        </w:rPr>
        <w:t>CKD-EPI,</w:t>
      </w:r>
      <w:r w:rsidRPr="00F30F1A">
        <w:rPr>
          <w:rFonts w:ascii="Times New Roman" w:eastAsia="Times New Roman" w:hAnsi="Times New Roman"/>
          <w:b/>
          <w:lang w:val="en-GB"/>
        </w:rPr>
        <w:t xml:space="preserve"> </w:t>
      </w:r>
      <w:r w:rsidRPr="00F30F1A">
        <w:rPr>
          <w:rFonts w:ascii="Times New Roman" w:hAnsi="Times New Roman" w:cs="Times New Roman"/>
          <w:lang w:val="en-GB"/>
        </w:rPr>
        <w:t xml:space="preserve">Chronic Kidney Disease Epidemiology Collaboration; </w:t>
      </w:r>
      <w:proofErr w:type="spellStart"/>
      <w:r w:rsidRPr="00F30F1A">
        <w:rPr>
          <w:rFonts w:ascii="Times New Roman" w:eastAsia="SimSun" w:hAnsi="Times New Roman"/>
          <w:lang w:val="en-GB"/>
        </w:rPr>
        <w:t>eGFR</w:t>
      </w:r>
      <w:proofErr w:type="spellEnd"/>
      <w:r w:rsidRPr="00F30F1A">
        <w:rPr>
          <w:rFonts w:ascii="Times New Roman" w:eastAsia="SimSun" w:hAnsi="Times New Roman"/>
          <w:lang w:val="en-GB"/>
        </w:rPr>
        <w:t xml:space="preserve">, </w:t>
      </w:r>
      <w:r w:rsidRPr="00F30F1A">
        <w:rPr>
          <w:rFonts w:ascii="Times New Roman" w:eastAsia="Times New Roman" w:hAnsi="Times New Roman"/>
          <w:lang w:val="en-GB"/>
        </w:rPr>
        <w:t>estimated glomerular filtration rate;</w:t>
      </w:r>
      <w:r w:rsidRPr="00F30F1A">
        <w:rPr>
          <w:rFonts w:ascii="Times New Roman" w:eastAsia="Times New Roman" w:hAnsi="Times New Roman"/>
          <w:b/>
          <w:lang w:val="en-GB"/>
        </w:rPr>
        <w:t xml:space="preserve"> </w:t>
      </w:r>
      <w:r w:rsidRPr="00F30F1A">
        <w:rPr>
          <w:rFonts w:ascii="Times New Roman" w:eastAsia="SimSun" w:hAnsi="Times New Roman"/>
          <w:lang w:val="en-GB"/>
        </w:rPr>
        <w:t>ESKD, end-stage kidney disease; KFRE, Kidney Failure Risk Equation; SEA, Southeast Asia; SD, standard deviation.</w:t>
      </w:r>
    </w:p>
    <w:sectPr w:rsidR="00EB4CD4" w:rsidRPr="00057523" w:rsidSect="000575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3"/>
    <w:rsid w:val="00057523"/>
    <w:rsid w:val="006B4326"/>
    <w:rsid w:val="00E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33E1"/>
  <w15:chartTrackingRefBased/>
  <w15:docId w15:val="{2F7F8A98-9D1B-443C-8398-C965DC3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57523"/>
    <w:pPr>
      <w:spacing w:after="0" w:line="240" w:lineRule="auto"/>
    </w:pPr>
    <w:rPr>
      <w:rFonts w:ascii="Times New Roman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>National University of Singapore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Yeli</dc:creator>
  <cp:keywords/>
  <dc:description/>
  <cp:lastModifiedBy>Wang Yeli</cp:lastModifiedBy>
  <cp:revision>2</cp:revision>
  <dcterms:created xsi:type="dcterms:W3CDTF">2019-11-22T01:59:00Z</dcterms:created>
  <dcterms:modified xsi:type="dcterms:W3CDTF">2019-11-22T02:49:00Z</dcterms:modified>
</cp:coreProperties>
</file>