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990"/>
        <w:gridCol w:w="1620"/>
        <w:gridCol w:w="1260"/>
        <w:gridCol w:w="2340"/>
        <w:gridCol w:w="2160"/>
        <w:gridCol w:w="3355"/>
      </w:tblGrid>
      <w:tr w:rsidR="0018013B" w:rsidRPr="0018013B" w:rsidTr="00193A96">
        <w:trPr>
          <w:trHeight w:val="710"/>
        </w:trPr>
        <w:tc>
          <w:tcPr>
            <w:tcW w:w="2335" w:type="dxa"/>
            <w:shd w:val="clear" w:color="000000" w:fill="E7E6E6"/>
            <w:vAlign w:val="center"/>
            <w:hideMark/>
          </w:tcPr>
          <w:p w:rsidR="0018013B" w:rsidRPr="0018013B" w:rsidRDefault="0018013B" w:rsidP="0018013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990" w:type="dxa"/>
            <w:shd w:val="clear" w:color="000000" w:fill="E7E6E6"/>
            <w:vAlign w:val="center"/>
            <w:hideMark/>
          </w:tcPr>
          <w:p w:rsidR="0018013B" w:rsidRPr="0018013B" w:rsidRDefault="0018013B" w:rsidP="00193A9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 xml:space="preserve">Rural, </w:t>
            </w:r>
            <w:r w:rsidR="00193A96">
              <w:rPr>
                <w:rFonts w:eastAsia="Times New Roman"/>
                <w:b/>
                <w:bCs/>
                <w:sz w:val="18"/>
                <w:szCs w:val="18"/>
              </w:rPr>
              <w:t>u</w:t>
            </w: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 xml:space="preserve">rban, </w:t>
            </w:r>
            <w:r w:rsidR="00193A96">
              <w:rPr>
                <w:rFonts w:eastAsia="Times New Roman"/>
                <w:b/>
                <w:bCs/>
                <w:sz w:val="18"/>
                <w:szCs w:val="18"/>
              </w:rPr>
              <w:t>b</w:t>
            </w: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>oth</w:t>
            </w:r>
          </w:p>
        </w:tc>
        <w:tc>
          <w:tcPr>
            <w:tcW w:w="1620" w:type="dxa"/>
            <w:shd w:val="clear" w:color="000000" w:fill="E7E6E6"/>
            <w:vAlign w:val="center"/>
            <w:hideMark/>
          </w:tcPr>
          <w:p w:rsidR="0018013B" w:rsidRPr="0018013B" w:rsidRDefault="0018013B" w:rsidP="00193A9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 xml:space="preserve">Link to </w:t>
            </w:r>
            <w:r w:rsidR="00193A96">
              <w:rPr>
                <w:rFonts w:eastAsia="Times New Roman"/>
                <w:b/>
                <w:bCs/>
                <w:sz w:val="18"/>
                <w:szCs w:val="18"/>
              </w:rPr>
              <w:t>a</w:t>
            </w: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 xml:space="preserve">ccess </w:t>
            </w:r>
            <w:r w:rsidR="00193A96">
              <w:rPr>
                <w:rFonts w:eastAsia="Times New Roman"/>
                <w:b/>
                <w:bCs/>
                <w:sz w:val="18"/>
                <w:szCs w:val="18"/>
              </w:rPr>
              <w:t>f</w:t>
            </w: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>ramework</w:t>
            </w:r>
          </w:p>
        </w:tc>
        <w:tc>
          <w:tcPr>
            <w:tcW w:w="1260" w:type="dxa"/>
            <w:shd w:val="clear" w:color="000000" w:fill="E7E6E6"/>
            <w:vAlign w:val="center"/>
            <w:hideMark/>
          </w:tcPr>
          <w:p w:rsidR="0018013B" w:rsidRPr="0018013B" w:rsidRDefault="0018013B" w:rsidP="00193A9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>System</w:t>
            </w:r>
            <w:r w:rsidR="00193A96">
              <w:rPr>
                <w:rFonts w:eastAsia="Times New Roman"/>
                <w:b/>
                <w:bCs/>
                <w:sz w:val="18"/>
                <w:szCs w:val="18"/>
              </w:rPr>
              <w:t>, patient, new</w:t>
            </w:r>
          </w:p>
        </w:tc>
        <w:tc>
          <w:tcPr>
            <w:tcW w:w="2340" w:type="dxa"/>
            <w:shd w:val="clear" w:color="000000" w:fill="E7E6E6"/>
            <w:vAlign w:val="center"/>
            <w:hideMark/>
          </w:tcPr>
          <w:p w:rsidR="0018013B" w:rsidRPr="0018013B" w:rsidRDefault="0018013B" w:rsidP="0018013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>Study design/ method</w:t>
            </w:r>
          </w:p>
        </w:tc>
        <w:tc>
          <w:tcPr>
            <w:tcW w:w="2160" w:type="dxa"/>
            <w:shd w:val="clear" w:color="000000" w:fill="E7E6E6"/>
            <w:vAlign w:val="center"/>
            <w:hideMark/>
          </w:tcPr>
          <w:p w:rsidR="0018013B" w:rsidRPr="0018013B" w:rsidRDefault="0018013B" w:rsidP="0018013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 xml:space="preserve">Sample size </w:t>
            </w:r>
          </w:p>
        </w:tc>
        <w:tc>
          <w:tcPr>
            <w:tcW w:w="3355" w:type="dxa"/>
            <w:shd w:val="clear" w:color="000000" w:fill="E7E6E6"/>
            <w:vAlign w:val="center"/>
            <w:hideMark/>
          </w:tcPr>
          <w:p w:rsidR="0018013B" w:rsidRPr="0018013B" w:rsidRDefault="0018013B" w:rsidP="0018013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13B">
              <w:rPr>
                <w:rFonts w:eastAsia="Times New Roman"/>
                <w:b/>
                <w:bCs/>
                <w:sz w:val="18"/>
                <w:szCs w:val="18"/>
              </w:rPr>
              <w:t>Sample characteristics, setting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sz w:val="18"/>
                <w:szCs w:val="18"/>
              </w:rPr>
              <w:t>Afable</w:t>
            </w:r>
            <w:proofErr w:type="spellEnd"/>
            <w:r w:rsidRPr="0018013B">
              <w:rPr>
                <w:rFonts w:eastAsia="Times New Roman"/>
                <w:sz w:val="18"/>
                <w:szCs w:val="18"/>
              </w:rPr>
              <w:t xml:space="preserve"> et al.,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Approachability; Appropriateness; Ability to reach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System; 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Mixed-methods; observational descriptive, sequential explanatory design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7,988 e-consults (quantitative); 4 case study sites (qualitative)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 xml:space="preserve">VHA facilities in Connecticut, Maine, Massachusetts, New Hampshire, Rhode Island, and Vermont 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(Allen, Davis, Hu, &amp; Owusu-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Amankwah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2015)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Ability to pay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choice experiment using survey data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796 participants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Ten Kentucky counties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Bisgaier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Rhodes, &amp; Polsky, 2014)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Affordability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System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audit study using secret shopper and discrimina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tory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denials data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273 specialty practices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7 specialties: allergy-immunology/ pulmonary, dermatology, endocrinology, neurology, orthopedics, otolaryngology, and psychiatry in Cook County, Illinois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(Brooks, Dailey, Bair, &amp; Shore,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perceive; Ability to reach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Qualitative; c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>ontent analysis using focus groups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35 female veteran participants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North Carolina, Colorado, Georgia, Hawaii, California, Washington, and Texas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(Bunnell, Davidson, Dewey, Price, &amp; Ruggiero, 2017)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engage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web-based mental health intervention with pre- &amp; post- telephone interviews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1,997 total (rural </w:t>
            </w:r>
            <w:r w:rsidRPr="001801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=676; urban/suburban </w:t>
            </w:r>
            <w:r w:rsidRPr="001801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>=1,321; unable to parse out urban/suburban results)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Tornado disaster areas in Missouri and Alabama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(Chen,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Xierali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Piwnica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-Worms, &amp; Phillips,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Gov't and insurance policy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descriptive comparison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760 total hospitals (456 with losses; 304 with gains)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National; based on CMS Healthcare Cost Report Information System data from 1998-2008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(Chu et al., 2015)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Affordability; Appropriateness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Quantitative; retrospective chart review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97 visits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Telemedicine urology patients in VHA facility in Greater (rural) Los Angeles over six-months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(Cummings, Wen, Ko,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Druss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Availability; Health org.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cross-sectional, database study, statistical modeling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9,595 facili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ti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>es; 3,141 aggregated by county for analysis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National (3,141 US counties); based on data from the 2008 National Survey of Mental Health Treatment Facilities and Area Resource File   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Fialkow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Snead,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Schulkin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Health org.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Quantitative; statistical modeling of online or paper survey-based data 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73 respondents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Practicing obstetrician-gynecologists in Washington, Wyoming, Alaska, Montana, and Idaho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(Flores et al.,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perceive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cross-sectional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267 children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Latino and African-American children from 97 urban community sites in Dallas County, Texas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(Fuentes, Bjornson, Christensen, Harmon,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Apkon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reach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post-intervention questionnaire and retrospective chart review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1257 children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Comparison between White and American Indian/Alaska Native children who completed inpatient rehabilitation in the Pacific Northwest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Ghali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et al.,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retrospective review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4,731 patients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Patients who underwent prostate cancer treatment identified within the New Hampshire State Cancer Registry (2004-2011)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Grindlay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Lane, &amp; Grossman,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Availability; Ability to perceive; Ability to reach; Stigma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Patient;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Qualitative; thematic analysis of interview data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25 patients; 15 clinical staff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Telemedicine (n=20) or in-person medical abortion services (n=5), and (n=15) clinical staff in rural Iowa clinic over 4-months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Gruca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Nam, &amp; Tracy, 2014a)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Availability; Gov't and insurance policy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descriptive, cross-sectional, database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87 otolaryngology visiting consultant clinics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Iowa otolaryngology outreach using Office of Statewide Clinical Education Programs data (2013) 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Gruca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Nam, &amp; Tracy, 2014b)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Availability; Gov't and insurance policy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undefined, database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67.1 mean cities hosted a medical oncology visiting consultant clinic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Iowa oncology outreach using Office of Statewide Clinical Education Programs data (1989-2001)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Gruca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Pyo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&amp; Nelson, 2016a)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cross-sectional, database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167 participating cardiologists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Iowa cardiologist outreach using data from the Office of Statewide Clinical Education Programs (2014)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Gruca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Pyo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&amp; Nelson, 2016b)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cross-sectional, database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80 visiting orthopedic sites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Iowa orthopedic outreach using data from Iowa Physician Information System data (2014)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(Guerrero &amp; Kao,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spatial autocorrelation analyses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104 treatment facilities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National Survey of Substance Abuse Treatment Services data in Los Angeles County, California (2010)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(Handy et al.,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Approachability; Ability to perceive; Ability to reach; Ability to pay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Quantitative; telephone survey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18 patients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Uninsured patients in East Baltimore, Maryland (2009-2010)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(Hardy,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Vivier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Rivara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&amp; Melzer,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Availability; Appropriateness; PCP/specialist influence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web-based or postal surveys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433 participants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Montana pediatricians and family practice physicians (2011)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Heptulla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Choi,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Belamarich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Health org.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Quantitative; intervention, interrupted time series study design using statistical process control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 endocrine clinic (47 months of data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points)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Endocrine clinic in North Bronx, New York City (2008-2011)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(Hine et al., 2017)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Appropriateness; PCP/specialist influence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postal surveys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27 physician respondents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11 clinics (5 urban, 6 rural) in Nebraska (2011) 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Hirchak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&amp; Murphy, 2017)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cross-sectional, database study, statistical modeling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803 zip codes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Drug Addiction Treatment Act data in Washington State (309 rural zip codes, 494 urban, and 24 American Indian reservations)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(Hu, Sibert, Zhao,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Zarro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perceive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cross-sectional survey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137 patient and 11 clinician respondents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Free clinic in Chinatown Philadelphia, Pennsylvania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Kertesz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et al., 2014)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reach; Ability to pay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cross-sectional, community-based survey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200 respondents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Homeless population living in Birmingham, Alabama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Khubchandani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Shen,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Ayturk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Kiefe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Santry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database study, geographical analysis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2,811 emergency general surgery hospitals included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National; using data from Annual Survey of Hospitals of the American Hospital Association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(Kimmel et al.,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cross-sectional, database study, sensitivity analysis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228 service locations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HIV comprehensive, coordinated care clinics across 16 Southern states and the District of Columbia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Kozhimannil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Hung, Casey, &amp; Lorch,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 xml:space="preserve">Quantitative; cross-sectional, database study, statistical modeling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16,363 women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Rural residents in 9 states. Colorado, Iowa, Kentucky, New York, North Carolina, Oregon, Vermont, Washington, and Wisconsin. 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Kozhimannil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Hung, Henning-Smith, Casey, &amp; Prasad,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retrospective cohort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4,941,387 births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National; American Hospital Association Annual Surveys and Natality Detail Data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(Kulcsar, Albert,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Ercolano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Mecchella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Availability; Affordability; Appropriateness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Quantitative; survey, retrospective chart review, interviews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176 patients, 244 visits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Patients who engaged in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telerheumatology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visits at two health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 sites in Vermont and New Hampshire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(Larson et al.,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perceive; Stigma; PCP/specialist influence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questionnaires and statistical modeling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55 patient-child dyads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Pediatric primary care clinic in Baltimore City, Maryland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(Le Cook et al.,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Availability; Ability to seek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secondary data analysis, statistical modeling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12,395 respondents  (4,352 Whites, 3,110 Latinos, 1,444 Asians, and 4,079 Blacks)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National; Collaborative Psychiatric Epidemiological Survey data used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(Li,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Serban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&amp; Swann, 2015)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Both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optimization model for spatial access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National; using data from the Cystic Fibrosis Foundation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(Look,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Kile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Morgan, &amp; Roberts,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cross-sectional, database study, statistical modeling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199 facilities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Wisconsin Department of Health Services and Substance Abuse Mental Health Services Administration data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(Lu,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Plagge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Marsiglio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Dobscha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Appropriateness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Qualitative; content analysis of electronic medical records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63 veterans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Veterans engaging in PTSD care at Portland, Oregon VHA Medical Center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Maa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et al.,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Approachability; Affordability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case report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1,443 veterans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Veterans who received care via the Atlanta VHA Eye Clinic Technology-based Eye Care Services program.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Makaroun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et al., 2017)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Health org.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Qualitative; telephone survey/semi-structured interviews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18 health systems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Safety-net institutions across eight states (California, Washington, Massachusetts, Georgia,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>Texas, Michigan, New York, and Minnesota)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(Mattocks,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Mengeling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Sadler, Baldor, &amp; Bastian, 2017)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Gov't and insurance policy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Qualitative; semi-structured interviews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43 VA staff and providers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Five rural VHA medical centers in the West, South, and Midwest US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(Mirza &amp; Kim,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perceive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cross-sectional analysis of secondary survey data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756 children from 370 households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Low-income households in a Midwestern US city 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(Nelson et al.,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prospective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196 consults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Teledermatology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program in 11 underserved clinics, encompassing 206 dermatologic conditions in Philadelphia, Pennsylvania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(Nemeth et al.,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Appropriateness; Ability to perceive; Ability to pay; Ability to engage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Qualitative; descriptive study with focus groups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52 participants, 8 focus groups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Recent stroke survivors, their family, healthcare providers, and community leaders in low-income, Georgetown County, South Carolina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(Nguyen et al.,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cross-sectional, database, statistical modeling and sensitivity analysis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93 counties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Counties in Nebraska using University of Nebraska Medical Center's Health Professions Tracking Service data of 2,468 behavioral health professionals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Ohl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et al.,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sz w:val="18"/>
                <w:szCs w:val="18"/>
              </w:rPr>
            </w:pPr>
            <w:r w:rsidRPr="0018013B">
              <w:rPr>
                <w:rFonts w:eastAsia="Times New Roman"/>
                <w:sz w:val="18"/>
                <w:szCs w:val="18"/>
              </w:rPr>
              <w:t>Quantitative; cross-sectional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416,338 veterans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National; VHA facility Choice Act users based on VHA enrollment data 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Ohl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 et al., 2013)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Affordability; Appropriateness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Mixed-methods; quality improvement evaluation, feasibility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13 veterans interviewed; 24 under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t>care throughout study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Veterans residing in Iowa &amp; Illinois; Iowa City (main facility) and nine community outpatient clinics </w:t>
            </w:r>
            <w:r w:rsidRPr="0018013B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Ohl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Richardson,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Kaboli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Perencevich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&amp; Vaughan-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Sarrazin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2014)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Availability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cross-sectional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23,669 veterans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National; Veterans Administration HIV clinical case registry data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(Patterson,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Kaboli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Tubbs, Alexander, &amp; Lund, 2014)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PCP/specialist influence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undefined, database study, statistical modeling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3,040,635 patients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National; Veterans Administration data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(Peterson,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Huisingh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Girkin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Owsley, &amp; Rhodes,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Ability to engage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Quantitative; prospective, cross-sectional study using questionnaire data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110 patients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Glaucoma clinic at University of Alabama Birmingham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(Pinto,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Rochat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Hennink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Zertuche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, &amp; 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Spelke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Affordability; Appropriateness; Gov't and insurance policy; Stigma; PCP/ specialist influence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Qualitative; semi-structured interviews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46 participants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Sampled from obstetricians, maternal-fetal medicine specialists, certified nurse midwives, and maternal and infant health leaders in Atlanta, Georgia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(Powell et al.,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Health org.; Stigma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Qualitative; content analysis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 xml:space="preserve">15 general nonprofit hospitals 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Facilities in Philadelphia County (and adjacent Bucks, Chester, Delaware, and Montgomery Counties) that had community health needs assessment data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(Price, Sewell, Chen, &amp; Sarkar, 2016)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PCP/specialist influence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Quantitative; descriptive study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1,304 included referrals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Gastroenterology clinic referrals at Zuckerberg San Francisco General safety-net hospital in San Francisco, California</w:t>
            </w:r>
          </w:p>
        </w:tc>
      </w:tr>
      <w:tr w:rsidR="0018013B" w:rsidRPr="0018013B" w:rsidTr="00193A96">
        <w:trPr>
          <w:trHeight w:val="870"/>
        </w:trPr>
        <w:tc>
          <w:tcPr>
            <w:tcW w:w="233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8013B">
              <w:rPr>
                <w:rFonts w:eastAsia="Times New Roman"/>
                <w:color w:val="000000"/>
                <w:sz w:val="18"/>
                <w:szCs w:val="18"/>
              </w:rPr>
              <w:t>Ramanuj</w:t>
            </w:r>
            <w:proofErr w:type="spellEnd"/>
            <w:r w:rsidRPr="0018013B">
              <w:rPr>
                <w:rFonts w:eastAsia="Times New Roman"/>
                <w:color w:val="000000"/>
                <w:sz w:val="18"/>
                <w:szCs w:val="18"/>
              </w:rPr>
              <w:t>, Talley, Breslau, Wang, &amp; Pincus, 2018)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Appropriateness; Gov't and insurance policy; Health org.; PCP/specialist influence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System; New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Qualitative; semi-structured interviews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52 interview participants (36 senior clinicians and administrators; 16 individual with frontline staff)</w:t>
            </w:r>
          </w:p>
        </w:tc>
        <w:tc>
          <w:tcPr>
            <w:tcW w:w="3355" w:type="dxa"/>
            <w:shd w:val="clear" w:color="auto" w:fill="auto"/>
            <w:vAlign w:val="center"/>
            <w:hideMark/>
          </w:tcPr>
          <w:p w:rsidR="0018013B" w:rsidRPr="0018013B" w:rsidRDefault="0018013B" w:rsidP="001801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8013B">
              <w:rPr>
                <w:rFonts w:eastAsia="Times New Roman"/>
                <w:color w:val="000000"/>
                <w:sz w:val="18"/>
                <w:szCs w:val="18"/>
              </w:rPr>
              <w:t>11 behavioral health-primary care integration sites in New York City</w:t>
            </w:r>
          </w:p>
        </w:tc>
      </w:tr>
    </w:tbl>
    <w:p w:rsidR="00A60518" w:rsidRPr="0018013B" w:rsidRDefault="00A60518">
      <w:pPr>
        <w:rPr>
          <w:sz w:val="16"/>
          <w:szCs w:val="16"/>
        </w:rPr>
      </w:pPr>
    </w:p>
    <w:p w:rsidR="00E71A9C" w:rsidRPr="0018013B" w:rsidRDefault="00E71A9C" w:rsidP="0018013B">
      <w:pPr>
        <w:spacing w:after="160" w:line="259" w:lineRule="auto"/>
        <w:rPr>
          <w:sz w:val="16"/>
          <w:szCs w:val="16"/>
        </w:rPr>
      </w:pPr>
    </w:p>
    <w:sectPr w:rsidR="00E71A9C" w:rsidRPr="0018013B" w:rsidSect="00922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E2" w:rsidRDefault="00B537E2" w:rsidP="002E5022">
      <w:r>
        <w:separator/>
      </w:r>
    </w:p>
  </w:endnote>
  <w:endnote w:type="continuationSeparator" w:id="0">
    <w:p w:rsidR="00B537E2" w:rsidRDefault="00B537E2" w:rsidP="002E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E2" w:rsidRDefault="00B537E2" w:rsidP="002E5022">
      <w:r>
        <w:separator/>
      </w:r>
    </w:p>
  </w:footnote>
  <w:footnote w:type="continuationSeparator" w:id="0">
    <w:p w:rsidR="00B537E2" w:rsidRDefault="00B537E2" w:rsidP="002E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18"/>
    <w:rsid w:val="0018013B"/>
    <w:rsid w:val="00193A96"/>
    <w:rsid w:val="002E5022"/>
    <w:rsid w:val="00922CF6"/>
    <w:rsid w:val="00A60518"/>
    <w:rsid w:val="00A75483"/>
    <w:rsid w:val="00B537E2"/>
    <w:rsid w:val="00D96EE7"/>
    <w:rsid w:val="00E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5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A605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18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2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2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2018-11-11T16:45:00Z</dcterms:created>
  <dcterms:modified xsi:type="dcterms:W3CDTF">2018-11-11T16:45:00Z</dcterms:modified>
</cp:coreProperties>
</file>