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75F5B7B" w14:textId="77777777" w:rsidR="00052644" w:rsidRPr="00052644" w:rsidRDefault="00052644" w:rsidP="00052644">
      <w:pPr>
        <w:spacing w:before="240"/>
        <w:rPr>
          <w:bCs/>
        </w:rPr>
      </w:pPr>
      <w:r w:rsidRPr="00052644">
        <w:rPr>
          <w:b/>
          <w:bCs/>
        </w:rPr>
        <w:t xml:space="preserve">Supplementary Table 1: </w:t>
      </w:r>
      <w:r w:rsidRPr="00052644">
        <w:rPr>
          <w:bCs/>
        </w:rPr>
        <w:t>Results obtained with a graph cost of 20%: reorganization indices (κ) in Standard Intelligence Quotient (SIQ), High Intelligence Quotient (HIQ), Homogeneous HIQ (</w:t>
      </w:r>
      <w:proofErr w:type="spellStart"/>
      <w:r w:rsidRPr="00052644">
        <w:rPr>
          <w:bCs/>
        </w:rPr>
        <w:t>Hom</w:t>
      </w:r>
      <w:proofErr w:type="spellEnd"/>
      <w:r w:rsidRPr="00052644">
        <w:rPr>
          <w:bCs/>
        </w:rPr>
        <w:t>-HIQ) and Heterogeneous HIQ (Het-HIQ) groups measured in whole brain networks (A), left and right hemispheres networks (B, C) and between homotopic regions (D).</w:t>
      </w:r>
    </w:p>
    <w:tbl>
      <w:tblPr>
        <w:tblW w:w="7774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85"/>
        <w:gridCol w:w="1731"/>
        <w:gridCol w:w="1730"/>
        <w:gridCol w:w="1725"/>
      </w:tblGrid>
      <w:tr w:rsidR="00047D2E" w:rsidRPr="00047D2E" w14:paraId="2D34D510" w14:textId="77777777" w:rsidTr="005D130F">
        <w:trPr>
          <w:trHeight w:val="425"/>
          <w:jc w:val="center"/>
        </w:trPr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65B8D16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Networks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403518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41CB16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 xml:space="preserve">HIQ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18DE04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Hom</w:t>
            </w:r>
            <w:proofErr w:type="spellEnd"/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 xml:space="preserve">-HIQ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09FCD2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 xml:space="preserve">Het-HIQ </w:t>
            </w:r>
          </w:p>
        </w:tc>
      </w:tr>
      <w:tr w:rsidR="00047D2E" w:rsidRPr="00047D2E" w14:paraId="10CDB6C8" w14:textId="77777777" w:rsidTr="005D130F">
        <w:trPr>
          <w:trHeight w:val="424"/>
          <w:jc w:val="center"/>
        </w:trPr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DE994F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C4504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7E071B6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(n=32)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722FE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(n=14)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D8635E1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(n=18)</w:t>
            </w:r>
          </w:p>
        </w:tc>
      </w:tr>
      <w:tr w:rsidR="00047D2E" w:rsidRPr="00047D2E" w14:paraId="02D65F66" w14:textId="77777777" w:rsidTr="005D130F">
        <w:trPr>
          <w:trHeight w:val="260"/>
          <w:jc w:val="center"/>
        </w:trPr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E9D96B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46B1A4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BC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9BD44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-0.366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7EA7A2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-0.447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1A1BB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-0.324</w:t>
            </w:r>
          </w:p>
        </w:tc>
      </w:tr>
      <w:tr w:rsidR="00047D2E" w:rsidRPr="00047D2E" w14:paraId="52EE2554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68512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 xml:space="preserve">A. Whole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FC0C82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D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78C9A5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-0.280 (**)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DC8081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-0.285(*)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3AAC3B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-0.278 (***)</w:t>
            </w:r>
          </w:p>
        </w:tc>
      </w:tr>
      <w:tr w:rsidR="00047D2E" w:rsidRPr="00047D2E" w14:paraId="20A4C3B6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AF5D0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brain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54EE6D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LE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4B9879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-0.296 (*)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2541BC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-0.316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5792BB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-0.286 (*)</w:t>
            </w:r>
          </w:p>
        </w:tc>
      </w:tr>
      <w:tr w:rsidR="00047D2E" w:rsidRPr="00047D2E" w14:paraId="5BDBBE52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4E44C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CE726E1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CC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CB558A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-0.315 (*)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9D53C5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FA36EBB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-0.304 (*)</w:t>
            </w:r>
          </w:p>
        </w:tc>
      </w:tr>
      <w:tr w:rsidR="00047D2E" w:rsidRPr="00047D2E" w14:paraId="1D7AD83D" w14:textId="77777777" w:rsidTr="005D130F">
        <w:trPr>
          <w:trHeight w:val="260"/>
          <w:jc w:val="center"/>
        </w:trPr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8212715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E51B8F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BC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5F0900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-0.429 (**)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E92CDA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-0.473 (*)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6A7797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-0.407 (**)</w:t>
            </w:r>
          </w:p>
        </w:tc>
      </w:tr>
      <w:tr w:rsidR="00047D2E" w:rsidRPr="00047D2E" w14:paraId="22476DD6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663B8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 xml:space="preserve">B. Left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EC4F3B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D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A8458D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-0.256 (**)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811820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-0.304 (*)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875EA9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-0.231 (**)</w:t>
            </w:r>
          </w:p>
        </w:tc>
      </w:tr>
      <w:tr w:rsidR="00047D2E" w:rsidRPr="00047D2E" w14:paraId="345D5FF0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D688F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hemisphere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B10A2C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LE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DFF3C1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-0.221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970EAD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ADB57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-0.225</w:t>
            </w:r>
          </w:p>
        </w:tc>
      </w:tr>
      <w:tr w:rsidR="00047D2E" w:rsidRPr="00047D2E" w14:paraId="48BD0FA2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65107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7CF6764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CC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BE25E4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BC08F5E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548E66F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-0.283</w:t>
            </w:r>
          </w:p>
        </w:tc>
      </w:tr>
      <w:tr w:rsidR="00047D2E" w:rsidRPr="00047D2E" w14:paraId="3747F1A0" w14:textId="77777777" w:rsidTr="005D130F">
        <w:trPr>
          <w:trHeight w:val="260"/>
          <w:jc w:val="center"/>
        </w:trPr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80D957E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2CBBDE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BC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301D39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-0.232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DDEAED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-0.212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8A4A0F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-0.242</w:t>
            </w:r>
          </w:p>
        </w:tc>
      </w:tr>
      <w:tr w:rsidR="00047D2E" w:rsidRPr="00047D2E" w14:paraId="0E03DE8D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D483C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 xml:space="preserve">C. Right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992015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D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7089E4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-0.211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66B583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-0.167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4E3996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-0.233 (*)</w:t>
            </w:r>
          </w:p>
        </w:tc>
      </w:tr>
      <w:tr w:rsidR="00047D2E" w:rsidRPr="00047D2E" w14:paraId="528FAFC8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D7D66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hemisphere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40890B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LE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D666C8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-0.297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31BCD4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-0.257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25F75E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-0.317 (*)</w:t>
            </w:r>
          </w:p>
        </w:tc>
      </w:tr>
      <w:tr w:rsidR="00047D2E" w:rsidRPr="00047D2E" w14:paraId="30B5A50B" w14:textId="77777777" w:rsidTr="005D130F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57754D" w14:textId="77777777" w:rsidR="00047D2E" w:rsidRPr="00047D2E" w:rsidRDefault="00047D2E" w:rsidP="00047D2E">
            <w:pPr>
              <w:spacing w:before="0" w:after="0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F3C0F85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CC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2C4798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C369BD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ABC3121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-0.361</w:t>
            </w:r>
          </w:p>
        </w:tc>
      </w:tr>
      <w:tr w:rsidR="00047D2E" w:rsidRPr="00047D2E" w14:paraId="2E158E20" w14:textId="77777777" w:rsidTr="005D130F">
        <w:trPr>
          <w:trHeight w:val="260"/>
          <w:jc w:val="center"/>
        </w:trPr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89599C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b/>
                <w:szCs w:val="24"/>
                <w:lang w:eastAsia="fr-FR"/>
              </w:rPr>
              <w:t>D. Homotopic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3F7B82" w14:textId="77777777" w:rsidR="00047D2E" w:rsidRPr="00047D2E" w:rsidRDefault="00047D2E" w:rsidP="00047D2E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</w:pPr>
            <w:proofErr w:type="spellStart"/>
            <w:r w:rsidRPr="00047D2E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047D2E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HC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1E8CB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-0.185 (**)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C80ED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-0.261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EABB06" w14:textId="77777777" w:rsidR="00047D2E" w:rsidRPr="00047D2E" w:rsidRDefault="00047D2E" w:rsidP="00047D2E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047D2E">
              <w:rPr>
                <w:rFonts w:eastAsia="Times New Roman" w:cs="Times New Roman"/>
                <w:szCs w:val="24"/>
                <w:lang w:eastAsia="fr-FR"/>
              </w:rPr>
              <w:t>-0.145 (*)</w:t>
            </w:r>
          </w:p>
        </w:tc>
      </w:tr>
    </w:tbl>
    <w:p w14:paraId="147280EA" w14:textId="79DD0404" w:rsidR="00052644" w:rsidRPr="00052644" w:rsidRDefault="00052644" w:rsidP="00052644">
      <w:pPr>
        <w:spacing w:before="240"/>
        <w:rPr>
          <w:bCs/>
        </w:rPr>
      </w:pPr>
      <w:r w:rsidRPr="00052644">
        <w:rPr>
          <w:bCs/>
        </w:rPr>
        <w:t xml:space="preserve">* p&lt;0.05; ** p&lt;0.01; when testing significance of κ values in HIQ, </w:t>
      </w:r>
      <w:proofErr w:type="spellStart"/>
      <w:r w:rsidRPr="00052644">
        <w:rPr>
          <w:bCs/>
        </w:rPr>
        <w:t>Hom</w:t>
      </w:r>
      <w:proofErr w:type="spellEnd"/>
      <w:r w:rsidRPr="00052644">
        <w:rPr>
          <w:bCs/>
        </w:rPr>
        <w:t>-HIQ or Het-HIQ groups compared to SIQ group using permutation test (number of permutations = 1000)</w:t>
      </w:r>
    </w:p>
    <w:p w14:paraId="07C848AF" w14:textId="77777777" w:rsidR="00052644" w:rsidRPr="00052644" w:rsidRDefault="00052644" w:rsidP="00052644">
      <w:pPr>
        <w:spacing w:before="240"/>
      </w:pPr>
      <w:r w:rsidRPr="00052644">
        <w:br w:type="page"/>
      </w:r>
    </w:p>
    <w:p w14:paraId="2999137A" w14:textId="77777777" w:rsidR="00052644" w:rsidRPr="00052644" w:rsidRDefault="00052644" w:rsidP="00052644">
      <w:pPr>
        <w:spacing w:before="240"/>
        <w:rPr>
          <w:bCs/>
        </w:rPr>
      </w:pPr>
      <w:r w:rsidRPr="00052644">
        <w:rPr>
          <w:b/>
          <w:bCs/>
        </w:rPr>
        <w:lastRenderedPageBreak/>
        <w:t xml:space="preserve">Supplementary table 2. </w:t>
      </w:r>
      <w:r w:rsidRPr="00052644">
        <w:rPr>
          <w:bCs/>
        </w:rPr>
        <w:t>Results obtained with a graph cost of 0.20: coefficients of non-parametric correlations (ρ) between the topological reorganization coefficient (κ) of different nodal metrics (Betweenness Centrality (</w:t>
      </w:r>
      <w:r w:rsidRPr="00052644">
        <w:rPr>
          <w:bCs/>
          <w:i/>
        </w:rPr>
        <w:t>BC</w:t>
      </w:r>
      <w:r w:rsidRPr="00052644">
        <w:rPr>
          <w:bCs/>
        </w:rPr>
        <w:t>), Degree (</w:t>
      </w:r>
      <w:r w:rsidRPr="00052644">
        <w:rPr>
          <w:bCs/>
          <w:i/>
        </w:rPr>
        <w:t>D</w:t>
      </w:r>
      <w:r w:rsidRPr="00052644">
        <w:rPr>
          <w:bCs/>
        </w:rPr>
        <w:t>),  Local Efficiency (</w:t>
      </w:r>
      <w:r w:rsidRPr="00052644">
        <w:rPr>
          <w:bCs/>
          <w:i/>
        </w:rPr>
        <w:t>LE</w:t>
      </w:r>
      <w:r w:rsidRPr="00052644">
        <w:rPr>
          <w:bCs/>
        </w:rPr>
        <w:t>), and Clustering (</w:t>
      </w:r>
      <w:r w:rsidRPr="00052644">
        <w:rPr>
          <w:bCs/>
          <w:i/>
        </w:rPr>
        <w:t>CC</w:t>
      </w:r>
      <w:r w:rsidRPr="00052644">
        <w:rPr>
          <w:bCs/>
        </w:rPr>
        <w:t>), and Homotopic Connectivity (</w:t>
      </w:r>
      <w:r w:rsidRPr="00052644">
        <w:rPr>
          <w:bCs/>
          <w:i/>
        </w:rPr>
        <w:t>HC</w:t>
      </w:r>
      <w:r w:rsidRPr="00052644">
        <w:rPr>
          <w:bCs/>
        </w:rPr>
        <w:t>)) with intelligence scores (Full Scale IQ (FSIQ), Verbal Comprehension Index (VCI) and Perceptual Reasoning Index (PRI)) at different network levels: whole brain (A), left and right hemispheres (B and C) and homotopic regions (D).</w:t>
      </w:r>
    </w:p>
    <w:tbl>
      <w:tblPr>
        <w:tblW w:w="7035" w:type="dxa"/>
        <w:jc w:val="center"/>
        <w:tblBorders>
          <w:top w:val="single" w:sz="6" w:space="0" w:color="000001"/>
        </w:tblBorders>
        <w:tblLook w:val="04A0" w:firstRow="1" w:lastRow="0" w:firstColumn="1" w:lastColumn="0" w:noHBand="0" w:noVBand="1"/>
      </w:tblPr>
      <w:tblGrid>
        <w:gridCol w:w="1763"/>
        <w:gridCol w:w="784"/>
        <w:gridCol w:w="1416"/>
        <w:gridCol w:w="1536"/>
        <w:gridCol w:w="1536"/>
      </w:tblGrid>
      <w:tr w:rsidR="008D3D1F" w:rsidRPr="008D3D1F" w14:paraId="3415A359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single" w:sz="6" w:space="0" w:color="000001"/>
              <w:left w:val="nil"/>
              <w:bottom w:val="single" w:sz="4" w:space="0" w:color="auto"/>
              <w:right w:val="nil"/>
            </w:tcBorders>
            <w:hideMark/>
          </w:tcPr>
          <w:p w14:paraId="625B223C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Networks</w:t>
            </w:r>
          </w:p>
        </w:tc>
        <w:tc>
          <w:tcPr>
            <w:tcW w:w="784" w:type="dxa"/>
            <w:tcBorders>
              <w:top w:val="single" w:sz="6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3D3EBF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i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i/>
                <w:szCs w:val="24"/>
                <w:lang w:eastAsia="fr-FR"/>
              </w:rPr>
              <w:t> </w:t>
            </w:r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</w:p>
        </w:tc>
        <w:tc>
          <w:tcPr>
            <w:tcW w:w="1416" w:type="dxa"/>
            <w:tcBorders>
              <w:top w:val="single" w:sz="6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9D1542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FSIQ</w:t>
            </w:r>
          </w:p>
        </w:tc>
        <w:tc>
          <w:tcPr>
            <w:tcW w:w="1536" w:type="dxa"/>
            <w:tcBorders>
              <w:top w:val="single" w:sz="6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453FB8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VCI</w:t>
            </w:r>
          </w:p>
        </w:tc>
        <w:tc>
          <w:tcPr>
            <w:tcW w:w="1536" w:type="dxa"/>
            <w:tcBorders>
              <w:top w:val="single" w:sz="6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AA5F45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PRI</w:t>
            </w:r>
          </w:p>
        </w:tc>
      </w:tr>
      <w:tr w:rsidR="008D3D1F" w:rsidRPr="008D3D1F" w14:paraId="7ABC37C3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85989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FAC31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BC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DC253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-0.317 (*)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49A8E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-0.323 (*)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FA2077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-0.339 (*)</w:t>
            </w:r>
          </w:p>
        </w:tc>
      </w:tr>
      <w:tr w:rsidR="008D3D1F" w:rsidRPr="008D3D1F" w14:paraId="153AC857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43F6F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A. Whole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F24817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D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447C3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-0.278 (*)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01E087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-0.277 (*)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0F68F8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-0.278 (*)</w:t>
            </w:r>
          </w:p>
        </w:tc>
      </w:tr>
      <w:tr w:rsidR="008D3D1F" w:rsidRPr="008D3D1F" w14:paraId="578A1B2C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467B5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brain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AB43C7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53E589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99941C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-0.303 (*)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D3B9C1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-0.248</w:t>
            </w:r>
          </w:p>
        </w:tc>
      </w:tr>
      <w:tr w:rsidR="008D3D1F" w:rsidRPr="008D3D1F" w14:paraId="2A37CF79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413CC6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9C5774F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CC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77EE373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9E86CC5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-0.337 (*)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A1B208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-0.305 (*)</w:t>
            </w:r>
          </w:p>
        </w:tc>
      </w:tr>
      <w:tr w:rsidR="008D3D1F" w:rsidRPr="008D3D1F" w14:paraId="5DB9C3DE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F2462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38BC2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BC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D5683F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-0.374 (*)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0CF967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-0.381 (**)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C8A6F4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-0.337 (*)</w:t>
            </w:r>
          </w:p>
        </w:tc>
      </w:tr>
      <w:tr w:rsidR="008D3D1F" w:rsidRPr="008D3D1F" w14:paraId="291313BD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C04B3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 xml:space="preserve">B. Left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6D13D5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D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E8CD4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-0.324 (*)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8D4835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-0.275 (*)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17CCA8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-0.337 (*)</w:t>
            </w:r>
          </w:p>
        </w:tc>
      </w:tr>
      <w:tr w:rsidR="008D3D1F" w:rsidRPr="008D3D1F" w14:paraId="6E8200D2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8F0CE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hemisphere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B030E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60D900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718F38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0365B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-0.247</w:t>
            </w:r>
          </w:p>
        </w:tc>
      </w:tr>
      <w:tr w:rsidR="008D3D1F" w:rsidRPr="008D3D1F" w14:paraId="2AED01B2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66683C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FB987A9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L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CC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962B46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-0.306 (*)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06DDD7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-0.336 (*)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7970E7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-0.354 (**)</w:t>
            </w:r>
          </w:p>
        </w:tc>
      </w:tr>
      <w:tr w:rsidR="008D3D1F" w:rsidRPr="008D3D1F" w14:paraId="4AFD86F8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6D0D8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6E93D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BC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EA792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0.050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F60C9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0.008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70C334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-0.050</w:t>
            </w:r>
          </w:p>
        </w:tc>
      </w:tr>
      <w:tr w:rsidR="008D3D1F" w:rsidRPr="008D3D1F" w14:paraId="4EFE5EC5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FB334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 xml:space="preserve">C. Right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FACD4C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D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2BCBF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FA0AA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352DA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-0.163</w:t>
            </w:r>
          </w:p>
        </w:tc>
      </w:tr>
      <w:tr w:rsidR="008D3D1F" w:rsidRPr="008D3D1F" w14:paraId="3592B090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682C9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hemisphere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541CFB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8995B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-0.092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01F89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-0.196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69EB1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-0.087</w:t>
            </w:r>
          </w:p>
        </w:tc>
      </w:tr>
      <w:tr w:rsidR="008D3D1F" w:rsidRPr="008D3D1F" w14:paraId="51817547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8C49FF" w14:textId="77777777" w:rsidR="008D3D1F" w:rsidRPr="008D3D1F" w:rsidRDefault="008D3D1F" w:rsidP="008D3D1F">
            <w:pPr>
              <w:spacing w:before="0" w:after="0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BFF92A1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R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bscript"/>
                <w:lang w:eastAsia="fr-FR"/>
              </w:rPr>
              <w:t>CC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A8FFE8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-0.166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6E43D2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-0.264 (*)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2C8F48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-0.170</w:t>
            </w:r>
          </w:p>
        </w:tc>
      </w:tr>
      <w:tr w:rsidR="008D3D1F" w:rsidRPr="008D3D1F" w14:paraId="3B7781EC" w14:textId="77777777" w:rsidTr="005D130F">
        <w:trPr>
          <w:trHeight w:val="260"/>
          <w:jc w:val="center"/>
        </w:trPr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6E7D0081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b/>
                <w:szCs w:val="24"/>
                <w:lang w:eastAsia="fr-FR"/>
              </w:rPr>
              <w:t>D. Homotopic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C893B4A" w14:textId="77777777" w:rsidR="008D3D1F" w:rsidRPr="008D3D1F" w:rsidRDefault="008D3D1F" w:rsidP="008D3D1F">
            <w:pPr>
              <w:spacing w:before="0" w:after="0" w:line="480" w:lineRule="auto"/>
              <w:rPr>
                <w:rFonts w:eastAsia="Times New Roman" w:cs="Times New Roman"/>
                <w:b/>
                <w:i/>
                <w:szCs w:val="24"/>
                <w:lang w:eastAsia="fr-FR"/>
              </w:rPr>
            </w:pPr>
            <w:proofErr w:type="spellStart"/>
            <w:r w:rsidRPr="008D3D1F">
              <w:rPr>
                <w:rFonts w:eastAsia="Times New Roman" w:cs="Times New Roman"/>
                <w:b/>
                <w:i/>
                <w:szCs w:val="24"/>
                <w:lang w:eastAsia="fr-FR"/>
              </w:rPr>
              <w:t>κ</w:t>
            </w:r>
            <w:r w:rsidRPr="008D3D1F">
              <w:rPr>
                <w:rFonts w:eastAsia="Times New Roman" w:cs="Times New Roman"/>
                <w:b/>
                <w:i/>
                <w:szCs w:val="24"/>
                <w:vertAlign w:val="superscript"/>
                <w:lang w:eastAsia="fr-FR"/>
              </w:rPr>
              <w:t>HC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7B46B69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-0.515 (**)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6F8979B4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-0.589 (***)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80ED113" w14:textId="77777777" w:rsidR="008D3D1F" w:rsidRPr="008D3D1F" w:rsidRDefault="008D3D1F" w:rsidP="008D3D1F">
            <w:pPr>
              <w:spacing w:before="0" w:after="0" w:line="48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8D3D1F">
              <w:rPr>
                <w:rFonts w:eastAsia="Times New Roman" w:cs="Times New Roman"/>
                <w:szCs w:val="24"/>
                <w:lang w:eastAsia="fr-FR"/>
              </w:rPr>
              <w:t>-0.523 (***)</w:t>
            </w:r>
          </w:p>
        </w:tc>
      </w:tr>
    </w:tbl>
    <w:p w14:paraId="10770C0D" w14:textId="7CA51D55" w:rsidR="00052644" w:rsidRPr="00052644" w:rsidRDefault="00052644" w:rsidP="00052644">
      <w:pPr>
        <w:spacing w:before="240"/>
      </w:pPr>
      <w:bookmarkStart w:id="0" w:name="_Hlk532227769"/>
      <w:bookmarkEnd w:id="0"/>
      <w:r w:rsidRPr="00052644">
        <w:t>* p&lt;0.05; ** p&lt;0.01 when testing significance level of correlations using permutation testing (number of permutations = 1000)</w:t>
      </w:r>
      <w:bookmarkStart w:id="1" w:name="_GoBack"/>
      <w:bookmarkEnd w:id="1"/>
    </w:p>
    <w:sectPr w:rsidR="00052644" w:rsidRPr="0005264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7D2E"/>
    <w:rsid w:val="0005264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0107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7DC4"/>
    <w:rsid w:val="00790BB3"/>
    <w:rsid w:val="007C206C"/>
    <w:rsid w:val="00817DD6"/>
    <w:rsid w:val="0083759F"/>
    <w:rsid w:val="00885156"/>
    <w:rsid w:val="008D3D1F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17959"/>
    <w:rsid w:val="00DB3D09"/>
    <w:rsid w:val="00DB59C3"/>
    <w:rsid w:val="00DC259A"/>
    <w:rsid w:val="00DE23E8"/>
    <w:rsid w:val="00E52377"/>
    <w:rsid w:val="00E537AD"/>
    <w:rsid w:val="00E64E17"/>
    <w:rsid w:val="00E866C9"/>
    <w:rsid w:val="00E90F26"/>
    <w:rsid w:val="00EA3D3C"/>
    <w:rsid w:val="00EC090A"/>
    <w:rsid w:val="00ED20B5"/>
    <w:rsid w:val="00F430E9"/>
    <w:rsid w:val="00F46900"/>
    <w:rsid w:val="00F61D89"/>
    <w:rsid w:val="00F8608D"/>
    <w:rsid w:val="00FF11FB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Accentuation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Accentuationlgr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DC32DB-6914-4E96-A712-8E605DE5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ilaria suprano</cp:lastModifiedBy>
  <cp:revision>14</cp:revision>
  <cp:lastPrinted>2013-10-03T12:51:00Z</cp:lastPrinted>
  <dcterms:created xsi:type="dcterms:W3CDTF">2018-11-23T08:58:00Z</dcterms:created>
  <dcterms:modified xsi:type="dcterms:W3CDTF">2019-02-19T13:06:00Z</dcterms:modified>
</cp:coreProperties>
</file>