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ABE1" w14:textId="77777777" w:rsidR="00CA774B" w:rsidRPr="00092331" w:rsidRDefault="00CA774B" w:rsidP="00CA774B">
      <w:pPr>
        <w:pStyle w:val="Heading1"/>
        <w:keepNext/>
        <w:keepLines/>
        <w:spacing w:before="0" w:line="360" w:lineRule="auto"/>
        <w:contextualSpacing w:val="0"/>
        <w:jc w:val="both"/>
      </w:pPr>
      <w:bookmarkStart w:id="0" w:name="_Toc22121212"/>
      <w:bookmarkStart w:id="1" w:name="_Toc22293781"/>
      <w:bookmarkStart w:id="2" w:name="_GoBack"/>
      <w:bookmarkEnd w:id="2"/>
      <w:r>
        <w:t xml:space="preserve">S3 File: </w:t>
      </w:r>
      <w:r w:rsidRPr="00092331">
        <w:t>Outcome and cost calculations</w:t>
      </w:r>
      <w:bookmarkEnd w:id="0"/>
      <w:bookmarkEnd w:id="1"/>
    </w:p>
    <w:p w14:paraId="0780B53A" w14:textId="1568ACDB" w:rsidR="00CA774B" w:rsidRDefault="00CA774B" w:rsidP="00CA774B">
      <w:pPr>
        <w:spacing w:after="0" w:line="360" w:lineRule="auto"/>
        <w:jc w:val="both"/>
      </w:pPr>
      <w:r w:rsidRPr="00092331">
        <w:t xml:space="preserve">The model predicted outcomes were further processed, calculating outcome measures, such as prevalence or cases averted and attaching costs to the simulated intervention scenarios per </w:t>
      </w:r>
      <w:r>
        <w:t>council (Table S</w:t>
      </w:r>
      <w:r w:rsidR="00761D9A">
        <w:t>3</w:t>
      </w:r>
      <w:r>
        <w:t>.</w:t>
      </w:r>
      <w:r w:rsidR="00761D9A">
        <w:t>1</w:t>
      </w:r>
      <w:r>
        <w:t>)</w:t>
      </w:r>
      <w:r w:rsidRPr="00092331">
        <w:t xml:space="preserve">. </w:t>
      </w:r>
    </w:p>
    <w:p w14:paraId="6FB5276B" w14:textId="77777777" w:rsidR="00CA774B" w:rsidRPr="00092331" w:rsidRDefault="00CA774B" w:rsidP="00CA774B">
      <w:pPr>
        <w:spacing w:after="0"/>
        <w:jc w:val="both"/>
      </w:pPr>
    </w:p>
    <w:p w14:paraId="13B61A4D" w14:textId="03E05EBD" w:rsidR="00CA774B" w:rsidRPr="009C3D40" w:rsidRDefault="00CA774B" w:rsidP="00CA774B">
      <w:pPr>
        <w:pStyle w:val="Caption"/>
        <w:keepNext/>
        <w:spacing w:before="0" w:after="0" w:line="360" w:lineRule="auto"/>
        <w:rPr>
          <w:rFonts w:asciiTheme="minorHAnsi" w:hAnsiTheme="minorHAnsi"/>
          <w:b/>
        </w:rPr>
      </w:pPr>
      <w:r w:rsidRPr="009C3D40">
        <w:rPr>
          <w:rFonts w:asciiTheme="minorHAnsi" w:hAnsiTheme="minorHAnsi"/>
          <w:b/>
        </w:rPr>
        <w:t>Table S</w:t>
      </w:r>
      <w:r w:rsidR="00761D9A">
        <w:rPr>
          <w:rFonts w:asciiTheme="minorHAnsi" w:hAnsiTheme="minorHAnsi"/>
          <w:b/>
        </w:rPr>
        <w:t>3</w:t>
      </w:r>
      <w:r w:rsidRPr="009C3D40">
        <w:rPr>
          <w:rFonts w:asciiTheme="minorHAnsi" w:hAnsiTheme="minorHAnsi"/>
          <w:b/>
        </w:rPr>
        <w:t>.</w:t>
      </w:r>
      <w:r w:rsidR="00761D9A">
        <w:rPr>
          <w:rFonts w:asciiTheme="minorHAnsi" w:hAnsiTheme="minorHAnsi"/>
          <w:b/>
        </w:rPr>
        <w:t>1</w:t>
      </w:r>
      <w:r w:rsidRPr="009C3D40">
        <w:rPr>
          <w:rFonts w:asciiTheme="minorHAnsi" w:hAnsiTheme="minorHAnsi"/>
          <w:b/>
        </w:rPr>
        <w:t>: Parameter and abbreviations used</w:t>
      </w:r>
      <w:r>
        <w:rPr>
          <w:rFonts w:asciiTheme="minorHAnsi" w:hAnsiTheme="minorHAnsi"/>
          <w:b/>
        </w:rPr>
        <w:t>.</w:t>
      </w:r>
    </w:p>
    <w:tbl>
      <w:tblPr>
        <w:tblStyle w:val="TableGrid"/>
        <w:tblW w:w="0" w:type="auto"/>
        <w:tblInd w:w="-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981"/>
        <w:gridCol w:w="5082"/>
      </w:tblGrid>
      <w:tr w:rsidR="00CA774B" w:rsidRPr="00363A1D" w14:paraId="7613607A" w14:textId="77777777" w:rsidTr="004477D5">
        <w:trPr>
          <w:cnfStyle w:val="100000000000" w:firstRow="1" w:lastRow="0" w:firstColumn="0" w:lastColumn="0" w:oddVBand="0" w:evenVBand="0" w:oddHBand="0" w:evenHBand="0" w:firstRowFirstColumn="0" w:firstRowLastColumn="0" w:lastRowFirstColumn="0" w:lastRowLastColumn="0"/>
          <w:trHeight w:val="170"/>
        </w:trPr>
        <w:tc>
          <w:tcPr>
            <w:tcW w:w="2093" w:type="dxa"/>
            <w:tcBorders>
              <w:top w:val="single" w:sz="4" w:space="0" w:color="auto"/>
              <w:bottom w:val="single" w:sz="4" w:space="0" w:color="auto"/>
            </w:tcBorders>
            <w:shd w:val="clear" w:color="auto" w:fill="auto"/>
          </w:tcPr>
          <w:p w14:paraId="4C1BBB23" w14:textId="77777777" w:rsidR="00CA774B" w:rsidRPr="00363A1D" w:rsidRDefault="00CA774B" w:rsidP="004477D5">
            <w:pPr>
              <w:spacing w:after="0"/>
              <w:rPr>
                <w:sz w:val="20"/>
              </w:rPr>
            </w:pPr>
            <w:r w:rsidRPr="00363A1D">
              <w:rPr>
                <w:sz w:val="20"/>
              </w:rPr>
              <w:t>Symbol</w:t>
            </w:r>
          </w:p>
        </w:tc>
        <w:tc>
          <w:tcPr>
            <w:tcW w:w="1984" w:type="dxa"/>
            <w:tcBorders>
              <w:top w:val="single" w:sz="4" w:space="0" w:color="auto"/>
              <w:bottom w:val="single" w:sz="4" w:space="0" w:color="auto"/>
            </w:tcBorders>
            <w:shd w:val="clear" w:color="auto" w:fill="auto"/>
          </w:tcPr>
          <w:p w14:paraId="5EE70C46" w14:textId="77777777" w:rsidR="00CA774B" w:rsidRPr="00363A1D" w:rsidRDefault="00CA774B" w:rsidP="004477D5">
            <w:pPr>
              <w:spacing w:after="0"/>
              <w:rPr>
                <w:sz w:val="20"/>
              </w:rPr>
            </w:pPr>
            <w:r w:rsidRPr="00363A1D">
              <w:rPr>
                <w:sz w:val="20"/>
              </w:rPr>
              <w:t>Name</w:t>
            </w:r>
          </w:p>
        </w:tc>
        <w:tc>
          <w:tcPr>
            <w:tcW w:w="5103" w:type="dxa"/>
            <w:tcBorders>
              <w:top w:val="single" w:sz="4" w:space="0" w:color="auto"/>
              <w:bottom w:val="single" w:sz="4" w:space="0" w:color="auto"/>
            </w:tcBorders>
            <w:shd w:val="clear" w:color="auto" w:fill="auto"/>
          </w:tcPr>
          <w:p w14:paraId="60CEBC1C" w14:textId="77777777" w:rsidR="00CA774B" w:rsidRPr="00363A1D" w:rsidRDefault="00CA774B" w:rsidP="004477D5">
            <w:pPr>
              <w:spacing w:after="0"/>
              <w:rPr>
                <w:sz w:val="20"/>
              </w:rPr>
            </w:pPr>
            <w:r w:rsidRPr="00363A1D">
              <w:rPr>
                <w:sz w:val="20"/>
              </w:rPr>
              <w:t>Unit /description</w:t>
            </w:r>
          </w:p>
        </w:tc>
      </w:tr>
      <w:tr w:rsidR="00CA774B" w:rsidRPr="00363A1D" w14:paraId="73ADD8BB" w14:textId="77777777" w:rsidTr="004477D5">
        <w:trPr>
          <w:trHeight w:val="170"/>
        </w:trPr>
        <w:tc>
          <w:tcPr>
            <w:tcW w:w="2093" w:type="dxa"/>
            <w:tcBorders>
              <w:top w:val="single" w:sz="4" w:space="0" w:color="auto"/>
            </w:tcBorders>
            <w:shd w:val="clear" w:color="auto" w:fill="auto"/>
          </w:tcPr>
          <w:p w14:paraId="60690E25"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t</m:t>
                </m:r>
              </m:oMath>
            </m:oMathPara>
          </w:p>
        </w:tc>
        <w:tc>
          <w:tcPr>
            <w:tcW w:w="1984" w:type="dxa"/>
            <w:tcBorders>
              <w:top w:val="single" w:sz="4" w:space="0" w:color="auto"/>
            </w:tcBorders>
            <w:shd w:val="clear" w:color="auto" w:fill="auto"/>
          </w:tcPr>
          <w:p w14:paraId="39509BF3"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Time</w:t>
            </w:r>
          </w:p>
        </w:tc>
        <w:tc>
          <w:tcPr>
            <w:tcW w:w="5103" w:type="dxa"/>
            <w:tcBorders>
              <w:top w:val="single" w:sz="4" w:space="0" w:color="auto"/>
            </w:tcBorders>
            <w:shd w:val="clear" w:color="auto" w:fill="auto"/>
          </w:tcPr>
          <w:p w14:paraId="647B9271"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Years</w:t>
            </w:r>
          </w:p>
        </w:tc>
      </w:tr>
      <w:tr w:rsidR="00CA774B" w:rsidRPr="00363A1D" w14:paraId="349BB57E" w14:textId="77777777" w:rsidTr="004477D5">
        <w:trPr>
          <w:trHeight w:val="170"/>
        </w:trPr>
        <w:tc>
          <w:tcPr>
            <w:tcW w:w="2093" w:type="dxa"/>
            <w:shd w:val="clear" w:color="auto" w:fill="auto"/>
          </w:tcPr>
          <w:p w14:paraId="6F607C69"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j</m:t>
                </m:r>
              </m:oMath>
            </m:oMathPara>
          </w:p>
        </w:tc>
        <w:tc>
          <w:tcPr>
            <w:tcW w:w="1984" w:type="dxa"/>
            <w:shd w:val="clear" w:color="auto" w:fill="auto"/>
          </w:tcPr>
          <w:p w14:paraId="6391B95C"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Setting</w:t>
            </w:r>
          </w:p>
        </w:tc>
        <w:tc>
          <w:tcPr>
            <w:tcW w:w="5103" w:type="dxa"/>
            <w:shd w:val="clear" w:color="auto" w:fill="auto"/>
          </w:tcPr>
          <w:p w14:paraId="6880E9F1" w14:textId="77777777" w:rsidR="00CA774B" w:rsidRPr="00363A1D" w:rsidRDefault="00CA774B" w:rsidP="004477D5">
            <w:pPr>
              <w:spacing w:after="0"/>
              <w:rPr>
                <w:rFonts w:asciiTheme="minorHAnsi" w:hAnsiTheme="minorHAnsi"/>
                <w:sz w:val="20"/>
                <w:szCs w:val="20"/>
              </w:rPr>
            </w:pPr>
            <w:r>
              <w:rPr>
                <w:rFonts w:asciiTheme="minorHAnsi" w:hAnsiTheme="minorHAnsi"/>
                <w:sz w:val="20"/>
                <w:szCs w:val="20"/>
              </w:rPr>
              <w:t>Council</w:t>
            </w:r>
            <w:r w:rsidRPr="00363A1D">
              <w:rPr>
                <w:rFonts w:asciiTheme="minorHAnsi" w:hAnsiTheme="minorHAnsi"/>
                <w:sz w:val="20"/>
                <w:szCs w:val="20"/>
              </w:rPr>
              <w:t>s</w:t>
            </w:r>
          </w:p>
        </w:tc>
      </w:tr>
      <w:tr w:rsidR="00CA774B" w:rsidRPr="00363A1D" w14:paraId="7A450D06" w14:textId="77777777" w:rsidTr="004477D5">
        <w:trPr>
          <w:trHeight w:val="170"/>
        </w:trPr>
        <w:tc>
          <w:tcPr>
            <w:tcW w:w="2093" w:type="dxa"/>
            <w:shd w:val="clear" w:color="auto" w:fill="auto"/>
          </w:tcPr>
          <w:p w14:paraId="548E6EAD"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k</m:t>
                </m:r>
              </m:oMath>
            </m:oMathPara>
          </w:p>
        </w:tc>
        <w:tc>
          <w:tcPr>
            <w:tcW w:w="1984" w:type="dxa"/>
            <w:shd w:val="clear" w:color="auto" w:fill="auto"/>
          </w:tcPr>
          <w:p w14:paraId="7738BCC2"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Age group</w:t>
            </w:r>
          </w:p>
        </w:tc>
        <w:tc>
          <w:tcPr>
            <w:tcW w:w="5103" w:type="dxa"/>
            <w:shd w:val="clear" w:color="auto" w:fill="auto"/>
          </w:tcPr>
          <w:p w14:paraId="56AE5D7B"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0-5 years; 2-10 years, 0-99 years (total population)</w:t>
            </w:r>
          </w:p>
        </w:tc>
      </w:tr>
      <w:tr w:rsidR="00CA774B" w:rsidRPr="00363A1D" w14:paraId="0F5EE0BE" w14:textId="77777777" w:rsidTr="004477D5">
        <w:trPr>
          <w:trHeight w:val="170"/>
        </w:trPr>
        <w:tc>
          <w:tcPr>
            <w:tcW w:w="2093" w:type="dxa"/>
            <w:tcBorders>
              <w:bottom w:val="single" w:sz="4" w:space="0" w:color="auto"/>
            </w:tcBorders>
            <w:shd w:val="clear" w:color="auto" w:fill="auto"/>
          </w:tcPr>
          <w:p w14:paraId="46119B1C"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l</m:t>
                </m:r>
              </m:oMath>
            </m:oMathPara>
          </w:p>
        </w:tc>
        <w:tc>
          <w:tcPr>
            <w:tcW w:w="1984" w:type="dxa"/>
            <w:tcBorders>
              <w:bottom w:val="single" w:sz="4" w:space="0" w:color="auto"/>
            </w:tcBorders>
            <w:shd w:val="clear" w:color="auto" w:fill="auto"/>
          </w:tcPr>
          <w:p w14:paraId="2C786BCC"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Intervention scenario</w:t>
            </w:r>
          </w:p>
        </w:tc>
        <w:tc>
          <w:tcPr>
            <w:tcW w:w="5103" w:type="dxa"/>
            <w:tcBorders>
              <w:bottom w:val="single" w:sz="4" w:space="0" w:color="auto"/>
            </w:tcBorders>
            <w:shd w:val="clear" w:color="auto" w:fill="auto"/>
          </w:tcPr>
          <w:p w14:paraId="22CC36CB"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Future interventions (single or combined)</w:t>
            </w:r>
          </w:p>
        </w:tc>
      </w:tr>
      <w:tr w:rsidR="00CA774B" w:rsidRPr="00363A1D" w14:paraId="2C3D7E23" w14:textId="77777777" w:rsidTr="004477D5">
        <w:trPr>
          <w:trHeight w:val="170"/>
        </w:trPr>
        <w:tc>
          <w:tcPr>
            <w:tcW w:w="2093" w:type="dxa"/>
            <w:tcBorders>
              <w:top w:val="single" w:sz="4" w:space="0" w:color="auto"/>
              <w:bottom w:val="single" w:sz="4" w:space="0" w:color="auto"/>
            </w:tcBorders>
            <w:shd w:val="clear" w:color="auto" w:fill="auto"/>
          </w:tcPr>
          <w:p w14:paraId="45E08814" w14:textId="77777777" w:rsidR="00CA774B" w:rsidRPr="00363A1D" w:rsidRDefault="00CA774B" w:rsidP="004477D5">
            <w:pPr>
              <w:spacing w:after="0"/>
              <w:rPr>
                <w:rFonts w:asciiTheme="minorHAnsi" w:hAnsiTheme="minorHAnsi"/>
                <w:b/>
                <w:sz w:val="20"/>
                <w:szCs w:val="20"/>
              </w:rPr>
            </w:pPr>
            <w:r w:rsidRPr="00363A1D">
              <w:rPr>
                <w:rFonts w:asciiTheme="minorHAnsi" w:hAnsiTheme="minorHAnsi"/>
                <w:b/>
                <w:sz w:val="20"/>
                <w:szCs w:val="20"/>
              </w:rPr>
              <w:t>Abbreviations</w:t>
            </w:r>
          </w:p>
        </w:tc>
        <w:tc>
          <w:tcPr>
            <w:tcW w:w="1984" w:type="dxa"/>
            <w:tcBorders>
              <w:top w:val="single" w:sz="4" w:space="0" w:color="auto"/>
              <w:bottom w:val="single" w:sz="4" w:space="0" w:color="auto"/>
            </w:tcBorders>
            <w:shd w:val="clear" w:color="auto" w:fill="auto"/>
          </w:tcPr>
          <w:p w14:paraId="51D143CD" w14:textId="77777777" w:rsidR="00CA774B" w:rsidRPr="00363A1D" w:rsidRDefault="00CA774B" w:rsidP="004477D5">
            <w:pPr>
              <w:spacing w:after="0"/>
              <w:rPr>
                <w:rFonts w:asciiTheme="minorHAnsi" w:hAnsiTheme="minorHAnsi"/>
                <w:b/>
                <w:sz w:val="20"/>
                <w:szCs w:val="20"/>
              </w:rPr>
            </w:pPr>
            <w:r w:rsidRPr="00363A1D">
              <w:rPr>
                <w:rFonts w:asciiTheme="minorHAnsi" w:hAnsiTheme="minorHAnsi"/>
                <w:b/>
                <w:sz w:val="20"/>
                <w:szCs w:val="20"/>
              </w:rPr>
              <w:t>Full name</w:t>
            </w:r>
          </w:p>
        </w:tc>
        <w:tc>
          <w:tcPr>
            <w:tcW w:w="5103" w:type="dxa"/>
            <w:tcBorders>
              <w:top w:val="single" w:sz="4" w:space="0" w:color="auto"/>
              <w:bottom w:val="single" w:sz="4" w:space="0" w:color="auto"/>
            </w:tcBorders>
            <w:shd w:val="clear" w:color="auto" w:fill="auto"/>
          </w:tcPr>
          <w:p w14:paraId="6422F5D3" w14:textId="77777777" w:rsidR="00CA774B" w:rsidRPr="00363A1D" w:rsidRDefault="00CA774B" w:rsidP="004477D5">
            <w:pPr>
              <w:spacing w:after="0"/>
              <w:rPr>
                <w:rFonts w:asciiTheme="minorHAnsi" w:hAnsiTheme="minorHAnsi"/>
                <w:b/>
                <w:sz w:val="20"/>
                <w:szCs w:val="20"/>
              </w:rPr>
            </w:pPr>
            <w:r w:rsidRPr="00363A1D">
              <w:rPr>
                <w:rFonts w:asciiTheme="minorHAnsi" w:hAnsiTheme="minorHAnsi"/>
                <w:b/>
                <w:sz w:val="20"/>
                <w:szCs w:val="20"/>
              </w:rPr>
              <w:t>Description</w:t>
            </w:r>
          </w:p>
        </w:tc>
      </w:tr>
      <w:tr w:rsidR="00CA774B" w:rsidRPr="00363A1D" w14:paraId="541A5971" w14:textId="77777777" w:rsidTr="004477D5">
        <w:trPr>
          <w:trHeight w:val="170"/>
        </w:trPr>
        <w:tc>
          <w:tcPr>
            <w:tcW w:w="2093" w:type="dxa"/>
            <w:tcBorders>
              <w:top w:val="single" w:sz="4" w:space="0" w:color="auto"/>
            </w:tcBorders>
            <w:shd w:val="clear" w:color="auto" w:fill="auto"/>
          </w:tcPr>
          <w:p w14:paraId="4E1CE06D"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c</m:t>
                </m:r>
              </m:oMath>
            </m:oMathPara>
          </w:p>
        </w:tc>
        <w:tc>
          <w:tcPr>
            <w:tcW w:w="1984" w:type="dxa"/>
            <w:tcBorders>
              <w:top w:val="single" w:sz="4" w:space="0" w:color="auto"/>
            </w:tcBorders>
            <w:shd w:val="clear" w:color="auto" w:fill="auto"/>
          </w:tcPr>
          <w:p w14:paraId="44DA9C06"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Counterfactual</w:t>
            </w:r>
          </w:p>
        </w:tc>
        <w:tc>
          <w:tcPr>
            <w:tcW w:w="5103" w:type="dxa"/>
            <w:tcBorders>
              <w:top w:val="single" w:sz="4" w:space="0" w:color="auto"/>
            </w:tcBorders>
            <w:shd w:val="clear" w:color="auto" w:fill="auto"/>
          </w:tcPr>
          <w:p w14:paraId="11A077A3"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Discontinuation of all interventions apart from case management running at current levels, as in 2016</w:t>
            </w:r>
          </w:p>
        </w:tc>
      </w:tr>
      <w:tr w:rsidR="00CA774B" w:rsidRPr="00363A1D" w14:paraId="04842423" w14:textId="77777777" w:rsidTr="004477D5">
        <w:trPr>
          <w:trHeight w:val="170"/>
        </w:trPr>
        <w:tc>
          <w:tcPr>
            <w:tcW w:w="2093" w:type="dxa"/>
            <w:shd w:val="clear" w:color="auto" w:fill="auto"/>
          </w:tcPr>
          <w:p w14:paraId="11E62ADB" w14:textId="77777777" w:rsidR="00CA774B" w:rsidRPr="00363A1D" w:rsidRDefault="00CA774B" w:rsidP="004477D5">
            <w:pPr>
              <w:spacing w:after="0"/>
              <w:rPr>
                <w:rFonts w:asciiTheme="minorHAnsi" w:eastAsia="Calibri" w:hAnsiTheme="minorHAnsi"/>
                <w:sz w:val="20"/>
                <w:szCs w:val="20"/>
              </w:rPr>
            </w:pPr>
            <m:oMathPara>
              <m:oMathParaPr>
                <m:jc m:val="left"/>
              </m:oMathParaPr>
              <m:oMath>
                <m:r>
                  <w:rPr>
                    <w:rFonts w:ascii="Cambria Math" w:eastAsia="Times New Roman" w:hAnsi="Cambria Math"/>
                    <w:noProof/>
                    <w:sz w:val="20"/>
                    <w:szCs w:val="20"/>
                    <w:lang w:eastAsia="de-DE"/>
                  </w:rPr>
                  <m:t>b</m:t>
                </m:r>
              </m:oMath>
            </m:oMathPara>
          </w:p>
        </w:tc>
        <w:tc>
          <w:tcPr>
            <w:tcW w:w="1984" w:type="dxa"/>
            <w:shd w:val="clear" w:color="auto" w:fill="auto"/>
          </w:tcPr>
          <w:p w14:paraId="4606CF20"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Baseline</w:t>
            </w:r>
          </w:p>
        </w:tc>
        <w:tc>
          <w:tcPr>
            <w:tcW w:w="5103" w:type="dxa"/>
            <w:shd w:val="clear" w:color="auto" w:fill="auto"/>
          </w:tcPr>
          <w:p w14:paraId="0E44E7FA"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Baseline</w:t>
            </w:r>
            <w:r w:rsidRPr="00363A1D">
              <w:rPr>
                <w:rFonts w:asciiTheme="minorHAnsi" w:hAnsiTheme="minorHAnsi"/>
                <w:sz w:val="20"/>
                <w:szCs w:val="20"/>
              </w:rPr>
              <w:t xml:space="preserve"> year 2016</w:t>
            </w:r>
          </w:p>
        </w:tc>
      </w:tr>
      <w:tr w:rsidR="00CA774B" w:rsidRPr="00363A1D" w14:paraId="04A1D8CF" w14:textId="77777777" w:rsidTr="004477D5">
        <w:trPr>
          <w:trHeight w:val="170"/>
        </w:trPr>
        <w:tc>
          <w:tcPr>
            <w:tcW w:w="2093" w:type="dxa"/>
            <w:shd w:val="clear" w:color="auto" w:fill="auto"/>
          </w:tcPr>
          <w:p w14:paraId="5C6AFCAC"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hAnsi="Cambria Math"/>
                    <w:sz w:val="20"/>
                    <w:szCs w:val="20"/>
                  </w:rPr>
                  <m:t>U</m:t>
                </m:r>
              </m:oMath>
            </m:oMathPara>
          </w:p>
        </w:tc>
        <w:tc>
          <w:tcPr>
            <w:tcW w:w="1984" w:type="dxa"/>
            <w:shd w:val="clear" w:color="auto" w:fill="auto"/>
          </w:tcPr>
          <w:p w14:paraId="0F6C47E6"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Uncomplicated</w:t>
            </w:r>
          </w:p>
        </w:tc>
        <w:tc>
          <w:tcPr>
            <w:tcW w:w="5103" w:type="dxa"/>
            <w:shd w:val="clear" w:color="auto" w:fill="auto"/>
          </w:tcPr>
          <w:p w14:paraId="480F0E3B"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Uncomplicated malaria cases</w:t>
            </w:r>
          </w:p>
        </w:tc>
      </w:tr>
      <w:tr w:rsidR="00CA774B" w:rsidRPr="00363A1D" w14:paraId="2A5A0531" w14:textId="77777777" w:rsidTr="004477D5">
        <w:trPr>
          <w:trHeight w:val="170"/>
        </w:trPr>
        <w:tc>
          <w:tcPr>
            <w:tcW w:w="2093" w:type="dxa"/>
            <w:shd w:val="clear" w:color="auto" w:fill="auto"/>
          </w:tcPr>
          <w:p w14:paraId="50073BD7"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hAnsi="Cambria Math"/>
                    <w:sz w:val="20"/>
                    <w:szCs w:val="20"/>
                  </w:rPr>
                  <m:t>S</m:t>
                </m:r>
              </m:oMath>
            </m:oMathPara>
          </w:p>
        </w:tc>
        <w:tc>
          <w:tcPr>
            <w:tcW w:w="1984" w:type="dxa"/>
            <w:shd w:val="clear" w:color="auto" w:fill="auto"/>
          </w:tcPr>
          <w:p w14:paraId="408F7B40"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Severe</w:t>
            </w:r>
          </w:p>
        </w:tc>
        <w:tc>
          <w:tcPr>
            <w:tcW w:w="5103" w:type="dxa"/>
            <w:shd w:val="clear" w:color="auto" w:fill="auto"/>
          </w:tcPr>
          <w:p w14:paraId="5B781F6A"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Severe malaria cases</w:t>
            </w:r>
          </w:p>
        </w:tc>
      </w:tr>
      <w:tr w:rsidR="00CA774B" w:rsidRPr="00363A1D" w14:paraId="5E2C3423" w14:textId="77777777" w:rsidTr="004477D5">
        <w:trPr>
          <w:trHeight w:val="170"/>
        </w:trPr>
        <w:tc>
          <w:tcPr>
            <w:tcW w:w="2093" w:type="dxa"/>
            <w:shd w:val="clear" w:color="auto" w:fill="auto"/>
          </w:tcPr>
          <w:p w14:paraId="5A8600EA" w14:textId="77777777" w:rsidR="00CA774B" w:rsidRPr="00363A1D" w:rsidRDefault="00CA774B" w:rsidP="004477D5">
            <w:pPr>
              <w:spacing w:after="0"/>
              <w:rPr>
                <w:rFonts w:asciiTheme="minorHAnsi" w:hAnsiTheme="minorHAnsi"/>
                <w:i/>
                <w:sz w:val="20"/>
                <w:szCs w:val="20"/>
              </w:rPr>
            </w:pPr>
            <m:oMathPara>
              <m:oMathParaPr>
                <m:jc m:val="left"/>
              </m:oMathParaPr>
              <m:oMath>
                <m:r>
                  <w:rPr>
                    <w:rFonts w:ascii="Cambria Math" w:hAnsi="Cambria Math"/>
                    <w:sz w:val="20"/>
                    <w:szCs w:val="20"/>
                  </w:rPr>
                  <m:t>PopPerNet</m:t>
                </m:r>
              </m:oMath>
            </m:oMathPara>
          </w:p>
        </w:tc>
        <w:tc>
          <w:tcPr>
            <w:tcW w:w="1984" w:type="dxa"/>
            <w:shd w:val="clear" w:color="auto" w:fill="auto"/>
          </w:tcPr>
          <w:p w14:paraId="61DE0239"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Population per net</w:t>
            </w:r>
          </w:p>
        </w:tc>
        <w:tc>
          <w:tcPr>
            <w:tcW w:w="5103" w:type="dxa"/>
            <w:shd w:val="clear" w:color="auto" w:fill="auto"/>
          </w:tcPr>
          <w:p w14:paraId="1D083028"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Number</w:t>
            </w:r>
            <w:r w:rsidRPr="00363A1D">
              <w:rPr>
                <w:rFonts w:asciiTheme="minorHAnsi" w:hAnsiTheme="minorHAnsi"/>
                <w:sz w:val="20"/>
                <w:szCs w:val="20"/>
              </w:rPr>
              <w:t xml:space="preserve"> of people sleeping under the same net.</w:t>
            </w:r>
          </w:p>
        </w:tc>
      </w:tr>
      <w:tr w:rsidR="00CA774B" w:rsidRPr="00363A1D" w14:paraId="795677A0" w14:textId="77777777" w:rsidTr="004477D5">
        <w:trPr>
          <w:trHeight w:val="170"/>
        </w:trPr>
        <w:tc>
          <w:tcPr>
            <w:tcW w:w="2093" w:type="dxa"/>
            <w:shd w:val="clear" w:color="auto" w:fill="auto"/>
          </w:tcPr>
          <w:p w14:paraId="60D9191A" w14:textId="77777777" w:rsidR="00CA774B" w:rsidRPr="00363A1D" w:rsidRDefault="00CA774B" w:rsidP="004477D5">
            <w:pPr>
              <w:spacing w:after="0"/>
              <w:rPr>
                <w:rFonts w:asciiTheme="minorHAnsi" w:hAnsiTheme="minorHAnsi"/>
                <w:i/>
                <w:sz w:val="20"/>
                <w:szCs w:val="20"/>
              </w:rPr>
            </w:pPr>
            <m:oMathPara>
              <m:oMathParaPr>
                <m:jc m:val="left"/>
              </m:oMathParaPr>
              <m:oMath>
                <m:r>
                  <w:rPr>
                    <w:rFonts w:ascii="Cambria Math" w:hAnsi="Cambria Math"/>
                    <w:sz w:val="20"/>
                    <w:szCs w:val="20"/>
                  </w:rPr>
                  <m:t>Pop.perHH</m:t>
                </m:r>
              </m:oMath>
            </m:oMathPara>
          </w:p>
        </w:tc>
        <w:tc>
          <w:tcPr>
            <w:tcW w:w="1984" w:type="dxa"/>
            <w:shd w:val="clear" w:color="auto" w:fill="auto"/>
          </w:tcPr>
          <w:p w14:paraId="03A4D3FD" w14:textId="77777777" w:rsidR="00CA774B" w:rsidRPr="00363A1D" w:rsidRDefault="00CA774B" w:rsidP="004477D5">
            <w:pPr>
              <w:spacing w:after="0"/>
              <w:rPr>
                <w:rFonts w:asciiTheme="minorHAnsi" w:hAnsiTheme="minorHAnsi"/>
                <w:sz w:val="20"/>
                <w:szCs w:val="20"/>
              </w:rPr>
            </w:pPr>
            <w:proofErr w:type="spellStart"/>
            <w:r w:rsidRPr="00363A1D">
              <w:rPr>
                <w:rFonts w:asciiTheme="minorHAnsi" w:hAnsiTheme="minorHAnsi"/>
                <w:sz w:val="20"/>
                <w:szCs w:val="20"/>
              </w:rPr>
              <w:t>Populationper</w:t>
            </w:r>
            <w:proofErr w:type="spellEnd"/>
            <w:r w:rsidRPr="00363A1D">
              <w:rPr>
                <w:rFonts w:asciiTheme="minorHAnsi" w:hAnsiTheme="minorHAnsi"/>
                <w:sz w:val="20"/>
                <w:szCs w:val="20"/>
              </w:rPr>
              <w:t xml:space="preserve"> household</w:t>
            </w:r>
          </w:p>
        </w:tc>
        <w:tc>
          <w:tcPr>
            <w:tcW w:w="5103" w:type="dxa"/>
            <w:shd w:val="clear" w:color="auto" w:fill="auto"/>
          </w:tcPr>
          <w:p w14:paraId="656546B5"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Number</w:t>
            </w:r>
            <w:r w:rsidRPr="00363A1D">
              <w:rPr>
                <w:rFonts w:asciiTheme="minorHAnsi" w:hAnsiTheme="minorHAnsi"/>
                <w:sz w:val="20"/>
                <w:szCs w:val="20"/>
              </w:rPr>
              <w:t xml:space="preserve"> of people living in the same household.</w:t>
            </w:r>
          </w:p>
        </w:tc>
      </w:tr>
      <w:tr w:rsidR="00CA774B" w:rsidRPr="00363A1D" w14:paraId="79DF0CF5" w14:textId="77777777" w:rsidTr="004477D5">
        <w:trPr>
          <w:trHeight w:val="170"/>
        </w:trPr>
        <w:tc>
          <w:tcPr>
            <w:tcW w:w="2093" w:type="dxa"/>
            <w:tcBorders>
              <w:top w:val="single" w:sz="4" w:space="0" w:color="auto"/>
              <w:bottom w:val="single" w:sz="4" w:space="0" w:color="auto"/>
            </w:tcBorders>
            <w:shd w:val="clear" w:color="auto" w:fill="auto"/>
          </w:tcPr>
          <w:p w14:paraId="05382838" w14:textId="77777777" w:rsidR="00CA774B" w:rsidRPr="00363A1D" w:rsidRDefault="00CA774B" w:rsidP="004477D5">
            <w:pPr>
              <w:spacing w:after="0"/>
              <w:rPr>
                <w:rFonts w:asciiTheme="minorHAnsi" w:hAnsiTheme="minorHAnsi"/>
                <w:b/>
                <w:sz w:val="20"/>
                <w:szCs w:val="20"/>
              </w:rPr>
            </w:pPr>
            <w:r>
              <w:rPr>
                <w:rFonts w:asciiTheme="minorHAnsi" w:hAnsiTheme="minorHAnsi"/>
                <w:b/>
                <w:i/>
                <w:sz w:val="20"/>
                <w:szCs w:val="20"/>
              </w:rPr>
              <w:t xml:space="preserve">OpenMalaria </w:t>
            </w:r>
            <w:r w:rsidRPr="00363A1D">
              <w:rPr>
                <w:rFonts w:asciiTheme="minorHAnsi" w:hAnsiTheme="minorHAnsi"/>
                <w:b/>
                <w:sz w:val="20"/>
                <w:szCs w:val="20"/>
              </w:rPr>
              <w:t>output*</w:t>
            </w:r>
          </w:p>
        </w:tc>
        <w:tc>
          <w:tcPr>
            <w:tcW w:w="7087" w:type="dxa"/>
            <w:gridSpan w:val="2"/>
            <w:tcBorders>
              <w:top w:val="single" w:sz="4" w:space="0" w:color="auto"/>
              <w:bottom w:val="single" w:sz="4" w:space="0" w:color="auto"/>
            </w:tcBorders>
            <w:shd w:val="clear" w:color="auto" w:fill="auto"/>
          </w:tcPr>
          <w:p w14:paraId="566B9FD2" w14:textId="77777777" w:rsidR="00CA774B" w:rsidRPr="00363A1D" w:rsidRDefault="00CA774B" w:rsidP="004477D5">
            <w:pPr>
              <w:spacing w:after="0"/>
              <w:rPr>
                <w:rFonts w:asciiTheme="minorHAnsi" w:hAnsiTheme="minorHAnsi"/>
                <w:b/>
                <w:sz w:val="20"/>
                <w:szCs w:val="20"/>
              </w:rPr>
            </w:pPr>
            <w:r w:rsidRPr="00363A1D">
              <w:rPr>
                <w:rFonts w:asciiTheme="minorHAnsi" w:hAnsiTheme="minorHAnsi"/>
                <w:b/>
                <w:sz w:val="20"/>
                <w:szCs w:val="20"/>
              </w:rPr>
              <w:t>Description</w:t>
            </w:r>
          </w:p>
        </w:tc>
      </w:tr>
      <w:tr w:rsidR="00CA774B" w:rsidRPr="00363A1D" w14:paraId="0EC22718" w14:textId="77777777" w:rsidTr="004477D5">
        <w:trPr>
          <w:trHeight w:val="170"/>
        </w:trPr>
        <w:tc>
          <w:tcPr>
            <w:tcW w:w="2093" w:type="dxa"/>
            <w:tcBorders>
              <w:top w:val="single" w:sz="4" w:space="0" w:color="auto"/>
            </w:tcBorders>
            <w:shd w:val="clear" w:color="auto" w:fill="auto"/>
          </w:tcPr>
          <w:p w14:paraId="7D0112C1"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nPatent</m:t>
                </m:r>
              </m:oMath>
            </m:oMathPara>
          </w:p>
        </w:tc>
        <w:tc>
          <w:tcPr>
            <w:tcW w:w="7087" w:type="dxa"/>
            <w:gridSpan w:val="2"/>
            <w:tcBorders>
              <w:top w:val="single" w:sz="4" w:space="0" w:color="auto"/>
            </w:tcBorders>
            <w:shd w:val="clear" w:color="auto" w:fill="auto"/>
          </w:tcPr>
          <w:p w14:paraId="2D396AC7" w14:textId="77777777" w:rsidR="00CA774B" w:rsidRPr="00363A1D" w:rsidRDefault="00CA774B" w:rsidP="004477D5">
            <w:pPr>
              <w:spacing w:after="0"/>
              <w:rPr>
                <w:rFonts w:asciiTheme="minorHAnsi" w:hAnsiTheme="minorHAnsi"/>
                <w:sz w:val="20"/>
                <w:szCs w:val="20"/>
              </w:rPr>
            </w:pPr>
            <w:r w:rsidRPr="00363A1D">
              <w:rPr>
                <w:rFonts w:asciiTheme="minorHAnsi" w:hAnsiTheme="minorHAnsi"/>
                <w:sz w:val="20"/>
                <w:szCs w:val="20"/>
              </w:rPr>
              <w:t xml:space="preserve">The number of human hosts whose total (blood-stage) parasite density is above the detection threshold. </w:t>
            </w:r>
          </w:p>
        </w:tc>
      </w:tr>
      <w:tr w:rsidR="00CA774B" w:rsidRPr="00363A1D" w14:paraId="3C033F34" w14:textId="77777777" w:rsidTr="004477D5">
        <w:trPr>
          <w:trHeight w:val="170"/>
        </w:trPr>
        <w:tc>
          <w:tcPr>
            <w:tcW w:w="2093" w:type="dxa"/>
            <w:shd w:val="clear" w:color="auto" w:fill="auto"/>
          </w:tcPr>
          <w:p w14:paraId="49626C2E"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nHost</m:t>
                </m:r>
              </m:oMath>
            </m:oMathPara>
          </w:p>
        </w:tc>
        <w:tc>
          <w:tcPr>
            <w:tcW w:w="7087" w:type="dxa"/>
            <w:gridSpan w:val="2"/>
            <w:shd w:val="clear" w:color="auto" w:fill="auto"/>
          </w:tcPr>
          <w:p w14:paraId="5FDCFDD8"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Total</w:t>
            </w:r>
            <w:r w:rsidRPr="00363A1D">
              <w:rPr>
                <w:rFonts w:asciiTheme="minorHAnsi" w:hAnsiTheme="minorHAnsi"/>
                <w:sz w:val="20"/>
                <w:szCs w:val="20"/>
              </w:rPr>
              <w:t xml:space="preserve"> number of humans. </w:t>
            </w:r>
          </w:p>
        </w:tc>
      </w:tr>
      <w:tr w:rsidR="00CA774B" w:rsidRPr="00363A1D" w14:paraId="40509B0C" w14:textId="77777777" w:rsidTr="004477D5">
        <w:trPr>
          <w:trHeight w:val="170"/>
        </w:trPr>
        <w:tc>
          <w:tcPr>
            <w:tcW w:w="2093" w:type="dxa"/>
            <w:shd w:val="clear" w:color="auto" w:fill="auto"/>
          </w:tcPr>
          <w:p w14:paraId="639C91C5" w14:textId="77777777" w:rsidR="00CA774B" w:rsidRPr="00363A1D" w:rsidRDefault="00CA774B" w:rsidP="004477D5">
            <w:pPr>
              <w:spacing w:after="0"/>
              <w:rPr>
                <w:rFonts w:asciiTheme="minorHAnsi" w:hAnsiTheme="minorHAnsi"/>
                <w:sz w:val="20"/>
                <w:szCs w:val="20"/>
              </w:rPr>
            </w:pPr>
            <m:oMathPara>
              <m:oMathParaPr>
                <m:jc m:val="left"/>
              </m:oMathParaPr>
              <m:oMath>
                <m:r>
                  <w:rPr>
                    <w:rFonts w:ascii="Cambria Math" w:eastAsia="Times New Roman" w:hAnsi="Cambria Math"/>
                    <w:noProof/>
                    <w:sz w:val="20"/>
                    <w:szCs w:val="20"/>
                    <w:lang w:eastAsia="de-DE"/>
                  </w:rPr>
                  <m:t>nUncomplicated</m:t>
                </m:r>
              </m:oMath>
            </m:oMathPara>
          </w:p>
        </w:tc>
        <w:tc>
          <w:tcPr>
            <w:tcW w:w="7087" w:type="dxa"/>
            <w:gridSpan w:val="2"/>
            <w:shd w:val="clear" w:color="auto" w:fill="auto"/>
          </w:tcPr>
          <w:p w14:paraId="08911148"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Number</w:t>
            </w:r>
            <w:r w:rsidRPr="00363A1D">
              <w:rPr>
                <w:rFonts w:asciiTheme="minorHAnsi" w:hAnsiTheme="minorHAnsi"/>
                <w:sz w:val="20"/>
                <w:szCs w:val="20"/>
              </w:rPr>
              <w:t xml:space="preserve"> of episodes (uncomplicated). An episode of uncomplicated malaria is a period during which an individual has symptoms caused by malaria parasites present at the time of illness, where the symptoms do not </w:t>
            </w:r>
            <w:r w:rsidRPr="00363A1D">
              <w:rPr>
                <w:rFonts w:asciiTheme="minorHAnsi" w:hAnsiTheme="minorHAnsi"/>
                <w:noProof/>
                <w:sz w:val="20"/>
                <w:szCs w:val="20"/>
              </w:rPr>
              <w:t>qualify</w:t>
            </w:r>
            <w:r w:rsidRPr="00363A1D">
              <w:rPr>
                <w:rFonts w:asciiTheme="minorHAnsi" w:hAnsiTheme="minorHAnsi"/>
                <w:sz w:val="20"/>
                <w:szCs w:val="20"/>
              </w:rPr>
              <w:t xml:space="preserve"> as severe malaria. […]</w:t>
            </w:r>
          </w:p>
        </w:tc>
      </w:tr>
      <w:tr w:rsidR="00CA774B" w:rsidRPr="00363A1D" w14:paraId="2A93F6AA" w14:textId="77777777" w:rsidTr="004477D5">
        <w:trPr>
          <w:trHeight w:val="170"/>
        </w:trPr>
        <w:tc>
          <w:tcPr>
            <w:tcW w:w="2093" w:type="dxa"/>
            <w:shd w:val="clear" w:color="auto" w:fill="auto"/>
          </w:tcPr>
          <w:p w14:paraId="6F58F56C" w14:textId="77777777" w:rsidR="00CA774B" w:rsidRPr="00363A1D" w:rsidRDefault="00CA774B" w:rsidP="004477D5">
            <w:pPr>
              <w:spacing w:after="0"/>
              <w:rPr>
                <w:rFonts w:asciiTheme="minorHAnsi" w:eastAsia="Calibri" w:hAnsiTheme="minorHAnsi"/>
                <w:noProof/>
                <w:sz w:val="20"/>
                <w:szCs w:val="20"/>
                <w:lang w:eastAsia="de-DE"/>
              </w:rPr>
            </w:pPr>
            <m:oMathPara>
              <m:oMathParaPr>
                <m:jc m:val="left"/>
              </m:oMathParaPr>
              <m:oMath>
                <m:r>
                  <w:rPr>
                    <w:rFonts w:ascii="Cambria Math" w:eastAsia="Times New Roman" w:hAnsi="Cambria Math"/>
                    <w:noProof/>
                    <w:sz w:val="20"/>
                    <w:szCs w:val="20"/>
                    <w:lang w:eastAsia="de-DE"/>
                  </w:rPr>
                  <m:t>nSevere</m:t>
                </m:r>
              </m:oMath>
            </m:oMathPara>
          </w:p>
        </w:tc>
        <w:tc>
          <w:tcPr>
            <w:tcW w:w="7087" w:type="dxa"/>
            <w:gridSpan w:val="2"/>
            <w:shd w:val="clear" w:color="auto" w:fill="auto"/>
          </w:tcPr>
          <w:p w14:paraId="42CC16D0" w14:textId="77777777" w:rsidR="00CA774B" w:rsidRPr="00363A1D" w:rsidRDefault="00CA774B" w:rsidP="004477D5">
            <w:pPr>
              <w:spacing w:after="0"/>
              <w:rPr>
                <w:rFonts w:asciiTheme="minorHAnsi" w:hAnsiTheme="minorHAnsi"/>
                <w:sz w:val="20"/>
                <w:szCs w:val="20"/>
              </w:rPr>
            </w:pPr>
            <w:r w:rsidRPr="00363A1D">
              <w:rPr>
                <w:rFonts w:asciiTheme="minorHAnsi" w:hAnsiTheme="minorHAnsi"/>
                <w:noProof/>
                <w:sz w:val="20"/>
                <w:szCs w:val="20"/>
              </w:rPr>
              <w:t>Number</w:t>
            </w:r>
            <w:r w:rsidRPr="00363A1D">
              <w:rPr>
                <w:rFonts w:asciiTheme="minorHAnsi" w:hAnsiTheme="minorHAnsi"/>
                <w:sz w:val="20"/>
                <w:szCs w:val="20"/>
              </w:rPr>
              <w:t xml:space="preserve"> of episodes (severe).An episode of severe malaria is a period during which an individual has symptoms, qualifying as severe malaria, caused by malaria parasites present at the time of illness. […]</w:t>
            </w:r>
          </w:p>
        </w:tc>
      </w:tr>
    </w:tbl>
    <w:p w14:paraId="096AAE14" w14:textId="77777777" w:rsidR="00CA774B" w:rsidRPr="00363A1D" w:rsidRDefault="00CA774B" w:rsidP="00CA774B">
      <w:pPr>
        <w:spacing w:after="0"/>
        <w:jc w:val="both"/>
        <w:rPr>
          <w:noProof/>
          <w:lang w:eastAsia="de-DE"/>
        </w:rPr>
      </w:pPr>
      <w:r w:rsidRPr="00363A1D">
        <w:rPr>
          <w:noProof/>
          <w:sz w:val="18"/>
          <w:lang w:eastAsia="de-DE"/>
        </w:rPr>
        <w:t xml:space="preserve">*) </w:t>
      </w:r>
      <w:hyperlink r:id="rId5" w:history="1">
        <w:r w:rsidRPr="00363A1D">
          <w:rPr>
            <w:rStyle w:val="Hyperlink"/>
            <w:rFonts w:eastAsia="Times New Roman" w:cs="Times New Roman"/>
            <w:sz w:val="18"/>
            <w:lang w:eastAsia="de-DE"/>
          </w:rPr>
          <w:t>https://github.com/SwissTPH/openmalaria/wiki/XmlMonitoring</w:t>
        </w:r>
      </w:hyperlink>
    </w:p>
    <w:p w14:paraId="5CA4F255" w14:textId="77777777" w:rsidR="00CA774B" w:rsidRDefault="00CA774B" w:rsidP="00CA774B">
      <w:pPr>
        <w:spacing w:after="0"/>
      </w:pPr>
    </w:p>
    <w:p w14:paraId="3EF18224" w14:textId="77777777" w:rsidR="00CA774B" w:rsidRDefault="00CA774B">
      <w:pPr>
        <w:rPr>
          <w:b/>
          <w:sz w:val="20"/>
        </w:rPr>
      </w:pPr>
      <w:r>
        <w:rPr>
          <w:b/>
          <w:sz w:val="20"/>
        </w:rPr>
        <w:br w:type="page"/>
      </w:r>
    </w:p>
    <w:p w14:paraId="521A820F" w14:textId="2F4E668D" w:rsidR="00CA774B" w:rsidRDefault="00CA774B" w:rsidP="00CA774B">
      <w:pPr>
        <w:spacing w:after="0" w:line="360" w:lineRule="auto"/>
        <w:rPr>
          <w:b/>
          <w:sz w:val="20"/>
        </w:rPr>
      </w:pPr>
      <w:r w:rsidRPr="009C3D40">
        <w:rPr>
          <w:b/>
          <w:sz w:val="20"/>
        </w:rPr>
        <w:lastRenderedPageBreak/>
        <w:t xml:space="preserve">Table </w:t>
      </w:r>
      <w:r>
        <w:rPr>
          <w:b/>
          <w:sz w:val="20"/>
        </w:rPr>
        <w:t>S</w:t>
      </w:r>
      <w:r w:rsidR="00761D9A">
        <w:rPr>
          <w:b/>
          <w:sz w:val="20"/>
        </w:rPr>
        <w:t>3</w:t>
      </w:r>
      <w:r>
        <w:rPr>
          <w:b/>
          <w:sz w:val="20"/>
        </w:rPr>
        <w:t>.</w:t>
      </w:r>
      <w:r w:rsidR="00761D9A">
        <w:rPr>
          <w:b/>
          <w:sz w:val="20"/>
        </w:rPr>
        <w:t>2</w:t>
      </w:r>
      <w:r w:rsidRPr="009C3D40">
        <w:rPr>
          <w:b/>
          <w:sz w:val="20"/>
        </w:rPr>
        <w:t>: Calculated outcome measures from OpenMalaria monitoring measures</w:t>
      </w:r>
    </w:p>
    <w:tbl>
      <w:tblPr>
        <w:tblStyle w:val="TableGrid"/>
        <w:tblW w:w="9606" w:type="dxa"/>
        <w:tblInd w:w="-80" w:type="dxa"/>
        <w:tblBorders>
          <w:left w:val="none" w:sz="0" w:space="0" w:color="auto"/>
          <w:right w:val="none" w:sz="0" w:space="0" w:color="auto"/>
          <w:insideV w:val="none" w:sz="0" w:space="0" w:color="auto"/>
        </w:tblBorders>
        <w:tblLook w:val="04A0" w:firstRow="1" w:lastRow="0" w:firstColumn="1" w:lastColumn="0" w:noHBand="0" w:noVBand="1"/>
      </w:tblPr>
      <w:tblGrid>
        <w:gridCol w:w="1153"/>
        <w:gridCol w:w="2670"/>
        <w:gridCol w:w="5783"/>
      </w:tblGrid>
      <w:tr w:rsidR="00CA774B" w:rsidRPr="00D10ED2" w14:paraId="121E3693" w14:textId="77777777" w:rsidTr="004477D5">
        <w:trPr>
          <w:cnfStyle w:val="100000000000" w:firstRow="1" w:lastRow="0" w:firstColumn="0" w:lastColumn="0" w:oddVBand="0" w:evenVBand="0" w:oddHBand="0" w:evenHBand="0" w:firstRowFirstColumn="0" w:firstRowLastColumn="0" w:lastRowFirstColumn="0" w:lastRowLastColumn="0"/>
        </w:trPr>
        <w:tc>
          <w:tcPr>
            <w:tcW w:w="1153" w:type="dxa"/>
            <w:tcBorders>
              <w:right w:val="single" w:sz="4" w:space="0" w:color="auto"/>
            </w:tcBorders>
            <w:shd w:val="clear" w:color="auto" w:fill="auto"/>
          </w:tcPr>
          <w:p w14:paraId="5DFC5144" w14:textId="77777777" w:rsidR="00CA774B" w:rsidRPr="009C3D40" w:rsidRDefault="00CA774B" w:rsidP="004477D5">
            <w:pPr>
              <w:rPr>
                <w:b w:val="0"/>
                <w:sz w:val="20"/>
              </w:rPr>
            </w:pPr>
            <w:r w:rsidRPr="001C4413">
              <w:rPr>
                <w:sz w:val="20"/>
                <w:szCs w:val="22"/>
              </w:rPr>
              <w:t>Outcome</w:t>
            </w:r>
          </w:p>
        </w:tc>
        <w:tc>
          <w:tcPr>
            <w:tcW w:w="2670" w:type="dxa"/>
            <w:tcBorders>
              <w:left w:val="single" w:sz="4" w:space="0" w:color="auto"/>
              <w:right w:val="single" w:sz="4" w:space="0" w:color="auto"/>
            </w:tcBorders>
            <w:shd w:val="clear" w:color="auto" w:fill="auto"/>
          </w:tcPr>
          <w:p w14:paraId="33C6730C" w14:textId="77777777" w:rsidR="00CA774B" w:rsidRPr="009C3D40" w:rsidRDefault="00CA774B" w:rsidP="004477D5">
            <w:pPr>
              <w:rPr>
                <w:b w:val="0"/>
                <w:sz w:val="20"/>
              </w:rPr>
            </w:pPr>
            <w:r w:rsidRPr="001C4413">
              <w:rPr>
                <w:sz w:val="20"/>
                <w:szCs w:val="22"/>
              </w:rPr>
              <w:t>Description</w:t>
            </w:r>
          </w:p>
        </w:tc>
        <w:tc>
          <w:tcPr>
            <w:tcW w:w="5783" w:type="dxa"/>
            <w:tcBorders>
              <w:left w:val="single" w:sz="4" w:space="0" w:color="auto"/>
            </w:tcBorders>
            <w:shd w:val="clear" w:color="auto" w:fill="auto"/>
          </w:tcPr>
          <w:p w14:paraId="5F3868ED" w14:textId="77777777" w:rsidR="00CA774B" w:rsidRPr="009C3D40" w:rsidRDefault="00CA774B" w:rsidP="004477D5">
            <w:pPr>
              <w:rPr>
                <w:rFonts w:ascii="Calibri" w:hAnsi="Calibri"/>
                <w:b w:val="0"/>
                <w:sz w:val="20"/>
              </w:rPr>
            </w:pPr>
            <w:r w:rsidRPr="001C4413">
              <w:rPr>
                <w:sz w:val="20"/>
                <w:szCs w:val="22"/>
              </w:rPr>
              <w:t>Calculation</w:t>
            </w:r>
          </w:p>
        </w:tc>
      </w:tr>
      <w:tr w:rsidR="00CA774B" w:rsidRPr="00D10ED2" w14:paraId="01AF9BB5" w14:textId="77777777" w:rsidTr="004477D5">
        <w:tc>
          <w:tcPr>
            <w:tcW w:w="1153" w:type="dxa"/>
            <w:tcBorders>
              <w:right w:val="single" w:sz="4" w:space="0" w:color="auto"/>
            </w:tcBorders>
            <w:shd w:val="clear" w:color="auto" w:fill="auto"/>
          </w:tcPr>
          <w:p w14:paraId="2C205D27" w14:textId="77777777" w:rsidR="00CA774B" w:rsidRPr="00D60EDE" w:rsidRDefault="00CA774B" w:rsidP="004477D5">
            <w:pPr>
              <w:keepLines w:val="0"/>
              <w:spacing w:before="0" w:after="200" w:line="276" w:lineRule="auto"/>
              <w:ind w:left="0" w:right="0"/>
              <w:contextualSpacing w:val="0"/>
              <w:rPr>
                <w:rFonts w:asciiTheme="minorHAnsi" w:hAnsiTheme="minorHAnsi" w:cs="Arial"/>
                <w:sz w:val="20"/>
                <w:szCs w:val="22"/>
              </w:rPr>
            </w:pPr>
            <w:r w:rsidRPr="00D60EDE">
              <w:rPr>
                <w:rFonts w:asciiTheme="minorHAnsi" w:hAnsiTheme="minorHAnsi" w:cs="Arial"/>
                <w:sz w:val="20"/>
                <w:szCs w:val="22"/>
              </w:rPr>
              <w:t>Prevalence</w:t>
            </w:r>
          </w:p>
        </w:tc>
        <w:tc>
          <w:tcPr>
            <w:tcW w:w="2670" w:type="dxa"/>
            <w:tcBorders>
              <w:left w:val="single" w:sz="4" w:space="0" w:color="auto"/>
              <w:right w:val="single" w:sz="4" w:space="0" w:color="auto"/>
            </w:tcBorders>
            <w:shd w:val="clear" w:color="auto" w:fill="auto"/>
          </w:tcPr>
          <w:p w14:paraId="70A25A09" w14:textId="77777777" w:rsidR="00CA774B" w:rsidRPr="00D60EDE" w:rsidRDefault="00CA774B" w:rsidP="004477D5">
            <w:pPr>
              <w:keepLines w:val="0"/>
              <w:spacing w:before="0" w:after="200" w:line="276" w:lineRule="auto"/>
              <w:ind w:left="0" w:right="0"/>
              <w:contextualSpacing w:val="0"/>
              <w:rPr>
                <w:rFonts w:asciiTheme="minorHAnsi" w:hAnsiTheme="minorHAnsi" w:cs="Arial"/>
                <w:sz w:val="20"/>
                <w:szCs w:val="22"/>
              </w:rPr>
            </w:pPr>
            <w:proofErr w:type="spellStart"/>
            <w:r w:rsidRPr="00D60EDE">
              <w:rPr>
                <w:rFonts w:asciiTheme="minorHAnsi" w:hAnsiTheme="minorHAnsi" w:cs="Arial"/>
                <w:sz w:val="20"/>
                <w:szCs w:val="22"/>
              </w:rPr>
              <w:t>Percentageof</w:t>
            </w:r>
            <w:proofErr w:type="spellEnd"/>
            <w:r w:rsidRPr="00D60EDE">
              <w:rPr>
                <w:rFonts w:asciiTheme="minorHAnsi" w:hAnsiTheme="minorHAnsi" w:cs="Arial"/>
                <w:sz w:val="20"/>
                <w:szCs w:val="22"/>
              </w:rPr>
              <w:t xml:space="preserve"> patent infections above the detection limit (200 parasites/ul blood) out of the total population</w:t>
            </w:r>
          </w:p>
        </w:tc>
        <w:tc>
          <w:tcPr>
            <w:tcW w:w="5783" w:type="dxa"/>
            <w:tcBorders>
              <w:left w:val="single" w:sz="4" w:space="0" w:color="auto"/>
            </w:tcBorders>
            <w:shd w:val="clear" w:color="auto" w:fill="auto"/>
          </w:tcPr>
          <w:p w14:paraId="1F65064E" w14:textId="77777777" w:rsidR="00CA774B" w:rsidRPr="00D60EDE"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sz w:val="20"/>
                      </w:rPr>
                      <m:t>Pf</m:t>
                    </m:r>
                    <m:r>
                      <m:rPr>
                        <m:sty m:val="p"/>
                      </m:rPr>
                      <w:rPr>
                        <w:rFonts w:ascii="Cambria Math" w:hAnsi="Cambria Math"/>
                        <w:sz w:val="20"/>
                      </w:rPr>
                      <m:t>PR</m:t>
                    </m:r>
                  </m:e>
                  <m:sub>
                    <m:r>
                      <w:rPr>
                        <w:rFonts w:ascii="Cambria Math" w:hAnsi="Cambria Math"/>
                        <w:sz w:val="20"/>
                      </w:rPr>
                      <m:t>jklt</m:t>
                    </m:r>
                  </m:sub>
                </m:sSub>
                <m:r>
                  <w:rPr>
                    <w:rFonts w:ascii="Cambria Math" w:hAnsi="Cambria Math"/>
                    <w:sz w:val="20"/>
                  </w:rPr>
                  <m:t xml:space="preserve"> =</m:t>
                </m:r>
                <m:d>
                  <m:dPr>
                    <m:ctrlPr>
                      <w:rPr>
                        <w:rFonts w:ascii="Cambria Math" w:hAnsi="Cambria Math" w:cs="Arial"/>
                        <w:i/>
                        <w:sz w:val="20"/>
                      </w:rPr>
                    </m:ctrlPr>
                  </m:dPr>
                  <m:e>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sz w:val="20"/>
                              </w:rPr>
                              <m:t>nPatent</m:t>
                            </m:r>
                          </m:e>
                          <m:sub>
                            <m:r>
                              <w:rPr>
                                <w:rFonts w:ascii="Cambria Math" w:hAnsi="Cambria Math"/>
                                <w:sz w:val="20"/>
                              </w:rPr>
                              <m:t>jklt</m:t>
                            </m:r>
                          </m:sub>
                        </m:sSub>
                      </m:num>
                      <m:den>
                        <m:sSub>
                          <m:sSubPr>
                            <m:ctrlPr>
                              <w:rPr>
                                <w:rFonts w:ascii="Cambria Math" w:hAnsi="Cambria Math" w:cs="Arial"/>
                                <w:i/>
                                <w:sz w:val="20"/>
                              </w:rPr>
                            </m:ctrlPr>
                          </m:sSubPr>
                          <m:e>
                            <m:r>
                              <w:rPr>
                                <w:rFonts w:ascii="Cambria Math" w:hAnsi="Cambria Math"/>
                                <w:sz w:val="20"/>
                              </w:rPr>
                              <m:t>nHost</m:t>
                            </m:r>
                          </m:e>
                          <m:sub>
                            <m:r>
                              <w:rPr>
                                <w:rFonts w:ascii="Cambria Math" w:hAnsi="Cambria Math"/>
                                <w:sz w:val="20"/>
                              </w:rPr>
                              <m:t>jklt</m:t>
                            </m:r>
                          </m:sub>
                        </m:sSub>
                      </m:den>
                    </m:f>
                  </m:e>
                </m:d>
              </m:oMath>
            </m:oMathPara>
          </w:p>
        </w:tc>
      </w:tr>
      <w:tr w:rsidR="00CA774B" w:rsidRPr="00D10ED2" w14:paraId="34B68E97" w14:textId="77777777" w:rsidTr="004477D5">
        <w:tc>
          <w:tcPr>
            <w:tcW w:w="1153" w:type="dxa"/>
            <w:tcBorders>
              <w:right w:val="single" w:sz="4" w:space="0" w:color="auto"/>
            </w:tcBorders>
          </w:tcPr>
          <w:p w14:paraId="48F5192A"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Incidence</w:t>
            </w:r>
          </w:p>
        </w:tc>
        <w:tc>
          <w:tcPr>
            <w:tcW w:w="2670" w:type="dxa"/>
            <w:tcBorders>
              <w:left w:val="single" w:sz="4" w:space="0" w:color="auto"/>
              <w:right w:val="single" w:sz="4" w:space="0" w:color="auto"/>
            </w:tcBorders>
          </w:tcPr>
          <w:p w14:paraId="7DD332C1"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The number of all symptomatic malaria infections per 1000 population, regardless of health seeking behaviour.</w:t>
            </w:r>
          </w:p>
        </w:tc>
        <w:tc>
          <w:tcPr>
            <w:tcW w:w="5783" w:type="dxa"/>
            <w:tcBorders>
              <w:left w:val="single" w:sz="4" w:space="0" w:color="auto"/>
            </w:tcBorders>
          </w:tcPr>
          <w:p w14:paraId="2A4F066F" w14:textId="77777777" w:rsidR="00CA774B" w:rsidRPr="00D60EDE"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Incidence</m:t>
                    </m:r>
                  </m:e>
                  <m:sub>
                    <m:r>
                      <w:rPr>
                        <w:rFonts w:ascii="Cambria Math" w:hAnsi="Cambria Math" w:cs="Arial"/>
                        <w:sz w:val="20"/>
                      </w:rPr>
                      <m:t>jklt</m:t>
                    </m:r>
                  </m:sub>
                </m:sSub>
                <m:r>
                  <w:rPr>
                    <w:rFonts w:ascii="Cambria Math" w:hAnsi="Cambria Math" w:cs="Arial"/>
                    <w:sz w:val="20"/>
                  </w:rPr>
                  <m:t>=</m:t>
                </m:r>
                <m:d>
                  <m:dPr>
                    <m:ctrlPr>
                      <w:rPr>
                        <w:rFonts w:ascii="Cambria Math" w:hAnsi="Cambria Math" w:cs="Arial"/>
                        <w:i/>
                        <w:sz w:val="20"/>
                      </w:rPr>
                    </m:ctrlPr>
                  </m:dPr>
                  <m:e>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nUncomplicated</m:t>
                            </m:r>
                          </m:e>
                          <m:sub>
                            <m:r>
                              <w:rPr>
                                <w:rFonts w:ascii="Cambria Math" w:hAnsi="Cambria Math" w:cs="Arial"/>
                                <w:sz w:val="20"/>
                              </w:rPr>
                              <m:t>jklt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nSevere</m:t>
                            </m:r>
                          </m:e>
                          <m:sub>
                            <m:r>
                              <w:rPr>
                                <w:rFonts w:ascii="Cambria Math" w:hAnsi="Cambria Math" w:cs="Arial"/>
                                <w:sz w:val="20"/>
                              </w:rPr>
                              <m:t>jklt</m:t>
                            </m:r>
                          </m:sub>
                        </m:sSub>
                      </m:num>
                      <m:den>
                        <m:sSub>
                          <m:sSubPr>
                            <m:ctrlPr>
                              <w:rPr>
                                <w:rFonts w:ascii="Cambria Math" w:hAnsi="Cambria Math" w:cs="Arial"/>
                                <w:i/>
                                <w:sz w:val="20"/>
                              </w:rPr>
                            </m:ctrlPr>
                          </m:sSubPr>
                          <m:e>
                            <m:r>
                              <w:rPr>
                                <w:rFonts w:ascii="Cambria Math" w:hAnsi="Cambria Math" w:cs="Arial"/>
                                <w:sz w:val="20"/>
                              </w:rPr>
                              <m:t>nHost</m:t>
                            </m:r>
                          </m:e>
                          <m:sub>
                            <m:r>
                              <w:rPr>
                                <w:rFonts w:ascii="Cambria Math" w:hAnsi="Cambria Math" w:cs="Arial"/>
                                <w:sz w:val="20"/>
                              </w:rPr>
                              <m:t>k</m:t>
                            </m:r>
                          </m:sub>
                        </m:sSub>
                      </m:den>
                    </m:f>
                  </m:e>
                </m:d>
                <m:r>
                  <w:rPr>
                    <w:rFonts w:ascii="Cambria Math" w:hAnsi="Cambria Math" w:cs="Arial"/>
                    <w:sz w:val="20"/>
                  </w:rPr>
                  <m:t>*1000</m:t>
                </m:r>
              </m:oMath>
            </m:oMathPara>
          </w:p>
        </w:tc>
      </w:tr>
      <w:tr w:rsidR="00CA774B" w:rsidRPr="00D10ED2" w14:paraId="2DE98DA8" w14:textId="77777777" w:rsidTr="004477D5">
        <w:tc>
          <w:tcPr>
            <w:tcW w:w="1153" w:type="dxa"/>
            <w:tcBorders>
              <w:right w:val="single" w:sz="4" w:space="0" w:color="auto"/>
            </w:tcBorders>
          </w:tcPr>
          <w:p w14:paraId="5A890E85"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Malaria cases</w:t>
            </w:r>
          </w:p>
        </w:tc>
        <w:tc>
          <w:tcPr>
            <w:tcW w:w="2670" w:type="dxa"/>
            <w:tcBorders>
              <w:left w:val="single" w:sz="4" w:space="0" w:color="auto"/>
              <w:right w:val="single" w:sz="4" w:space="0" w:color="auto"/>
            </w:tcBorders>
          </w:tcPr>
          <w:p w14:paraId="56FEF216"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The number of all symptomatic malaria infections per council population, regardless of health seeking behaviour.</w:t>
            </w:r>
          </w:p>
        </w:tc>
        <w:tc>
          <w:tcPr>
            <w:tcW w:w="5783" w:type="dxa"/>
            <w:tcBorders>
              <w:left w:val="single" w:sz="4" w:space="0" w:color="auto"/>
            </w:tcBorders>
          </w:tcPr>
          <w:p w14:paraId="0D9A13CE" w14:textId="77777777" w:rsidR="00CA774B" w:rsidRPr="009C3D40"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Cases.U</m:t>
                    </m:r>
                  </m:e>
                  <m:sub>
                    <m:r>
                      <w:rPr>
                        <w:rFonts w:ascii="Cambria Math" w:hAnsi="Cambria Math" w:cs="Arial"/>
                        <w:sz w:val="20"/>
                      </w:rPr>
                      <m:t>jklt</m:t>
                    </m:r>
                  </m:sub>
                </m:sSub>
                <m:r>
                  <w:rPr>
                    <w:rFonts w:ascii="Cambria Math" w:hAnsi="Cambria Math" w:cs="Arial"/>
                    <w:sz w:val="20"/>
                  </w:rPr>
                  <m:t>=</m:t>
                </m:r>
                <m:d>
                  <m:dPr>
                    <m:ctrlPr>
                      <w:rPr>
                        <w:rFonts w:ascii="Cambria Math" w:hAnsi="Cambria Math" w:cs="Arial"/>
                        <w:i/>
                        <w:sz w:val="20"/>
                      </w:rPr>
                    </m:ctrlPr>
                  </m:dPr>
                  <m:e>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nUncomplicated</m:t>
                            </m:r>
                          </m:e>
                          <m:sub>
                            <m:r>
                              <w:rPr>
                                <w:rFonts w:ascii="Cambria Math" w:hAnsi="Cambria Math" w:cs="Arial"/>
                                <w:sz w:val="20"/>
                              </w:rPr>
                              <m:t>jklt</m:t>
                            </m:r>
                          </m:sub>
                        </m:sSub>
                      </m:num>
                      <m:den>
                        <m:sSub>
                          <m:sSubPr>
                            <m:ctrlPr>
                              <w:rPr>
                                <w:rFonts w:ascii="Cambria Math" w:hAnsi="Cambria Math" w:cs="Arial"/>
                                <w:i/>
                                <w:sz w:val="20"/>
                              </w:rPr>
                            </m:ctrlPr>
                          </m:sSubPr>
                          <m:e>
                            <m:r>
                              <w:rPr>
                                <w:rFonts w:ascii="Cambria Math" w:hAnsi="Cambria Math" w:cs="Arial"/>
                                <w:sz w:val="20"/>
                              </w:rPr>
                              <m:t>nHost</m:t>
                            </m:r>
                          </m:e>
                          <m:sub>
                            <m:r>
                              <w:rPr>
                                <w:rFonts w:ascii="Cambria Math" w:hAnsi="Cambria Math" w:cs="Arial"/>
                                <w:sz w:val="20"/>
                              </w:rPr>
                              <m:t>k</m:t>
                            </m:r>
                          </m:sub>
                        </m:sSub>
                      </m:den>
                    </m:f>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Population</m:t>
                    </m:r>
                  </m:e>
                  <m:sub>
                    <m:r>
                      <w:rPr>
                        <w:rFonts w:ascii="Cambria Math" w:hAnsi="Cambria Math" w:cs="Arial"/>
                        <w:sz w:val="20"/>
                      </w:rPr>
                      <m:t>2016</m:t>
                    </m:r>
                  </m:sub>
                </m:sSub>
              </m:oMath>
            </m:oMathPara>
          </w:p>
          <w:p w14:paraId="6AF68932" w14:textId="77777777" w:rsidR="00CA774B" w:rsidRPr="009C3D40"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Cases.S</m:t>
                    </m:r>
                  </m:e>
                  <m:sub>
                    <m:r>
                      <w:rPr>
                        <w:rFonts w:ascii="Cambria Math" w:hAnsi="Cambria Math" w:cs="Arial"/>
                        <w:sz w:val="20"/>
                      </w:rPr>
                      <m:t>jklt</m:t>
                    </m:r>
                  </m:sub>
                </m:sSub>
                <m:r>
                  <w:rPr>
                    <w:rFonts w:ascii="Cambria Math" w:hAnsi="Cambria Math" w:cs="Arial"/>
                    <w:sz w:val="20"/>
                  </w:rPr>
                  <m:t>=</m:t>
                </m:r>
                <m:d>
                  <m:dPr>
                    <m:ctrlPr>
                      <w:rPr>
                        <w:rFonts w:ascii="Cambria Math" w:hAnsi="Cambria Math" w:cs="Arial"/>
                        <w:i/>
                        <w:sz w:val="20"/>
                      </w:rPr>
                    </m:ctrlPr>
                  </m:dPr>
                  <m:e>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nSevere</m:t>
                            </m:r>
                          </m:e>
                          <m:sub>
                            <m:r>
                              <w:rPr>
                                <w:rFonts w:ascii="Cambria Math" w:hAnsi="Cambria Math" w:cs="Arial"/>
                                <w:sz w:val="20"/>
                              </w:rPr>
                              <m:t>jklt</m:t>
                            </m:r>
                          </m:sub>
                        </m:sSub>
                      </m:num>
                      <m:den>
                        <m:sSub>
                          <m:sSubPr>
                            <m:ctrlPr>
                              <w:rPr>
                                <w:rFonts w:ascii="Cambria Math" w:hAnsi="Cambria Math" w:cs="Arial"/>
                                <w:i/>
                                <w:sz w:val="20"/>
                              </w:rPr>
                            </m:ctrlPr>
                          </m:sSubPr>
                          <m:e>
                            <m:r>
                              <w:rPr>
                                <w:rFonts w:ascii="Cambria Math" w:hAnsi="Cambria Math" w:cs="Arial"/>
                                <w:sz w:val="20"/>
                              </w:rPr>
                              <m:t>nHost</m:t>
                            </m:r>
                          </m:e>
                          <m:sub>
                            <m:r>
                              <w:rPr>
                                <w:rFonts w:ascii="Cambria Math" w:hAnsi="Cambria Math" w:cs="Arial"/>
                                <w:sz w:val="20"/>
                              </w:rPr>
                              <m:t>k</m:t>
                            </m:r>
                          </m:sub>
                        </m:sSub>
                      </m:den>
                    </m:f>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Population</m:t>
                    </m:r>
                  </m:e>
                  <m:sub>
                    <m:r>
                      <w:rPr>
                        <w:rFonts w:ascii="Cambria Math" w:hAnsi="Cambria Math" w:cs="Arial"/>
                        <w:sz w:val="20"/>
                      </w:rPr>
                      <m:t>2016</m:t>
                    </m:r>
                  </m:sub>
                </m:sSub>
              </m:oMath>
            </m:oMathPara>
          </w:p>
          <w:p w14:paraId="0EFA2852" w14:textId="77777777" w:rsidR="00CA774B" w:rsidRPr="00D60EDE"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jklt</m:t>
                    </m:r>
                  </m:sub>
                </m:sSub>
                <m:r>
                  <w:rPr>
                    <w:rFonts w:ascii="Cambria Math" w:hAnsi="Cambria Math" w:cs="Arial"/>
                    <w:sz w:val="20"/>
                  </w:rPr>
                  <m:t>=</m:t>
                </m:r>
                <m:d>
                  <m:dPr>
                    <m:ctrlPr>
                      <w:rPr>
                        <w:rFonts w:ascii="Cambria Math" w:hAnsi="Cambria Math" w:cs="Arial"/>
                        <w:i/>
                        <w:sz w:val="20"/>
                      </w:rPr>
                    </m:ctrlPr>
                  </m:dPr>
                  <m:e>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nUncomplicated</m:t>
                            </m:r>
                          </m:e>
                          <m:sub>
                            <m:r>
                              <w:rPr>
                                <w:rFonts w:ascii="Cambria Math" w:hAnsi="Cambria Math" w:cs="Arial"/>
                                <w:sz w:val="20"/>
                              </w:rPr>
                              <m:t>jklt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nSevere</m:t>
                            </m:r>
                          </m:e>
                          <m:sub>
                            <m:r>
                              <w:rPr>
                                <w:rFonts w:ascii="Cambria Math" w:hAnsi="Cambria Math" w:cs="Arial"/>
                                <w:sz w:val="20"/>
                              </w:rPr>
                              <m:t>jklt</m:t>
                            </m:r>
                          </m:sub>
                        </m:sSub>
                      </m:num>
                      <m:den>
                        <m:sSub>
                          <m:sSubPr>
                            <m:ctrlPr>
                              <w:rPr>
                                <w:rFonts w:ascii="Cambria Math" w:hAnsi="Cambria Math" w:cs="Arial"/>
                                <w:i/>
                                <w:sz w:val="20"/>
                              </w:rPr>
                            </m:ctrlPr>
                          </m:sSubPr>
                          <m:e>
                            <m:r>
                              <w:rPr>
                                <w:rFonts w:ascii="Cambria Math" w:hAnsi="Cambria Math" w:cs="Arial"/>
                                <w:sz w:val="20"/>
                              </w:rPr>
                              <m:t>nHost</m:t>
                            </m:r>
                          </m:e>
                          <m:sub>
                            <m:r>
                              <w:rPr>
                                <w:rFonts w:ascii="Cambria Math" w:hAnsi="Cambria Math" w:cs="Arial"/>
                                <w:sz w:val="20"/>
                              </w:rPr>
                              <m:t>k</m:t>
                            </m:r>
                          </m:sub>
                        </m:sSub>
                      </m:den>
                    </m:f>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Population</m:t>
                    </m:r>
                  </m:e>
                  <m:sub>
                    <m:r>
                      <w:rPr>
                        <w:rFonts w:ascii="Cambria Math" w:hAnsi="Cambria Math" w:cs="Arial"/>
                        <w:sz w:val="20"/>
                      </w:rPr>
                      <m:t>2016</m:t>
                    </m:r>
                  </m:sub>
                </m:sSub>
              </m:oMath>
            </m:oMathPara>
          </w:p>
        </w:tc>
      </w:tr>
      <w:tr w:rsidR="00CA774B" w:rsidRPr="00D10ED2" w14:paraId="2C9CAD64" w14:textId="77777777" w:rsidTr="004477D5">
        <w:tc>
          <w:tcPr>
            <w:tcW w:w="1153" w:type="dxa"/>
            <w:tcBorders>
              <w:right w:val="single" w:sz="4" w:space="0" w:color="auto"/>
            </w:tcBorders>
          </w:tcPr>
          <w:p w14:paraId="73EC44E3"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Malaria cases averted</w:t>
            </w:r>
          </w:p>
        </w:tc>
        <w:tc>
          <w:tcPr>
            <w:tcW w:w="2670" w:type="dxa"/>
            <w:tcBorders>
              <w:left w:val="single" w:sz="4" w:space="0" w:color="auto"/>
              <w:right w:val="single" w:sz="4" w:space="0" w:color="auto"/>
            </w:tcBorders>
          </w:tcPr>
          <w:p w14:paraId="4A1BB705"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The number of malaria cases averted by interven</w:t>
            </w:r>
            <w:r>
              <w:rPr>
                <w:rFonts w:asciiTheme="minorHAnsi" w:hAnsiTheme="minorHAnsi" w:cs="Arial"/>
                <w:sz w:val="20"/>
                <w:szCs w:val="22"/>
              </w:rPr>
              <w:t>tion compared to the counterfactual.</w:t>
            </w:r>
          </w:p>
        </w:tc>
        <w:tc>
          <w:tcPr>
            <w:tcW w:w="5783" w:type="dxa"/>
            <w:tcBorders>
              <w:left w:val="single" w:sz="4" w:space="0" w:color="auto"/>
            </w:tcBorders>
          </w:tcPr>
          <w:p w14:paraId="24490CB7" w14:textId="77777777" w:rsidR="00CA774B" w:rsidRPr="009C3D40"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Cases.Averted.U</m:t>
                    </m:r>
                  </m:e>
                  <m:sub>
                    <m:r>
                      <w:rPr>
                        <w:rFonts w:ascii="Cambria Math" w:hAnsi="Cambria Math" w:cs="Arial"/>
                        <w:sz w:val="20"/>
                      </w:rPr>
                      <m:t>jklt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Cases.U</m:t>
                    </m:r>
                  </m:e>
                  <m:sub>
                    <m:r>
                      <w:rPr>
                        <w:rFonts w:ascii="Cambria Math" w:hAnsi="Cambria Math" w:cs="Arial"/>
                        <w:sz w:val="20"/>
                      </w:rPr>
                      <m:t>jkct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Cases.U</m:t>
                    </m:r>
                  </m:e>
                  <m:sub>
                    <m:r>
                      <w:rPr>
                        <w:rFonts w:ascii="Cambria Math" w:hAnsi="Cambria Math" w:cs="Arial"/>
                        <w:sz w:val="20"/>
                      </w:rPr>
                      <m:t>jklt</m:t>
                    </m:r>
                  </m:sub>
                </m:sSub>
              </m:oMath>
            </m:oMathPara>
          </w:p>
          <w:p w14:paraId="2179906A" w14:textId="77777777" w:rsidR="00CA774B" w:rsidRPr="009C3D40"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Cases.Averted.S</m:t>
                    </m:r>
                  </m:e>
                  <m:sub>
                    <m:r>
                      <w:rPr>
                        <w:rFonts w:ascii="Cambria Math" w:hAnsi="Cambria Math" w:cs="Arial"/>
                        <w:sz w:val="20"/>
                      </w:rPr>
                      <m:t>jklt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Cases.S</m:t>
                    </m:r>
                  </m:e>
                  <m:sub>
                    <m:r>
                      <w:rPr>
                        <w:rFonts w:ascii="Cambria Math" w:hAnsi="Cambria Math" w:cs="Arial"/>
                        <w:sz w:val="20"/>
                      </w:rPr>
                      <m:t>jkct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Cases.S</m:t>
                    </m:r>
                  </m:e>
                  <m:sub>
                    <m:r>
                      <w:rPr>
                        <w:rFonts w:ascii="Cambria Math" w:hAnsi="Cambria Math" w:cs="Arial"/>
                        <w:sz w:val="20"/>
                      </w:rPr>
                      <m:t>jklt</m:t>
                    </m:r>
                  </m:sub>
                </m:sSub>
              </m:oMath>
            </m:oMathPara>
          </w:p>
          <w:p w14:paraId="4FA5F45F" w14:textId="77777777" w:rsidR="00CA774B" w:rsidRPr="00D60EDE"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Cases.Averted</m:t>
                    </m:r>
                  </m:e>
                  <m:sub>
                    <m:r>
                      <w:rPr>
                        <w:rFonts w:ascii="Cambria Math" w:hAnsi="Cambria Math" w:cs="Arial"/>
                        <w:sz w:val="20"/>
                      </w:rPr>
                      <m:t>jklt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jkct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jklt</m:t>
                    </m:r>
                  </m:sub>
                </m:sSub>
              </m:oMath>
            </m:oMathPara>
          </w:p>
        </w:tc>
      </w:tr>
      <w:tr w:rsidR="00CA774B" w:rsidRPr="00D10ED2" w14:paraId="08D11D58" w14:textId="77777777" w:rsidTr="004477D5">
        <w:tc>
          <w:tcPr>
            <w:tcW w:w="1153" w:type="dxa"/>
            <w:tcBorders>
              <w:right w:val="single" w:sz="4" w:space="0" w:color="auto"/>
            </w:tcBorders>
          </w:tcPr>
          <w:p w14:paraId="11B496BE"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Relative reduction in malaria cases</w:t>
            </w:r>
          </w:p>
        </w:tc>
        <w:tc>
          <w:tcPr>
            <w:tcW w:w="2670" w:type="dxa"/>
            <w:tcBorders>
              <w:left w:val="single" w:sz="4" w:space="0" w:color="auto"/>
              <w:right w:val="single" w:sz="4" w:space="0" w:color="auto"/>
            </w:tcBorders>
          </w:tcPr>
          <w:p w14:paraId="5807C074" w14:textId="77777777" w:rsidR="00CA774B" w:rsidRPr="009C3D40" w:rsidRDefault="00CA774B" w:rsidP="004477D5">
            <w:pPr>
              <w:keepLines w:val="0"/>
              <w:spacing w:before="0" w:after="200" w:line="276" w:lineRule="auto"/>
              <w:ind w:left="0" w:right="0"/>
              <w:contextualSpacing w:val="0"/>
              <w:rPr>
                <w:rFonts w:asciiTheme="minorHAnsi" w:hAnsiTheme="minorHAnsi" w:cs="Arial"/>
                <w:sz w:val="20"/>
                <w:szCs w:val="22"/>
              </w:rPr>
            </w:pPr>
            <w:r w:rsidRPr="009C3D40">
              <w:rPr>
                <w:rFonts w:asciiTheme="minorHAnsi" w:hAnsiTheme="minorHAnsi" w:cs="Arial"/>
                <w:sz w:val="20"/>
                <w:szCs w:val="22"/>
              </w:rPr>
              <w:t xml:space="preserve">The number of malaria cases averted by intervention compared to </w:t>
            </w:r>
            <w:r>
              <w:rPr>
                <w:rFonts w:asciiTheme="minorHAnsi" w:hAnsiTheme="minorHAnsi" w:cs="Arial"/>
                <w:sz w:val="20"/>
                <w:szCs w:val="22"/>
              </w:rPr>
              <w:t xml:space="preserve">the </w:t>
            </w:r>
            <w:r w:rsidRPr="009C3D40">
              <w:rPr>
                <w:rFonts w:asciiTheme="minorHAnsi" w:hAnsiTheme="minorHAnsi" w:cs="Arial"/>
                <w:sz w:val="20"/>
                <w:szCs w:val="22"/>
              </w:rPr>
              <w:t xml:space="preserve">counterfactual </w:t>
            </w:r>
          </w:p>
        </w:tc>
        <w:tc>
          <w:tcPr>
            <w:tcW w:w="5783" w:type="dxa"/>
            <w:tcBorders>
              <w:left w:val="single" w:sz="4" w:space="0" w:color="auto"/>
            </w:tcBorders>
          </w:tcPr>
          <w:p w14:paraId="3C6EFC48" w14:textId="77777777" w:rsidR="00CA774B" w:rsidRPr="00D60EDE" w:rsidRDefault="008E700E" w:rsidP="004477D5">
            <w:pPr>
              <w:keepLines w:val="0"/>
              <w:spacing w:before="0" w:after="200" w:line="276" w:lineRule="auto"/>
              <w:ind w:left="0" w:right="0"/>
              <w:contextualSpacing w:val="0"/>
              <w:rPr>
                <w:rFonts w:cs="Arial"/>
                <w:sz w:val="20"/>
              </w:rPr>
            </w:pPr>
            <m:oMathPara>
              <m:oMathParaPr>
                <m:jc m:val="left"/>
              </m:oMathParaPr>
              <m:oMath>
                <m:sSub>
                  <m:sSubPr>
                    <m:ctrlPr>
                      <w:rPr>
                        <w:rFonts w:ascii="Cambria Math" w:hAnsi="Cambria Math" w:cs="Arial"/>
                        <w:i/>
                        <w:sz w:val="20"/>
                      </w:rPr>
                    </m:ctrlPr>
                  </m:sSubPr>
                  <m:e>
                    <m:r>
                      <w:rPr>
                        <w:rFonts w:ascii="Cambria Math" w:hAnsi="Cambria Math" w:cs="Arial"/>
                        <w:sz w:val="20"/>
                      </w:rPr>
                      <m:t>Cases.red.perc</m:t>
                    </m:r>
                  </m:e>
                  <m:sub>
                    <m:r>
                      <w:rPr>
                        <w:rFonts w:ascii="Cambria Math" w:hAnsi="Cambria Math" w:cs="Arial"/>
                        <w:sz w:val="20"/>
                      </w:rPr>
                      <m:t>jklt</m:t>
                    </m:r>
                  </m:sub>
                </m:sSub>
                <m:r>
                  <w:rPr>
                    <w:rFonts w:ascii="Cambria Math" w:hAnsi="Cambria Math" w:cs="Arial"/>
                    <w:sz w:val="20"/>
                  </w:rPr>
                  <m:t>=</m:t>
                </m:r>
                <m:d>
                  <m:dPr>
                    <m:ctrlPr>
                      <w:rPr>
                        <w:rFonts w:ascii="Cambria Math" w:hAnsi="Cambria Math" w:cs="Arial"/>
                        <w:i/>
                        <w:sz w:val="20"/>
                      </w:rPr>
                    </m:ctrlPr>
                  </m:dPr>
                  <m:e>
                    <m:f>
                      <m:fPr>
                        <m:ctrlPr>
                          <w:rPr>
                            <w:rFonts w:ascii="Cambria Math" w:hAnsi="Cambria Math" w:cs="Arial"/>
                            <w:i/>
                            <w:sz w:val="20"/>
                          </w:rPr>
                        </m:ctrlPr>
                      </m:fPr>
                      <m:num>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jkct</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jklt</m:t>
                                </m:r>
                              </m:sub>
                            </m:sSub>
                          </m:e>
                        </m:d>
                      </m:num>
                      <m:den>
                        <m:sSub>
                          <m:sSubPr>
                            <m:ctrlPr>
                              <w:rPr>
                                <w:rFonts w:ascii="Cambria Math" w:hAnsi="Cambria Math" w:cs="Arial"/>
                                <w:i/>
                                <w:sz w:val="20"/>
                              </w:rPr>
                            </m:ctrlPr>
                          </m:sSubPr>
                          <m:e>
                            <m:r>
                              <w:rPr>
                                <w:rFonts w:ascii="Cambria Math" w:hAnsi="Cambria Math" w:cs="Arial"/>
                                <w:sz w:val="20"/>
                              </w:rPr>
                              <m:t>Cases</m:t>
                            </m:r>
                          </m:e>
                          <m:sub>
                            <m:r>
                              <w:rPr>
                                <w:rFonts w:ascii="Cambria Math" w:hAnsi="Cambria Math" w:cs="Arial"/>
                                <w:sz w:val="20"/>
                              </w:rPr>
                              <m:t>tjkc</m:t>
                            </m:r>
                          </m:sub>
                        </m:sSub>
                      </m:den>
                    </m:f>
                  </m:e>
                </m:d>
                <m:r>
                  <w:rPr>
                    <w:rFonts w:ascii="Cambria Math" w:hAnsi="Cambria Math" w:cs="Arial"/>
                    <w:sz w:val="20"/>
                  </w:rPr>
                  <m:t>*100</m:t>
                </m:r>
              </m:oMath>
            </m:oMathPara>
          </w:p>
        </w:tc>
      </w:tr>
    </w:tbl>
    <w:p w14:paraId="595F5B82" w14:textId="77777777" w:rsidR="00CA774B" w:rsidRDefault="00CA774B" w:rsidP="00CA774B">
      <w:pPr>
        <w:rPr>
          <w:b/>
        </w:rPr>
      </w:pPr>
    </w:p>
    <w:p w14:paraId="3A468050" w14:textId="77777777" w:rsidR="00CA774B" w:rsidRPr="001C4413" w:rsidRDefault="00CA774B" w:rsidP="00CA774B">
      <w:pPr>
        <w:rPr>
          <w:b/>
        </w:rPr>
      </w:pPr>
      <w:r w:rsidRPr="001C4413">
        <w:rPr>
          <w:b/>
        </w:rPr>
        <w:t>Costs estimates</w:t>
      </w:r>
    </w:p>
    <w:p w14:paraId="3DB56118" w14:textId="77777777" w:rsidR="00CA774B" w:rsidRDefault="00CA774B" w:rsidP="00CA774B">
      <w:pPr>
        <w:spacing w:after="0" w:line="360" w:lineRule="auto"/>
        <w:jc w:val="both"/>
      </w:pPr>
      <w:r w:rsidRPr="00092331">
        <w:t>All intervention costs were costs per person in USD</w:t>
      </w:r>
      <w:r>
        <w:t xml:space="preserve"> (Table S2.6)</w:t>
      </w:r>
      <w:r w:rsidRPr="00092331">
        <w:t xml:space="preserve">. The numbers of rounds of </w:t>
      </w:r>
      <w:r>
        <w:rPr>
          <w:noProof/>
        </w:rPr>
        <w:t xml:space="preserve">an </w:t>
      </w:r>
      <w:r w:rsidRPr="00092331">
        <w:rPr>
          <w:noProof/>
        </w:rPr>
        <w:t>intervention</w:t>
      </w:r>
      <w:r w:rsidRPr="00092331">
        <w:t xml:space="preserve"> were per year and had the values “0” for no intervention deployment and “1” for intervention deployment. The cost calculation for school net distribution took into account that with time more nets need to be distributed to maintain a certain co</w:t>
      </w:r>
      <w:r>
        <w:t xml:space="preserve">verage level in the population. </w:t>
      </w:r>
      <w:r w:rsidRPr="00092331">
        <w:t xml:space="preserve">The annual total costs were calculated per </w:t>
      </w:r>
      <w:r>
        <w:t>council</w:t>
      </w:r>
      <w:r w:rsidRPr="00092331">
        <w:t xml:space="preserve">, considering the </w:t>
      </w:r>
      <w:r>
        <w:t>council</w:t>
      </w:r>
      <w:r w:rsidRPr="00092331">
        <w:t xml:space="preserve"> population of 2016. The costs of each scenario were summed over the years 2017-2020 and interventions in that strategy. Three types of cost </w:t>
      </w:r>
      <w:r w:rsidRPr="00092331">
        <w:rPr>
          <w:noProof/>
        </w:rPr>
        <w:t>were generated</w:t>
      </w:r>
      <w:r w:rsidRPr="00092331">
        <w:t xml:space="preserve"> per scenario: total net costs, total costs, and total intervention costs (excluding CM). The treatment savings (treatment costs from cases averted) </w:t>
      </w:r>
      <w:r w:rsidRPr="00092331">
        <w:rPr>
          <w:noProof/>
        </w:rPr>
        <w:t>were subtracted</w:t>
      </w:r>
      <w:r w:rsidRPr="00092331">
        <w:t xml:space="preserve"> from the total net cost</w:t>
      </w:r>
      <w:r>
        <w:t xml:space="preserve"> (Table S2.7)</w:t>
      </w:r>
      <w:r w:rsidRPr="00092331">
        <w:t xml:space="preserve">. </w:t>
      </w:r>
    </w:p>
    <w:p w14:paraId="725A9C00" w14:textId="77777777" w:rsidR="00CA774B" w:rsidRDefault="00CA774B" w:rsidP="00CA774B">
      <w:pPr>
        <w:spacing w:after="0" w:line="360" w:lineRule="auto"/>
        <w:jc w:val="both"/>
      </w:pPr>
    </w:p>
    <w:p w14:paraId="191F9461" w14:textId="4432ECB6" w:rsidR="00CA774B" w:rsidRPr="00810E50" w:rsidRDefault="00CA774B" w:rsidP="00CA774B">
      <w:pPr>
        <w:pStyle w:val="Caption"/>
        <w:keepNext/>
        <w:spacing w:before="0" w:after="0" w:line="360" w:lineRule="auto"/>
        <w:rPr>
          <w:rFonts w:asciiTheme="minorHAnsi" w:hAnsiTheme="minorHAnsi"/>
          <w:b/>
        </w:rPr>
      </w:pPr>
      <w:r w:rsidRPr="00810E50">
        <w:rPr>
          <w:rFonts w:asciiTheme="minorHAnsi" w:hAnsiTheme="minorHAnsi"/>
          <w:b/>
        </w:rPr>
        <w:lastRenderedPageBreak/>
        <w:t xml:space="preserve">Table </w:t>
      </w:r>
      <w:r>
        <w:rPr>
          <w:rFonts w:asciiTheme="minorHAnsi" w:hAnsiTheme="minorHAnsi"/>
          <w:b/>
        </w:rPr>
        <w:t>S</w:t>
      </w:r>
      <w:r w:rsidR="00761D9A">
        <w:rPr>
          <w:rFonts w:asciiTheme="minorHAnsi" w:hAnsiTheme="minorHAnsi"/>
          <w:b/>
        </w:rPr>
        <w:t>3</w:t>
      </w:r>
      <w:r>
        <w:rPr>
          <w:rFonts w:asciiTheme="minorHAnsi" w:hAnsiTheme="minorHAnsi"/>
          <w:b/>
        </w:rPr>
        <w:t>.</w:t>
      </w:r>
      <w:r w:rsidR="00761D9A">
        <w:rPr>
          <w:rFonts w:asciiTheme="minorHAnsi" w:hAnsiTheme="minorHAnsi"/>
          <w:b/>
        </w:rPr>
        <w:t>3</w:t>
      </w:r>
      <w:r w:rsidRPr="00810E50">
        <w:rPr>
          <w:rFonts w:asciiTheme="minorHAnsi" w:hAnsiTheme="minorHAnsi"/>
          <w:b/>
        </w:rPr>
        <w:t>: Unit costs per intervention</w:t>
      </w:r>
      <w:r>
        <w:rPr>
          <w:rFonts w:asciiTheme="minorHAnsi" w:hAnsiTheme="minorHAnsi"/>
          <w:b/>
        </w:rPr>
        <w:t>.</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2117"/>
        <w:gridCol w:w="2683"/>
        <w:gridCol w:w="3253"/>
      </w:tblGrid>
      <w:tr w:rsidR="00CA774B" w:rsidRPr="00810E50" w14:paraId="39192C23" w14:textId="77777777" w:rsidTr="004477D5">
        <w:trPr>
          <w:cnfStyle w:val="100000000000" w:firstRow="1" w:lastRow="0" w:firstColumn="0" w:lastColumn="0" w:oddVBand="0" w:evenVBand="0" w:oddHBand="0" w:evenHBand="0" w:firstRowFirstColumn="0" w:firstRowLastColumn="0" w:lastRowFirstColumn="0" w:lastRowLastColumn="0"/>
        </w:trPr>
        <w:tc>
          <w:tcPr>
            <w:tcW w:w="561" w:type="pct"/>
            <w:tcBorders>
              <w:top w:val="single" w:sz="4" w:space="0" w:color="auto"/>
              <w:bottom w:val="single" w:sz="4" w:space="0" w:color="auto"/>
            </w:tcBorders>
            <w:shd w:val="clear" w:color="auto" w:fill="auto"/>
          </w:tcPr>
          <w:p w14:paraId="6B8C01C3" w14:textId="77777777" w:rsidR="00CA774B" w:rsidRPr="00810E50" w:rsidRDefault="00CA774B" w:rsidP="004477D5">
            <w:pPr>
              <w:pStyle w:val="Caption"/>
              <w:keepNext/>
              <w:rPr>
                <w:rFonts w:asciiTheme="minorHAnsi" w:hAnsiTheme="minorHAnsi"/>
              </w:rPr>
            </w:pPr>
          </w:p>
        </w:tc>
        <w:tc>
          <w:tcPr>
            <w:tcW w:w="1167" w:type="pct"/>
            <w:tcBorders>
              <w:top w:val="single" w:sz="4" w:space="0" w:color="auto"/>
              <w:bottom w:val="single" w:sz="4" w:space="0" w:color="auto"/>
            </w:tcBorders>
            <w:shd w:val="clear" w:color="auto" w:fill="auto"/>
          </w:tcPr>
          <w:p w14:paraId="752C7C57" w14:textId="77777777" w:rsidR="00CA774B" w:rsidRPr="00810E50" w:rsidRDefault="00CA774B" w:rsidP="004477D5">
            <w:pPr>
              <w:pStyle w:val="Caption"/>
              <w:keepNext/>
              <w:rPr>
                <w:rFonts w:asciiTheme="minorHAnsi" w:hAnsiTheme="minorHAnsi"/>
              </w:rPr>
            </w:pPr>
            <w:r w:rsidRPr="00810E50">
              <w:rPr>
                <w:rFonts w:asciiTheme="minorHAnsi" w:hAnsiTheme="minorHAnsi"/>
              </w:rPr>
              <w:t>Cost</w:t>
            </w:r>
          </w:p>
        </w:tc>
        <w:tc>
          <w:tcPr>
            <w:tcW w:w="1479" w:type="pct"/>
            <w:tcBorders>
              <w:top w:val="single" w:sz="4" w:space="0" w:color="auto"/>
              <w:bottom w:val="single" w:sz="4" w:space="0" w:color="auto"/>
            </w:tcBorders>
            <w:shd w:val="clear" w:color="auto" w:fill="auto"/>
          </w:tcPr>
          <w:p w14:paraId="46AB0207" w14:textId="77777777" w:rsidR="00CA774B" w:rsidRPr="00810E50" w:rsidRDefault="00CA774B" w:rsidP="004477D5">
            <w:pPr>
              <w:pStyle w:val="Caption"/>
              <w:keepNext/>
              <w:rPr>
                <w:rFonts w:asciiTheme="minorHAnsi" w:hAnsiTheme="minorHAnsi"/>
              </w:rPr>
            </w:pPr>
            <w:r w:rsidRPr="00810E50">
              <w:rPr>
                <w:rFonts w:asciiTheme="minorHAnsi" w:hAnsiTheme="minorHAnsi"/>
              </w:rPr>
              <w:t>Unit</w:t>
            </w:r>
          </w:p>
        </w:tc>
        <w:tc>
          <w:tcPr>
            <w:tcW w:w="1793" w:type="pct"/>
            <w:tcBorders>
              <w:top w:val="single" w:sz="4" w:space="0" w:color="auto"/>
              <w:bottom w:val="single" w:sz="4" w:space="0" w:color="auto"/>
            </w:tcBorders>
            <w:shd w:val="clear" w:color="auto" w:fill="auto"/>
          </w:tcPr>
          <w:p w14:paraId="29799A17" w14:textId="77777777" w:rsidR="00CA774B" w:rsidRPr="00810E50" w:rsidRDefault="00CA774B" w:rsidP="004477D5">
            <w:pPr>
              <w:pStyle w:val="Caption"/>
              <w:keepNext/>
              <w:rPr>
                <w:rFonts w:asciiTheme="minorHAnsi" w:hAnsiTheme="minorHAnsi"/>
              </w:rPr>
            </w:pPr>
            <w:r w:rsidRPr="00810E50">
              <w:rPr>
                <w:rFonts w:asciiTheme="minorHAnsi" w:hAnsiTheme="minorHAnsi"/>
              </w:rPr>
              <w:t>Source</w:t>
            </w:r>
          </w:p>
        </w:tc>
      </w:tr>
      <w:tr w:rsidR="00CA774B" w:rsidRPr="00810E50" w14:paraId="131E44D8" w14:textId="77777777" w:rsidTr="004477D5">
        <w:tc>
          <w:tcPr>
            <w:tcW w:w="561" w:type="pct"/>
            <w:tcBorders>
              <w:top w:val="single" w:sz="4" w:space="0" w:color="auto"/>
              <w:bottom w:val="single" w:sz="4" w:space="0" w:color="auto"/>
            </w:tcBorders>
            <w:shd w:val="clear" w:color="auto" w:fill="auto"/>
          </w:tcPr>
          <w:p w14:paraId="15BF1502" w14:textId="77777777" w:rsidR="00CA774B" w:rsidRPr="00D60EDE" w:rsidRDefault="00CA774B" w:rsidP="004477D5">
            <w:pPr>
              <w:pStyle w:val="Caption"/>
              <w:keepNext/>
              <w:rPr>
                <w:rFonts w:asciiTheme="minorHAnsi" w:hAnsiTheme="minorHAnsi"/>
              </w:rPr>
            </w:pPr>
            <w:r w:rsidRPr="00D60EDE">
              <w:rPr>
                <w:rFonts w:asciiTheme="minorHAnsi" w:hAnsiTheme="minorHAnsi"/>
              </w:rPr>
              <w:t>CM</w:t>
            </w:r>
          </w:p>
        </w:tc>
        <w:tc>
          <w:tcPr>
            <w:tcW w:w="1167" w:type="pct"/>
            <w:tcBorders>
              <w:top w:val="single" w:sz="4" w:space="0" w:color="auto"/>
              <w:bottom w:val="single" w:sz="4" w:space="0" w:color="auto"/>
            </w:tcBorders>
            <w:shd w:val="clear" w:color="auto" w:fill="auto"/>
          </w:tcPr>
          <w:p w14:paraId="5E959C7B"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w:t>
            </w:r>
            <w:r w:rsidRPr="00810E50">
              <w:rPr>
                <w:rFonts w:asciiTheme="minorHAnsi" w:hAnsiTheme="minorHAnsi" w:cs="Arial"/>
                <w:bCs w:val="0"/>
                <w:kern w:val="24"/>
                <w:lang w:eastAsia="en-GB"/>
              </w:rPr>
              <w:t>2.1</w:t>
            </w:r>
            <w:r w:rsidRPr="00810E50">
              <w:rPr>
                <w:rFonts w:asciiTheme="minorHAnsi" w:hAnsiTheme="minorHAnsi"/>
                <w:lang w:eastAsia="en-GB"/>
              </w:rPr>
              <w:t xml:space="preserve"> (</w:t>
            </w:r>
            <w:proofErr w:type="spellStart"/>
            <w:r w:rsidRPr="00810E50">
              <w:rPr>
                <w:rFonts w:asciiTheme="minorHAnsi" w:hAnsiTheme="minorHAnsi"/>
                <w:lang w:eastAsia="en-GB"/>
              </w:rPr>
              <w:t>Uncomp</w:t>
            </w:r>
            <w:proofErr w:type="spellEnd"/>
            <w:r w:rsidRPr="00810E50">
              <w:rPr>
                <w:rFonts w:asciiTheme="minorHAnsi" w:hAnsiTheme="minorHAnsi"/>
                <w:lang w:eastAsia="en-GB"/>
              </w:rPr>
              <w:t xml:space="preserve">) </w:t>
            </w:r>
            <w:r w:rsidRPr="00810E50">
              <w:rPr>
                <w:rFonts w:asciiTheme="minorHAnsi" w:hAnsiTheme="minorHAnsi"/>
                <w:lang w:eastAsia="en-GB"/>
              </w:rPr>
              <w:br/>
              <w:t>$</w:t>
            </w:r>
            <w:r w:rsidRPr="00810E50">
              <w:rPr>
                <w:rFonts w:asciiTheme="minorHAnsi" w:hAnsiTheme="minorHAnsi" w:cs="Arial"/>
                <w:bCs w:val="0"/>
                <w:kern w:val="24"/>
                <w:lang w:eastAsia="en-GB"/>
              </w:rPr>
              <w:t>49.4</w:t>
            </w:r>
            <w:r w:rsidRPr="00810E50">
              <w:rPr>
                <w:rFonts w:asciiTheme="minorHAnsi" w:hAnsiTheme="minorHAnsi"/>
                <w:lang w:eastAsia="en-GB"/>
              </w:rPr>
              <w:t xml:space="preserve"> (Severe)</w:t>
            </w:r>
          </w:p>
        </w:tc>
        <w:tc>
          <w:tcPr>
            <w:tcW w:w="1479" w:type="pct"/>
            <w:tcBorders>
              <w:top w:val="single" w:sz="4" w:space="0" w:color="auto"/>
              <w:bottom w:val="single" w:sz="4" w:space="0" w:color="auto"/>
            </w:tcBorders>
            <w:shd w:val="clear" w:color="auto" w:fill="auto"/>
          </w:tcPr>
          <w:p w14:paraId="2CA101B6"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Per episode</w:t>
            </w:r>
          </w:p>
        </w:tc>
        <w:tc>
          <w:tcPr>
            <w:tcW w:w="1793" w:type="pct"/>
            <w:tcBorders>
              <w:top w:val="single" w:sz="4" w:space="0" w:color="auto"/>
              <w:bottom w:val="single" w:sz="4" w:space="0" w:color="auto"/>
            </w:tcBorders>
            <w:shd w:val="clear" w:color="auto" w:fill="auto"/>
          </w:tcPr>
          <w:p w14:paraId="37CB7397"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fldChar w:fldCharType="begin"/>
            </w:r>
            <w:r>
              <w:rPr>
                <w:rFonts w:asciiTheme="minorHAnsi" w:hAnsiTheme="minorHAnsi"/>
                <w:lang w:eastAsia="en-GB"/>
              </w:rPr>
              <w:instrText xml:space="preserve"> ADDIN ZOTERO_ITEM CSL_CITATION {"citationID":"II5rkj3t","properties":{"formattedCitation":"[1]","plainCitation":"[1]","noteIndex":0},"citationItems":[{"id":25213,"uris":["http://zotero.org/users/3516901/items/7WJRDIA7"],"uri":["http://zotero.org/users/3516901/items/7WJRDIA7"],"itemData":{"id":25213,"type":"article-journal","title":"Country specific predictions of the cost-effectiveness of malaria vaccine RTS,S/AS01 in endemic Africa","container-title":"Vaccine","page":"53-60","volume":"35","issue":"1","source":"ScienceDirect","abstract":"RTS,S/AS01 is a safe and moderately efficacious vaccine considered for implementation in endemic Africa. Model predictions of impact and cost-effectiveness of this new intervention could aid in country adoption decisions. The impact of RTS,S was assessed in 43 countries using an ensemble of models of Plasmodium falciparum epidemiology. Informed by the 32months follow-up data from the phase 3 trial, vaccine effectiveness was evaluated at country levels of malaria parasite prevalence, coverage of control interventions and immunization. Benefits and costs of the program incremental to routine malaria control were evaluated for a four dose schedule: first dose administered at six months, second and third - before 9months, and fourth dose at 27months of age. Sensitivity analyses around vaccine properties, transmission, and economic inputs were conducted. If implemented in all 43 countries the vaccine has the potential to avert 123 (117;129) million malaria episodes over the first 10years. Burden averted averages 18,413 (range of country median estimates 156–40,054) DALYs per 100,000 fully vaccinated children with much variation across settings primarily driven by differences in transmission intensity. At a price of $5 per dose program costs average $39.8 per fully vaccinated child with a median cost-effectiveness ratio of $188 (range $78–$22,448) per DALY averted; the ratio is lower by one third - $136 (range $116–$220) - in settings where parasite prevalence in children aged 2–10years is at or above 10%. RTS,S/AS01has the potential to substantially reduce malaria burden in children across Africa. Conditional on assumptions on price, coverage, and vaccine properties, adding RTS,S to routine malaria control interventions would be highly cost-effective. Implementation decisions will need to further consider feasibility of scaling up existing control programs, and operational constraints in reaching children at risk with the schedule.","DOI":"10.1016/j.vaccine.2016.11.042","ISSN":"0264-410X","journalAbbreviation":"Vaccine","author":[{"family":"Galactionova","given":"Katya"},{"family":"Tediosi","given":"Fabrizio"},{"family":"Camponovo","given":"Flavia"},{"family":"Smith","given":"Thomas A."},{"family":"Gething","given":"Peter W."},{"family":"Penny","given":"Melissa A."}],"issued":{"date-parts":[["2017",1,3]]}}}],"schema":"https://github.com/citation-style-language/schema/raw/master/csl-citation.json"} </w:instrText>
            </w:r>
            <w:r w:rsidRPr="00810E50">
              <w:rPr>
                <w:rFonts w:asciiTheme="minorHAnsi" w:hAnsiTheme="minorHAnsi"/>
                <w:lang w:eastAsia="en-GB"/>
              </w:rPr>
              <w:fldChar w:fldCharType="separate"/>
            </w:r>
            <w:r w:rsidRPr="00CA774B">
              <w:rPr>
                <w:rFonts w:ascii="Calibri" w:hAnsi="Calibri"/>
              </w:rPr>
              <w:t>[1]</w:t>
            </w:r>
            <w:r w:rsidRPr="00810E50">
              <w:rPr>
                <w:rFonts w:asciiTheme="minorHAnsi" w:hAnsiTheme="minorHAnsi"/>
                <w:lang w:eastAsia="en-GB"/>
              </w:rPr>
              <w:fldChar w:fldCharType="end"/>
            </w:r>
          </w:p>
        </w:tc>
      </w:tr>
      <w:tr w:rsidR="00CA774B" w:rsidRPr="00810E50" w14:paraId="026078DE" w14:textId="77777777" w:rsidTr="004477D5">
        <w:tc>
          <w:tcPr>
            <w:tcW w:w="561" w:type="pct"/>
            <w:tcBorders>
              <w:top w:val="single" w:sz="4" w:space="0" w:color="auto"/>
              <w:bottom w:val="single" w:sz="4" w:space="0" w:color="auto"/>
            </w:tcBorders>
            <w:shd w:val="clear" w:color="auto" w:fill="auto"/>
          </w:tcPr>
          <w:p w14:paraId="0B43D5E8" w14:textId="77777777" w:rsidR="00CA774B" w:rsidRPr="00D60EDE" w:rsidRDefault="00CA774B" w:rsidP="004477D5">
            <w:pPr>
              <w:pStyle w:val="Caption"/>
              <w:keepNext/>
              <w:rPr>
                <w:rFonts w:asciiTheme="minorHAnsi" w:hAnsiTheme="minorHAnsi"/>
              </w:rPr>
            </w:pPr>
            <w:r w:rsidRPr="00D60EDE">
              <w:rPr>
                <w:rFonts w:asciiTheme="minorHAnsi" w:hAnsiTheme="minorHAnsi"/>
              </w:rPr>
              <w:t>MRC</w:t>
            </w:r>
          </w:p>
        </w:tc>
        <w:tc>
          <w:tcPr>
            <w:tcW w:w="1167" w:type="pct"/>
            <w:tcBorders>
              <w:top w:val="single" w:sz="4" w:space="0" w:color="auto"/>
              <w:bottom w:val="single" w:sz="4" w:space="0" w:color="auto"/>
            </w:tcBorders>
            <w:shd w:val="clear" w:color="auto" w:fill="auto"/>
          </w:tcPr>
          <w:p w14:paraId="4471EB0A"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$4.00</w:t>
            </w:r>
          </w:p>
        </w:tc>
        <w:tc>
          <w:tcPr>
            <w:tcW w:w="1479" w:type="pct"/>
            <w:vMerge w:val="restart"/>
            <w:tcBorders>
              <w:top w:val="single" w:sz="4" w:space="0" w:color="auto"/>
              <w:bottom w:val="single" w:sz="4" w:space="0" w:color="auto"/>
            </w:tcBorders>
            <w:shd w:val="clear" w:color="auto" w:fill="auto"/>
          </w:tcPr>
          <w:p w14:paraId="6152BC97"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Per net,</w:t>
            </w:r>
            <w:r w:rsidRPr="00810E50">
              <w:rPr>
                <w:rFonts w:asciiTheme="minorHAnsi" w:hAnsiTheme="minorHAnsi"/>
                <w:lang w:eastAsia="en-GB"/>
              </w:rPr>
              <w:br/>
              <w:t xml:space="preserve"> (~ 2 people per net)</w:t>
            </w:r>
          </w:p>
        </w:tc>
        <w:tc>
          <w:tcPr>
            <w:tcW w:w="1793" w:type="pct"/>
            <w:vMerge w:val="restart"/>
            <w:tcBorders>
              <w:top w:val="single" w:sz="4" w:space="0" w:color="auto"/>
              <w:bottom w:val="single" w:sz="4" w:space="0" w:color="auto"/>
            </w:tcBorders>
            <w:shd w:val="clear" w:color="auto" w:fill="auto"/>
          </w:tcPr>
          <w:p w14:paraId="3E19E484" w14:textId="77777777" w:rsidR="00CA774B" w:rsidRPr="00810E50" w:rsidRDefault="00CA774B" w:rsidP="004477D5">
            <w:pPr>
              <w:rPr>
                <w:rFonts w:asciiTheme="minorHAnsi" w:hAnsiTheme="minorHAnsi"/>
              </w:rPr>
            </w:pPr>
            <w:r w:rsidRPr="00810E50">
              <w:rPr>
                <w:rFonts w:asciiTheme="minorHAnsi" w:eastAsia="Times New Roman" w:hAnsiTheme="minorHAnsi"/>
                <w:sz w:val="20"/>
                <w:szCs w:val="20"/>
                <w:lang w:eastAsia="en-GB"/>
              </w:rPr>
              <w:t>Personal communication with NMCP</w:t>
            </w:r>
          </w:p>
        </w:tc>
      </w:tr>
      <w:tr w:rsidR="00CA774B" w:rsidRPr="00810E50" w14:paraId="58F5C989" w14:textId="77777777" w:rsidTr="004477D5">
        <w:tc>
          <w:tcPr>
            <w:tcW w:w="561" w:type="pct"/>
            <w:tcBorders>
              <w:top w:val="single" w:sz="4" w:space="0" w:color="auto"/>
              <w:bottom w:val="single" w:sz="4" w:space="0" w:color="auto"/>
            </w:tcBorders>
            <w:shd w:val="clear" w:color="auto" w:fill="auto"/>
          </w:tcPr>
          <w:p w14:paraId="4A09991E" w14:textId="77777777" w:rsidR="00CA774B" w:rsidRPr="00D60EDE" w:rsidRDefault="00CA774B" w:rsidP="004477D5">
            <w:pPr>
              <w:pStyle w:val="Caption"/>
              <w:keepNext/>
              <w:rPr>
                <w:rFonts w:asciiTheme="minorHAnsi" w:hAnsiTheme="minorHAnsi"/>
              </w:rPr>
            </w:pPr>
            <w:r w:rsidRPr="00D60EDE">
              <w:rPr>
                <w:rFonts w:asciiTheme="minorHAnsi" w:hAnsiTheme="minorHAnsi"/>
              </w:rPr>
              <w:t>SNP</w:t>
            </w:r>
          </w:p>
        </w:tc>
        <w:tc>
          <w:tcPr>
            <w:tcW w:w="1167" w:type="pct"/>
            <w:tcBorders>
              <w:top w:val="single" w:sz="4" w:space="0" w:color="auto"/>
              <w:bottom w:val="single" w:sz="4" w:space="0" w:color="auto"/>
            </w:tcBorders>
            <w:shd w:val="clear" w:color="auto" w:fill="auto"/>
          </w:tcPr>
          <w:p w14:paraId="6D43DDC7"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$3.11</w:t>
            </w:r>
          </w:p>
        </w:tc>
        <w:tc>
          <w:tcPr>
            <w:tcW w:w="1479" w:type="pct"/>
            <w:vMerge/>
            <w:tcBorders>
              <w:top w:val="single" w:sz="4" w:space="0" w:color="auto"/>
              <w:bottom w:val="single" w:sz="4" w:space="0" w:color="auto"/>
            </w:tcBorders>
            <w:shd w:val="clear" w:color="auto" w:fill="auto"/>
          </w:tcPr>
          <w:p w14:paraId="5FA00FE1" w14:textId="77777777" w:rsidR="00CA774B" w:rsidRPr="00810E50" w:rsidRDefault="00CA774B" w:rsidP="004477D5">
            <w:pPr>
              <w:pStyle w:val="Caption"/>
              <w:keepNext/>
              <w:jc w:val="left"/>
              <w:rPr>
                <w:rFonts w:asciiTheme="minorHAnsi" w:hAnsiTheme="minorHAnsi"/>
              </w:rPr>
            </w:pPr>
          </w:p>
        </w:tc>
        <w:tc>
          <w:tcPr>
            <w:tcW w:w="1793" w:type="pct"/>
            <w:vMerge/>
            <w:tcBorders>
              <w:top w:val="single" w:sz="4" w:space="0" w:color="auto"/>
              <w:bottom w:val="single" w:sz="4" w:space="0" w:color="auto"/>
            </w:tcBorders>
            <w:shd w:val="clear" w:color="auto" w:fill="auto"/>
          </w:tcPr>
          <w:p w14:paraId="1A8E1CDB" w14:textId="77777777" w:rsidR="00CA774B" w:rsidRPr="00810E50" w:rsidRDefault="00CA774B" w:rsidP="004477D5">
            <w:pPr>
              <w:pStyle w:val="Caption"/>
              <w:keepNext/>
              <w:jc w:val="left"/>
              <w:rPr>
                <w:rFonts w:asciiTheme="minorHAnsi" w:hAnsiTheme="minorHAnsi"/>
              </w:rPr>
            </w:pPr>
          </w:p>
        </w:tc>
      </w:tr>
      <w:tr w:rsidR="00CA774B" w:rsidRPr="00810E50" w14:paraId="3E90ECBE" w14:textId="77777777" w:rsidTr="004477D5">
        <w:tc>
          <w:tcPr>
            <w:tcW w:w="561" w:type="pct"/>
            <w:tcBorders>
              <w:top w:val="single" w:sz="4" w:space="0" w:color="auto"/>
              <w:bottom w:val="single" w:sz="4" w:space="0" w:color="auto"/>
            </w:tcBorders>
            <w:shd w:val="clear" w:color="auto" w:fill="auto"/>
          </w:tcPr>
          <w:p w14:paraId="68416DA6" w14:textId="77777777" w:rsidR="00CA774B" w:rsidRPr="00D60EDE" w:rsidRDefault="00CA774B" w:rsidP="004477D5">
            <w:pPr>
              <w:pStyle w:val="Caption"/>
              <w:keepNext/>
              <w:rPr>
                <w:rFonts w:asciiTheme="minorHAnsi" w:hAnsiTheme="minorHAnsi"/>
              </w:rPr>
            </w:pPr>
            <w:r w:rsidRPr="00D60EDE">
              <w:rPr>
                <w:rFonts w:asciiTheme="minorHAnsi" w:hAnsiTheme="minorHAnsi"/>
              </w:rPr>
              <w:t>IRS</w:t>
            </w:r>
          </w:p>
        </w:tc>
        <w:tc>
          <w:tcPr>
            <w:tcW w:w="1167" w:type="pct"/>
            <w:tcBorders>
              <w:top w:val="single" w:sz="4" w:space="0" w:color="auto"/>
              <w:bottom w:val="single" w:sz="4" w:space="0" w:color="auto"/>
            </w:tcBorders>
            <w:shd w:val="clear" w:color="auto" w:fill="auto"/>
          </w:tcPr>
          <w:p w14:paraId="31187430"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$30</w:t>
            </w:r>
          </w:p>
        </w:tc>
        <w:tc>
          <w:tcPr>
            <w:tcW w:w="1479" w:type="pct"/>
            <w:tcBorders>
              <w:top w:val="single" w:sz="4" w:space="0" w:color="auto"/>
              <w:bottom w:val="single" w:sz="4" w:space="0" w:color="auto"/>
            </w:tcBorders>
            <w:shd w:val="clear" w:color="auto" w:fill="auto"/>
          </w:tcPr>
          <w:p w14:paraId="122E2B15"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 xml:space="preserve">Per structure </w:t>
            </w:r>
            <w:r w:rsidRPr="00810E50">
              <w:rPr>
                <w:rFonts w:asciiTheme="minorHAnsi" w:hAnsiTheme="minorHAnsi"/>
                <w:lang w:eastAsia="en-GB"/>
              </w:rPr>
              <w:br/>
              <w:t xml:space="preserve">(~5 people per </w:t>
            </w:r>
            <w:proofErr w:type="spellStart"/>
            <w:r w:rsidRPr="00810E50">
              <w:rPr>
                <w:rFonts w:asciiTheme="minorHAnsi" w:hAnsiTheme="minorHAnsi"/>
                <w:lang w:eastAsia="en-GB"/>
              </w:rPr>
              <w:t>hh</w:t>
            </w:r>
            <w:proofErr w:type="spellEnd"/>
            <w:r w:rsidRPr="00810E50">
              <w:rPr>
                <w:rFonts w:asciiTheme="minorHAnsi" w:hAnsiTheme="minorHAnsi"/>
                <w:lang w:eastAsia="en-GB"/>
              </w:rPr>
              <w:t>*)</w:t>
            </w:r>
          </w:p>
        </w:tc>
        <w:tc>
          <w:tcPr>
            <w:tcW w:w="1793" w:type="pct"/>
            <w:tcBorders>
              <w:top w:val="single" w:sz="4" w:space="0" w:color="auto"/>
              <w:bottom w:val="single" w:sz="4" w:space="0" w:color="auto"/>
            </w:tcBorders>
            <w:shd w:val="clear" w:color="auto" w:fill="auto"/>
          </w:tcPr>
          <w:p w14:paraId="10378FB6"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fldChar w:fldCharType="begin"/>
            </w:r>
            <w:r>
              <w:rPr>
                <w:rFonts w:asciiTheme="minorHAnsi" w:hAnsiTheme="minorHAnsi"/>
                <w:lang w:eastAsia="en-GB"/>
              </w:rPr>
              <w:instrText xml:space="preserve"> ADDIN ZOTERO_ITEM CSL_CITATION {"citationID":"S7LEaI1l","properties":{"formattedCitation":"[2]","plainCitation":"[2]","noteIndex":0},"citationItems":[{"id":23775,"uris":["http://zotero.org/users/3516901/items/9A26AKHD"],"uri":["http://zotero.org/users/3516901/items/9A26AKHD"],"itemData":{"id":23775,"type":"report","title":"Tanzania end of spray report spray campaign: February 3 – April 4, 2016","publisher":"Abt Associates Inc","publisher-place":"Bethesda, MD","genre":"Residual Spraying (IRS 2) Task Order Six","event-place":"Bethesda, MD","URL":"https://www.pmi.gov/docs/default-source/default-document-library/implementing-partner-reports/tanzania-end-of-spray-report-2016-airs.pdf","author":[{"literal":"PMI | Africa IRS (AIRS) Project"}],"issued":{"date-parts":[["2016"]]}}}],"schema":"https://github.com/citation-style-language/schema/raw/master/csl-citation.json"} </w:instrText>
            </w:r>
            <w:r w:rsidRPr="00810E50">
              <w:rPr>
                <w:rFonts w:asciiTheme="minorHAnsi" w:hAnsiTheme="minorHAnsi"/>
                <w:lang w:eastAsia="en-GB"/>
              </w:rPr>
              <w:fldChar w:fldCharType="separate"/>
            </w:r>
            <w:r w:rsidRPr="00CA774B">
              <w:rPr>
                <w:rFonts w:ascii="Calibri" w:hAnsi="Calibri"/>
              </w:rPr>
              <w:t>[2]</w:t>
            </w:r>
            <w:r w:rsidRPr="00810E50">
              <w:rPr>
                <w:rFonts w:asciiTheme="minorHAnsi" w:hAnsiTheme="minorHAnsi"/>
                <w:lang w:eastAsia="en-GB"/>
              </w:rPr>
              <w:fldChar w:fldCharType="end"/>
            </w:r>
          </w:p>
        </w:tc>
      </w:tr>
      <w:tr w:rsidR="00CA774B" w:rsidRPr="00810E50" w14:paraId="2F63239D" w14:textId="77777777" w:rsidTr="004477D5">
        <w:tc>
          <w:tcPr>
            <w:tcW w:w="561" w:type="pct"/>
            <w:tcBorders>
              <w:top w:val="single" w:sz="4" w:space="0" w:color="auto"/>
              <w:bottom w:val="single" w:sz="4" w:space="0" w:color="auto"/>
            </w:tcBorders>
            <w:shd w:val="clear" w:color="auto" w:fill="auto"/>
          </w:tcPr>
          <w:p w14:paraId="58D714A1" w14:textId="77777777" w:rsidR="00CA774B" w:rsidRPr="00D60EDE" w:rsidRDefault="00CA774B" w:rsidP="004477D5">
            <w:pPr>
              <w:pStyle w:val="Caption"/>
              <w:keepNext/>
              <w:rPr>
                <w:rFonts w:asciiTheme="minorHAnsi" w:hAnsiTheme="minorHAnsi"/>
              </w:rPr>
            </w:pPr>
            <w:r w:rsidRPr="00D60EDE">
              <w:rPr>
                <w:rFonts w:asciiTheme="minorHAnsi" w:hAnsiTheme="minorHAnsi"/>
              </w:rPr>
              <w:t>MDA</w:t>
            </w:r>
          </w:p>
        </w:tc>
        <w:tc>
          <w:tcPr>
            <w:tcW w:w="1167" w:type="pct"/>
            <w:tcBorders>
              <w:top w:val="single" w:sz="4" w:space="0" w:color="auto"/>
              <w:bottom w:val="single" w:sz="4" w:space="0" w:color="auto"/>
            </w:tcBorders>
            <w:shd w:val="clear" w:color="auto" w:fill="auto"/>
          </w:tcPr>
          <w:p w14:paraId="4E3F5C00"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$5.95</w:t>
            </w:r>
          </w:p>
        </w:tc>
        <w:tc>
          <w:tcPr>
            <w:tcW w:w="1479" w:type="pct"/>
            <w:tcBorders>
              <w:top w:val="single" w:sz="4" w:space="0" w:color="auto"/>
              <w:bottom w:val="single" w:sz="4" w:space="0" w:color="auto"/>
            </w:tcBorders>
            <w:shd w:val="clear" w:color="auto" w:fill="auto"/>
          </w:tcPr>
          <w:p w14:paraId="6FB93AF9"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 xml:space="preserve">Cost per drug </w:t>
            </w:r>
            <w:r w:rsidRPr="00810E50">
              <w:rPr>
                <w:rFonts w:asciiTheme="minorHAnsi" w:hAnsiTheme="minorHAnsi"/>
                <w:lang w:eastAsia="en-GB"/>
              </w:rPr>
              <w:br/>
              <w:t>(= cost per person)</w:t>
            </w:r>
          </w:p>
        </w:tc>
        <w:tc>
          <w:tcPr>
            <w:tcW w:w="1793" w:type="pct"/>
            <w:tcBorders>
              <w:top w:val="single" w:sz="4" w:space="0" w:color="auto"/>
              <w:bottom w:val="single" w:sz="4" w:space="0" w:color="auto"/>
            </w:tcBorders>
            <w:shd w:val="clear" w:color="auto" w:fill="auto"/>
          </w:tcPr>
          <w:p w14:paraId="30184D88"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fldChar w:fldCharType="begin"/>
            </w:r>
            <w:r>
              <w:rPr>
                <w:rFonts w:asciiTheme="minorHAnsi" w:hAnsiTheme="minorHAnsi"/>
                <w:lang w:eastAsia="en-GB"/>
              </w:rPr>
              <w:instrText xml:space="preserve"> ADDIN ZOTERO_ITEM CSL_CITATION {"citationID":"VKYR5wdQ","properties":{"formattedCitation":"[3,4]","plainCitation":"[3,4]","noteIndex":0},"citationItems":[{"id":20300,"uris":["http://zotero.org/users/3516901/items/6UB68D36"],"uri":["http://zotero.org/users/3516901/items/6UB68D36"],"itemData":{"id":20300,"type":"article-journal","title":"Estimating the most efficient allocation of interventions to achieve reductions in Plasmodium falciparum malaria burden and transmission in Africa: a modelling study","container-title":"The Lancet Global Health","page":"e474-e484","volume":"4","issue":"7","source":"CrossRef","DOI":"10.1016/S2214-109X(16)30073-0","ISSN":"2214109X","title-short":"Estimating the most efficient allocation of interventions to achieve reductions in Plasmodium falciparum malaria burden and transmission in Africa","language":"en","author":[{"family":"Walker","given":"Patrick G T"},{"family":"Griffin","given":"Jamie T"},{"family":"Ferguson","given":"Neil M"},{"family":"Ghani","given":"Azra C"}],"issued":{"date-parts":[["2016",7]]}},"label":"page"},{"id":23892,"uris":["http://zotero.org/users/3516901/items/99F3NUHW"],"uri":["http://zotero.org/users/3516901/items/99F3NUHW"],"itemData":{"id":23892,"type":"article-journal","title":"Maximizing the impact of malaria funding through allocative efficiency: using the right interventions in the right locations","container-title":"Malaria Journal","volume":"16","source":"PubMed Central","abstract":"Background\nThe high burden of malaria and limited funding means there is a necessity to maximize the allocative efficiency of malaria control programmes. Quantitative tools are urgently needed to guide budget allocation decisions.\n\nMethods\nA geospatial epidemic model was coupled with costing data and an optimization algorithm to estimate the optimal allocation of budgeted and projected funds across all malaria intervention approaches. Interventions included long-lasting insecticide-treated nets (LLINs), indoor residual spraying (IRS), intermittent presumptive treatment during pregnancy (IPTp), seasonal mass chemoprevention in children (SMC), larval source management (LSM), mass drug administration (MDA), and behavioural change communication (BCC). The model was applied to six geopolitical regions of Nigeria in isolation and also the nation as a whole to minimize incidence and malaria-attributable mortality.\n\nResults\nAllocative efficiency gains could avert approximately 84,000 deaths or 15.7 million cases of malaria in Nigeria over 5 years. With an additional US$300 million available, approximately 134,000 deaths or 37.3 million cases of malaria could be prevented over 5 years. Priority funding should go to LLINs, IPTp and BCC programmes, and SMC should be expanded in seasonal areas. To minimize mortality, treatment expansion is critical and prioritized over some LLIN funding, while to minimize incidence, LLIN funding remained a priority. For areas with lower rainfall, LSM is prioritized over IRS but MDA is not recommended unless all other programmes are established.\n\nConclusions\nSubstantial reductions in malaria morbidity and mortality can be made by optimal targeting of investments to the right malaria interventions in the right areas.\n\nElectronic supplementary material\nThe online version of this article (doi:10.1186/s12936-017-2019-1) contains supplementary material, which is available to authorized users.","URL":"http://www.ncbi.nlm.nih.gov/pmc/articles/PMC5596957/","DOI":"10.1186/s12936-017-2019-1","ISSN":"1475-2875","note":"PMID: 28899373\nPMCID: PMC5596957","title-short":"Maximizing the impact of malaria funding through allocative efficiency","journalAbbreviation":"Malar J","author":[{"family":"Scott","given":"Nick"},{"family":"Hussain","given":"S. Azfar"},{"family":"Martin-Hughes","given":"Rowan"},{"family":"Fowkes","given":"Freya J. I."},{"family":"Kerr","given":"Cliff C."},{"family":"Pearson","given":"Ruth"},{"family":"Kedziora","given":"David J."},{"family":"Killedar","given":"Madhura"},{"family":"Stuart","given":"Robyn M."},{"family":"Wilson","given":"David P."}],"issued":{"date-parts":[["2017",9,12]]},"accessed":{"date-parts":[["2017",9,19]]}},"label":"page"}],"schema":"https://github.com/citation-style-language/schema/raw/master/csl-citation.json"} </w:instrText>
            </w:r>
            <w:r w:rsidRPr="00810E50">
              <w:rPr>
                <w:rFonts w:asciiTheme="minorHAnsi" w:hAnsiTheme="minorHAnsi"/>
                <w:lang w:eastAsia="en-GB"/>
              </w:rPr>
              <w:fldChar w:fldCharType="separate"/>
            </w:r>
            <w:r w:rsidRPr="00CA774B">
              <w:rPr>
                <w:rFonts w:ascii="Calibri" w:hAnsi="Calibri"/>
              </w:rPr>
              <w:t>[3,4]</w:t>
            </w:r>
            <w:r w:rsidRPr="00810E50">
              <w:rPr>
                <w:rFonts w:asciiTheme="minorHAnsi" w:hAnsiTheme="minorHAnsi"/>
                <w:lang w:eastAsia="en-GB"/>
              </w:rPr>
              <w:fldChar w:fldCharType="end"/>
            </w:r>
          </w:p>
        </w:tc>
      </w:tr>
      <w:tr w:rsidR="00CA774B" w:rsidRPr="00810E50" w14:paraId="4FB5922C" w14:textId="77777777" w:rsidTr="004477D5">
        <w:tc>
          <w:tcPr>
            <w:tcW w:w="561" w:type="pct"/>
            <w:tcBorders>
              <w:top w:val="single" w:sz="4" w:space="0" w:color="auto"/>
              <w:bottom w:val="single" w:sz="4" w:space="0" w:color="auto"/>
            </w:tcBorders>
            <w:shd w:val="clear" w:color="auto" w:fill="auto"/>
          </w:tcPr>
          <w:p w14:paraId="095A0346" w14:textId="77777777" w:rsidR="00CA774B" w:rsidRPr="00D60EDE" w:rsidRDefault="00CA774B" w:rsidP="004477D5">
            <w:pPr>
              <w:pStyle w:val="Caption"/>
              <w:keepNext/>
              <w:rPr>
                <w:rFonts w:asciiTheme="minorHAnsi" w:hAnsiTheme="minorHAnsi"/>
              </w:rPr>
            </w:pPr>
            <w:r w:rsidRPr="00D60EDE">
              <w:rPr>
                <w:rFonts w:asciiTheme="minorHAnsi" w:hAnsiTheme="minorHAnsi"/>
              </w:rPr>
              <w:t>LSM</w:t>
            </w:r>
          </w:p>
        </w:tc>
        <w:tc>
          <w:tcPr>
            <w:tcW w:w="1167" w:type="pct"/>
            <w:tcBorders>
              <w:top w:val="single" w:sz="4" w:space="0" w:color="auto"/>
              <w:bottom w:val="single" w:sz="4" w:space="0" w:color="auto"/>
            </w:tcBorders>
            <w:shd w:val="clear" w:color="auto" w:fill="auto"/>
          </w:tcPr>
          <w:p w14:paraId="5D3C419C"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$4.32</w:t>
            </w:r>
          </w:p>
        </w:tc>
        <w:tc>
          <w:tcPr>
            <w:tcW w:w="1479" w:type="pct"/>
            <w:tcBorders>
              <w:top w:val="single" w:sz="4" w:space="0" w:color="auto"/>
              <w:bottom w:val="single" w:sz="4" w:space="0" w:color="auto"/>
            </w:tcBorders>
            <w:shd w:val="clear" w:color="auto" w:fill="auto"/>
          </w:tcPr>
          <w:p w14:paraId="6BADEBD0" w14:textId="77777777" w:rsidR="00CA774B" w:rsidRPr="00810E50" w:rsidRDefault="00CA774B" w:rsidP="004477D5">
            <w:pPr>
              <w:pStyle w:val="Caption"/>
              <w:keepNext/>
              <w:jc w:val="left"/>
              <w:rPr>
                <w:rFonts w:asciiTheme="minorHAnsi" w:hAnsiTheme="minorHAnsi"/>
              </w:rPr>
            </w:pPr>
            <w:r w:rsidRPr="00810E50">
              <w:rPr>
                <w:rFonts w:asciiTheme="minorHAnsi" w:hAnsiTheme="minorHAnsi"/>
                <w:lang w:eastAsia="en-GB"/>
              </w:rPr>
              <w:t>Per population per year</w:t>
            </w:r>
            <w:r w:rsidRPr="00810E50">
              <w:rPr>
                <w:rFonts w:asciiTheme="minorHAnsi" w:hAnsiTheme="minorHAnsi"/>
                <w:lang w:eastAsia="en-GB"/>
              </w:rPr>
              <w:br/>
              <w:t>(3 rounds a year)</w:t>
            </w:r>
          </w:p>
        </w:tc>
        <w:tc>
          <w:tcPr>
            <w:tcW w:w="1793" w:type="pct"/>
            <w:tcBorders>
              <w:top w:val="single" w:sz="4" w:space="0" w:color="auto"/>
              <w:bottom w:val="single" w:sz="4" w:space="0" w:color="auto"/>
            </w:tcBorders>
            <w:shd w:val="clear" w:color="auto" w:fill="auto"/>
          </w:tcPr>
          <w:p w14:paraId="0A3C8B38" w14:textId="77777777" w:rsidR="00CA774B" w:rsidRPr="00810E50" w:rsidRDefault="00CA774B" w:rsidP="004477D5">
            <w:pPr>
              <w:rPr>
                <w:rFonts w:asciiTheme="minorHAnsi" w:eastAsia="Times New Roman" w:hAnsiTheme="minorHAnsi"/>
                <w:sz w:val="20"/>
                <w:szCs w:val="20"/>
                <w:lang w:eastAsia="en-GB"/>
              </w:rPr>
            </w:pPr>
            <w:r w:rsidRPr="00810E50">
              <w:rPr>
                <w:rFonts w:eastAsia="Times New Roman"/>
                <w:sz w:val="20"/>
                <w:szCs w:val="20"/>
                <w:lang w:eastAsia="en-GB"/>
              </w:rPr>
              <w:fldChar w:fldCharType="begin"/>
            </w:r>
            <w:r>
              <w:rPr>
                <w:rFonts w:asciiTheme="minorHAnsi" w:eastAsia="Times New Roman" w:hAnsiTheme="minorHAnsi"/>
                <w:sz w:val="20"/>
                <w:szCs w:val="20"/>
                <w:lang w:eastAsia="en-GB"/>
              </w:rPr>
              <w:instrText xml:space="preserve"> ADDIN ZOTERO_ITEM CSL_CITATION {"citationID":"lGsRyeQr","properties":{"formattedCitation":"[5]","plainCitation":"[5]","noteIndex":0},"citationItems":[{"id":21694,"uris":["http://zotero.org/users/3516901/items/8Z32GPNI"],"uri":["http://zotero.org/users/3516901/items/8Z32GPNI"],"itemData":{"id":21694,"type":"article-journal","title":"Cost of microbial larviciding for malaria control in rural Tanzania","container-title":"Tropical Medicine &amp; International Health","page":"1468-1475","volume":"21","issue":"11","source":"Wiley Online Library","abstract":"Objective\n\nMicrobial larviciding may be a potential supplement to conventional malaria vector control measures, but scant information on its relative implementation costs and effectiveness, especially in rural areas, is an impediment to expanding its uptake. We perform a costing analysis of a seasonal microbial larviciding programme in rural Tanzania.\n\n\nMethods\n\nWe evaluated the financial and economic costs from the perspective of the public provider of a 3-month, community-based larviciding intervention implemented in twelve villages in the Mvomero District of Tanzania in 2012–2013. Cost data were collected from financial reports and invoices and through discussion with programme administrators. Sensitivity analysis explored the robustness of our results to varying key parameters.\n\n\nResults\n\nOver the 2-year study period, approximately 6873 breeding sites were treated with larvicide. The average annual economic costs of the larviciding intervention in rural Tanzania are estimated at 2014 US$ 1.44 per person protected per year (pppy), US$ 6.18 per household and US$ 4481.88 per village, with the larvicide and staffing accounting for 14% and 58% of total costs, respectively.\n\n\nConclusions\n\nWe found the costs pppy of implementing a seasonal larviciding programme in rural Tanzania to be comparable to the costs of other larviciding programmes in urban Tanzania and rural Kenya. Further research should evaluate the cost-effectiveness of larviciding relative to, and in combination with, other vector control strategies in rural settings.","DOI":"10.1111/tmi.12767","ISSN":"1365-3156","journalAbbreviation":"Trop Med Int Health","language":"en","author":[{"family":"Rahman","given":"Rifat"},{"family":"Lesser","given":"Adriane"},{"family":"Mboera","given":"Leonard"},{"family":"Kramer","given":"Randall"}],"issued":{"date-parts":[["2016",11,1]]}}}],"schema":"https://github.com/citation-style-language/schema/raw/master/csl-citation.json"} </w:instrText>
            </w:r>
            <w:r w:rsidRPr="00810E50">
              <w:rPr>
                <w:rFonts w:eastAsia="Times New Roman"/>
                <w:sz w:val="20"/>
                <w:szCs w:val="20"/>
                <w:lang w:eastAsia="en-GB"/>
              </w:rPr>
              <w:fldChar w:fldCharType="separate"/>
            </w:r>
            <w:r w:rsidRPr="00CA774B">
              <w:rPr>
                <w:rFonts w:ascii="Calibri" w:hAnsi="Calibri"/>
                <w:sz w:val="20"/>
              </w:rPr>
              <w:t>[5]</w:t>
            </w:r>
            <w:r w:rsidRPr="00810E50">
              <w:rPr>
                <w:rFonts w:eastAsia="Times New Roman"/>
                <w:sz w:val="20"/>
                <w:szCs w:val="20"/>
                <w:lang w:eastAsia="en-GB"/>
              </w:rPr>
              <w:fldChar w:fldCharType="end"/>
            </w:r>
            <w:r w:rsidRPr="00810E50">
              <w:rPr>
                <w:rFonts w:asciiTheme="minorHAnsi" w:eastAsia="Times New Roman" w:hAnsiTheme="minorHAnsi"/>
                <w:sz w:val="20"/>
                <w:szCs w:val="20"/>
                <w:lang w:eastAsia="en-GB"/>
              </w:rPr>
              <w:t xml:space="preserve"> and personal communication </w:t>
            </w:r>
          </w:p>
        </w:tc>
      </w:tr>
    </w:tbl>
    <w:p w14:paraId="03B58FFC" w14:textId="77777777" w:rsidR="00CA774B" w:rsidRPr="00042DCE" w:rsidRDefault="00CA774B" w:rsidP="00CA774B">
      <w:pPr>
        <w:spacing w:after="0"/>
        <w:rPr>
          <w:sz w:val="20"/>
          <w:lang w:eastAsia="en-GB"/>
        </w:rPr>
      </w:pPr>
      <w:r w:rsidRPr="00042DCE">
        <w:rPr>
          <w:sz w:val="20"/>
        </w:rPr>
        <w:t xml:space="preserve">*) </w:t>
      </w:r>
      <w:r w:rsidRPr="00042DCE">
        <w:rPr>
          <w:sz w:val="20"/>
          <w:lang w:eastAsia="en-GB"/>
        </w:rPr>
        <w:t xml:space="preserve">Council specific based on data from the population census </w:t>
      </w:r>
      <w:r w:rsidRPr="00042DCE">
        <w:rPr>
          <w:sz w:val="20"/>
          <w:lang w:eastAsia="en-GB"/>
        </w:rPr>
        <w:fldChar w:fldCharType="begin"/>
      </w:r>
      <w:r>
        <w:rPr>
          <w:sz w:val="20"/>
          <w:lang w:eastAsia="en-GB"/>
        </w:rPr>
        <w:instrText xml:space="preserve"> ADDIN ZOTERO_ITEM CSL_CITATION {"citationID":"paIbqkXQ","properties":{"formattedCitation":"[6]","plainCitation":"[6]","noteIndex":0},"citationItems":[{"id":17621,"uris":["http://zotero.org/users/3516901/items/UV56U8X2"],"uri":["http://zotero.org/users/3516901/items/UV56U8X2"],"itemData":{"id":17621,"type":"report","title":"2012 Population and Housing Census","publisher":"NBS and OCGS","publisher-place":"Dar Es Salaam, Tanzania","event-place":"Dar Es Salaam, Tanzania","author":[{"literal":"National Bureau of Statistics (NBS), Tanzania"},{"literal":"Office of Chief Government Statistician (OCGS), Zanzibar"}],"issued":{"date-parts":[["2013"]]}}}],"schema":"https://github.com/citation-style-language/schema/raw/master/csl-citation.json"} </w:instrText>
      </w:r>
      <w:r w:rsidRPr="00042DCE">
        <w:rPr>
          <w:sz w:val="20"/>
          <w:lang w:eastAsia="en-GB"/>
        </w:rPr>
        <w:fldChar w:fldCharType="separate"/>
      </w:r>
      <w:r w:rsidRPr="00CA774B">
        <w:rPr>
          <w:rFonts w:ascii="Calibri" w:hAnsi="Calibri"/>
          <w:sz w:val="20"/>
        </w:rPr>
        <w:t>[6]</w:t>
      </w:r>
      <w:r w:rsidRPr="00042DCE">
        <w:rPr>
          <w:sz w:val="20"/>
          <w:lang w:eastAsia="en-GB"/>
        </w:rPr>
        <w:fldChar w:fldCharType="end"/>
      </w:r>
      <w:r w:rsidRPr="00042DCE">
        <w:rPr>
          <w:sz w:val="20"/>
          <w:lang w:eastAsia="en-GB"/>
        </w:rPr>
        <w:t>.</w:t>
      </w:r>
    </w:p>
    <w:p w14:paraId="67615C89" w14:textId="77777777" w:rsidR="00CA774B" w:rsidRDefault="00CA774B" w:rsidP="00CA774B">
      <w:pPr>
        <w:spacing w:after="0"/>
      </w:pPr>
    </w:p>
    <w:p w14:paraId="1D27D122" w14:textId="7297E3FE" w:rsidR="00CA774B" w:rsidRDefault="00CA774B" w:rsidP="00CA774B">
      <w:pPr>
        <w:pStyle w:val="Caption"/>
        <w:keepNext/>
        <w:spacing w:before="0" w:after="0" w:line="360" w:lineRule="auto"/>
        <w:rPr>
          <w:rFonts w:asciiTheme="minorHAnsi" w:hAnsiTheme="minorHAnsi"/>
          <w:b/>
        </w:rPr>
      </w:pPr>
      <w:r w:rsidRPr="001C4413">
        <w:rPr>
          <w:rFonts w:asciiTheme="minorHAnsi" w:hAnsiTheme="minorHAnsi"/>
          <w:b/>
        </w:rPr>
        <w:t xml:space="preserve">Table </w:t>
      </w:r>
      <w:r>
        <w:rPr>
          <w:rFonts w:asciiTheme="minorHAnsi" w:hAnsiTheme="minorHAnsi"/>
          <w:b/>
        </w:rPr>
        <w:t>S</w:t>
      </w:r>
      <w:r w:rsidR="00761D9A">
        <w:rPr>
          <w:rFonts w:asciiTheme="minorHAnsi" w:hAnsiTheme="minorHAnsi"/>
          <w:b/>
        </w:rPr>
        <w:t>3</w:t>
      </w:r>
      <w:r>
        <w:rPr>
          <w:rFonts w:asciiTheme="minorHAnsi" w:hAnsiTheme="minorHAnsi"/>
          <w:b/>
        </w:rPr>
        <w:t>.</w:t>
      </w:r>
      <w:r w:rsidR="00761D9A">
        <w:rPr>
          <w:rFonts w:asciiTheme="minorHAnsi" w:hAnsiTheme="minorHAnsi"/>
          <w:b/>
        </w:rPr>
        <w:t>4</w:t>
      </w:r>
      <w:r w:rsidRPr="001C4413">
        <w:rPr>
          <w:rFonts w:asciiTheme="minorHAnsi" w:hAnsiTheme="minorHAnsi"/>
          <w:b/>
        </w:rPr>
        <w:t>: Cost calculations</w:t>
      </w:r>
      <w:r>
        <w:rPr>
          <w:rFonts w:asciiTheme="minorHAnsi" w:hAnsiTheme="minorHAnsi"/>
          <w:b/>
        </w:rPr>
        <w:t>.</w:t>
      </w:r>
    </w:p>
    <w:tbl>
      <w:tblPr>
        <w:tblStyle w:val="TableGrid"/>
        <w:tblW w:w="9072" w:type="dxa"/>
        <w:tblInd w:w="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7796"/>
      </w:tblGrid>
      <w:tr w:rsidR="00CA774B" w:rsidRPr="00C4522D" w14:paraId="632CD92D" w14:textId="77777777" w:rsidTr="004477D5">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shd w:val="clear" w:color="auto" w:fill="auto"/>
          </w:tcPr>
          <w:p w14:paraId="1B8EC545" w14:textId="77777777" w:rsidR="00CA774B" w:rsidRPr="00C4522D" w:rsidRDefault="00CA774B" w:rsidP="004477D5">
            <w:pPr>
              <w:rPr>
                <w:rFonts w:ascii="Arial" w:hAnsi="Arial"/>
              </w:rPr>
            </w:pPr>
            <w:r w:rsidRPr="00C4522D">
              <w:rPr>
                <w:rFonts w:ascii="Arial" w:hAnsi="Arial"/>
              </w:rPr>
              <w:t>Type</w:t>
            </w:r>
          </w:p>
        </w:tc>
        <w:tc>
          <w:tcPr>
            <w:tcW w:w="7796" w:type="dxa"/>
            <w:tcBorders>
              <w:left w:val="single" w:sz="4" w:space="0" w:color="auto"/>
            </w:tcBorders>
            <w:shd w:val="clear" w:color="auto" w:fill="auto"/>
          </w:tcPr>
          <w:p w14:paraId="4F329938" w14:textId="77777777" w:rsidR="00CA774B" w:rsidRPr="00C4522D" w:rsidRDefault="00CA774B" w:rsidP="004477D5">
            <w:pPr>
              <w:rPr>
                <w:rFonts w:ascii="Arial" w:hAnsi="Arial"/>
              </w:rPr>
            </w:pPr>
            <w:r w:rsidRPr="00C4522D">
              <w:rPr>
                <w:rFonts w:ascii="Arial" w:hAnsi="Arial"/>
              </w:rPr>
              <w:t>Calculation</w:t>
            </w:r>
          </w:p>
        </w:tc>
      </w:tr>
      <w:tr w:rsidR="00CA774B" w:rsidRPr="00C4522D" w14:paraId="31D8E408" w14:textId="77777777" w:rsidTr="004477D5">
        <w:tc>
          <w:tcPr>
            <w:tcW w:w="1276" w:type="dxa"/>
            <w:tcBorders>
              <w:right w:val="single" w:sz="4" w:space="0" w:color="auto"/>
            </w:tcBorders>
          </w:tcPr>
          <w:p w14:paraId="4A947966"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Case management</w:t>
            </w:r>
          </w:p>
        </w:tc>
        <w:tc>
          <w:tcPr>
            <w:tcW w:w="7796" w:type="dxa"/>
            <w:tcBorders>
              <w:left w:val="single" w:sz="4" w:space="0" w:color="auto"/>
            </w:tcBorders>
            <w:shd w:val="clear" w:color="auto" w:fill="auto"/>
          </w:tcPr>
          <w:p w14:paraId="3D022708"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CMcost.U</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sSub>
                      <m:sSubPr>
                        <m:ctrlPr>
                          <w:rPr>
                            <w:rFonts w:ascii="Cambria Math" w:hAnsi="Cambria Math" w:cs="Arial"/>
                            <w:i/>
                            <w:sz w:val="18"/>
                          </w:rPr>
                        </m:ctrlPr>
                      </m:sSubPr>
                      <m:e>
                        <m:r>
                          <w:rPr>
                            <w:rFonts w:ascii="Cambria Math" w:hAnsi="Cambria Math" w:cs="Arial"/>
                            <w:sz w:val="18"/>
                          </w:rPr>
                          <m:t>Cases.U</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TreatmentCoverage</m:t>
                        </m:r>
                      </m:e>
                      <m:sub>
                        <m:r>
                          <w:rPr>
                            <w:rFonts w:ascii="Cambria Math" w:hAnsi="Cambria Math" w:cs="Arial"/>
                            <w:sz w:val="18"/>
                          </w:rPr>
                          <m:t>jlt</m:t>
                        </m:r>
                      </m:sub>
                    </m:sSub>
                  </m:e>
                </m:d>
                <m:r>
                  <w:rPr>
                    <w:rFonts w:ascii="Cambria Math" w:hAnsi="Cambria Math" w:cs="Arial"/>
                    <w:sz w:val="18"/>
                  </w:rPr>
                  <m:t>*Treatment.cost.U</m:t>
                </m:r>
              </m:oMath>
            </m:oMathPara>
          </w:p>
          <w:p w14:paraId="16A023BE"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CMcost.S</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sSub>
                      <m:sSubPr>
                        <m:ctrlPr>
                          <w:rPr>
                            <w:rFonts w:ascii="Cambria Math" w:hAnsi="Cambria Math" w:cs="Arial"/>
                            <w:i/>
                            <w:sz w:val="18"/>
                          </w:rPr>
                        </m:ctrlPr>
                      </m:sSubPr>
                      <m:e>
                        <m:r>
                          <w:rPr>
                            <w:rFonts w:ascii="Cambria Math" w:hAnsi="Cambria Math" w:cs="Arial"/>
                            <w:sz w:val="18"/>
                          </w:rPr>
                          <m:t>Cases.S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TreatmentCoverage</m:t>
                        </m:r>
                      </m:e>
                      <m:sub>
                        <m:r>
                          <w:rPr>
                            <w:rFonts w:ascii="Cambria Math" w:hAnsi="Cambria Math" w:cs="Arial"/>
                            <w:sz w:val="18"/>
                          </w:rPr>
                          <m:t>jlt</m:t>
                        </m:r>
                      </m:sub>
                    </m:sSub>
                  </m:e>
                </m:d>
                <m:r>
                  <w:rPr>
                    <w:rFonts w:ascii="Cambria Math" w:hAnsi="Cambria Math" w:cs="Arial"/>
                    <w:sz w:val="18"/>
                  </w:rPr>
                  <m:t>*Treatment.cost.S</m:t>
                </m:r>
              </m:oMath>
            </m:oMathPara>
          </w:p>
          <w:p w14:paraId="1887EE97"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CMcost</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CMcost.U</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CMcost.S</m:t>
                    </m:r>
                  </m:e>
                  <m:sub>
                    <m:r>
                      <w:rPr>
                        <w:rFonts w:ascii="Cambria Math" w:hAnsi="Cambria Math" w:cs="Arial"/>
                        <w:sz w:val="18"/>
                      </w:rPr>
                      <m:t>jlt</m:t>
                    </m:r>
                  </m:sub>
                </m:sSub>
              </m:oMath>
            </m:oMathPara>
          </w:p>
        </w:tc>
      </w:tr>
      <w:tr w:rsidR="00CA774B" w:rsidRPr="00C4522D" w14:paraId="536F569B" w14:textId="77777777" w:rsidTr="004477D5">
        <w:tc>
          <w:tcPr>
            <w:tcW w:w="1276" w:type="dxa"/>
            <w:tcBorders>
              <w:right w:val="single" w:sz="4" w:space="0" w:color="auto"/>
            </w:tcBorders>
          </w:tcPr>
          <w:p w14:paraId="68B0E431"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Treatment savings</w:t>
            </w:r>
          </w:p>
        </w:tc>
        <w:tc>
          <w:tcPr>
            <w:tcW w:w="7796" w:type="dxa"/>
            <w:tcBorders>
              <w:left w:val="single" w:sz="4" w:space="0" w:color="auto"/>
            </w:tcBorders>
            <w:shd w:val="clear" w:color="auto" w:fill="auto"/>
          </w:tcPr>
          <w:p w14:paraId="652F0B1C"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TreatmentSavings.U</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sSub>
                      <m:sSubPr>
                        <m:ctrlPr>
                          <w:rPr>
                            <w:rFonts w:ascii="Cambria Math" w:hAnsi="Cambria Math" w:cs="Arial"/>
                            <w:i/>
                            <w:sz w:val="18"/>
                          </w:rPr>
                        </m:ctrlPr>
                      </m:sSubPr>
                      <m:e>
                        <m:r>
                          <w:rPr>
                            <w:rFonts w:ascii="Cambria Math" w:hAnsi="Cambria Math" w:cs="Arial"/>
                            <w:sz w:val="18"/>
                          </w:rPr>
                          <m:t>CasesAverted.U</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TreatmentCoverage</m:t>
                        </m:r>
                      </m:e>
                      <m:sub>
                        <m:r>
                          <w:rPr>
                            <w:rFonts w:ascii="Cambria Math" w:hAnsi="Cambria Math" w:cs="Arial"/>
                            <w:sz w:val="18"/>
                          </w:rPr>
                          <m:t>jlt</m:t>
                        </m:r>
                      </m:sub>
                    </m:sSub>
                  </m:e>
                </m:d>
                <m:r>
                  <w:rPr>
                    <w:rFonts w:ascii="Cambria Math" w:hAnsi="Cambria Math" w:cs="Arial"/>
                    <w:sz w:val="18"/>
                  </w:rPr>
                  <m:t>*Treatment.cost.U</m:t>
                </m:r>
              </m:oMath>
            </m:oMathPara>
          </w:p>
          <w:p w14:paraId="58CA0CCF"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TreatmentSavings.S</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sSub>
                      <m:sSubPr>
                        <m:ctrlPr>
                          <w:rPr>
                            <w:rFonts w:ascii="Cambria Math" w:hAnsi="Cambria Math" w:cs="Arial"/>
                            <w:i/>
                            <w:sz w:val="18"/>
                          </w:rPr>
                        </m:ctrlPr>
                      </m:sSubPr>
                      <m:e>
                        <m:r>
                          <w:rPr>
                            <w:rFonts w:ascii="Cambria Math" w:hAnsi="Cambria Math" w:cs="Arial"/>
                            <w:sz w:val="18"/>
                          </w:rPr>
                          <m:t>CasesAverted.S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TreatmentCoverage</m:t>
                        </m:r>
                      </m:e>
                      <m:sub>
                        <m:r>
                          <w:rPr>
                            <w:rFonts w:ascii="Cambria Math" w:hAnsi="Cambria Math" w:cs="Arial"/>
                            <w:sz w:val="18"/>
                          </w:rPr>
                          <m:t>jlt</m:t>
                        </m:r>
                      </m:sub>
                    </m:sSub>
                  </m:e>
                </m:d>
                <m:r>
                  <w:rPr>
                    <w:rFonts w:ascii="Cambria Math" w:hAnsi="Cambria Math" w:cs="Arial"/>
                    <w:sz w:val="18"/>
                  </w:rPr>
                  <m:t>*Treatment.cost.S</m:t>
                </m:r>
              </m:oMath>
            </m:oMathPara>
          </w:p>
          <w:p w14:paraId="5A5A40A8" w14:textId="77777777" w:rsidR="00CA774B" w:rsidRPr="00E40467"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TreatmentSavings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TreatmentSavings.U</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TreatmentSavings.S</m:t>
                    </m:r>
                  </m:e>
                  <m:sub>
                    <m:r>
                      <w:rPr>
                        <w:rFonts w:ascii="Cambria Math" w:hAnsi="Cambria Math" w:cs="Arial"/>
                        <w:sz w:val="18"/>
                      </w:rPr>
                      <m:t>jlt</m:t>
                    </m:r>
                  </m:sub>
                </m:sSub>
              </m:oMath>
            </m:oMathPara>
          </w:p>
        </w:tc>
      </w:tr>
      <w:tr w:rsidR="00CA774B" w:rsidRPr="00C4522D" w14:paraId="7027A1D8" w14:textId="77777777" w:rsidTr="004477D5">
        <w:tc>
          <w:tcPr>
            <w:tcW w:w="1276" w:type="dxa"/>
            <w:tcBorders>
              <w:right w:val="single" w:sz="4" w:space="0" w:color="auto"/>
            </w:tcBorders>
          </w:tcPr>
          <w:p w14:paraId="715A4F86"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ITN</w:t>
            </w:r>
          </w:p>
        </w:tc>
        <w:tc>
          <w:tcPr>
            <w:tcW w:w="7796" w:type="dxa"/>
            <w:tcBorders>
              <w:left w:val="single" w:sz="4" w:space="0" w:color="auto"/>
            </w:tcBorders>
            <w:shd w:val="clear" w:color="auto" w:fill="auto"/>
          </w:tcPr>
          <w:p w14:paraId="30A9B201"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ITNcost.MRC</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d>
                      <m:dPr>
                        <m:ctrlPr>
                          <w:rPr>
                            <w:rFonts w:ascii="Cambria Math" w:hAnsi="Cambria Math" w:cs="Arial"/>
                            <w:i/>
                            <w:sz w:val="18"/>
                          </w:rPr>
                        </m:ctrlPr>
                      </m:dPr>
                      <m:e>
                        <m:r>
                          <w:rPr>
                            <w:rFonts w:ascii="Cambria Math" w:hAnsi="Cambria Math" w:cs="Arial"/>
                            <w:sz w:val="18"/>
                          </w:rPr>
                          <m:t xml:space="preserve"> </m:t>
                        </m:r>
                        <m:f>
                          <m:fPr>
                            <m:ctrlPr>
                              <w:rPr>
                                <w:rFonts w:ascii="Cambria Math" w:hAnsi="Cambria Math" w:cs="Arial"/>
                                <w:i/>
                                <w:sz w:val="18"/>
                              </w:rPr>
                            </m:ctrlPr>
                          </m:fPr>
                          <m:num>
                            <m:sSub>
                              <m:sSubPr>
                                <m:ctrlPr>
                                  <w:rPr>
                                    <w:rFonts w:ascii="Cambria Math" w:hAnsi="Cambria Math" w:cs="Arial"/>
                                    <w:i/>
                                    <w:sz w:val="18"/>
                                  </w:rPr>
                                </m:ctrlPr>
                              </m:sSubPr>
                              <m:e>
                                <m:r>
                                  <w:rPr>
                                    <w:rFonts w:ascii="Cambria Math" w:hAnsi="Cambria Math" w:cs="Arial"/>
                                    <w:sz w:val="18"/>
                                  </w:rPr>
                                  <m:t>Population</m:t>
                                </m:r>
                              </m:e>
                              <m:sub>
                                <m:r>
                                  <w:rPr>
                                    <w:rFonts w:ascii="Cambria Math" w:hAnsi="Cambria Math" w:cs="Arial"/>
                                    <w:sz w:val="18"/>
                                  </w:rPr>
                                  <m:t>2016</m:t>
                                </m:r>
                              </m:sub>
                            </m:sSub>
                          </m:num>
                          <m:den>
                            <m:r>
                              <w:rPr>
                                <w:rFonts w:ascii="Cambria Math" w:hAnsi="Cambria Math" w:cs="Arial"/>
                                <w:sz w:val="18"/>
                              </w:rPr>
                              <m:t>PopPerNet</m:t>
                            </m:r>
                          </m:den>
                        </m:f>
                      </m:e>
                    </m:d>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ITNcov.MRC</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MRCrounds</m:t>
                        </m:r>
                      </m:e>
                      <m:sub>
                        <m:r>
                          <w:rPr>
                            <w:rFonts w:ascii="Cambria Math" w:hAnsi="Cambria Math" w:cs="Arial"/>
                            <w:sz w:val="18"/>
                          </w:rPr>
                          <m:t>jlt</m:t>
                        </m:r>
                      </m:sub>
                    </m:sSub>
                  </m:e>
                </m:d>
                <m:r>
                  <w:rPr>
                    <w:rFonts w:ascii="Cambria Math" w:hAnsi="Cambria Math" w:cs="Arial"/>
                    <w:sz w:val="18"/>
                  </w:rPr>
                  <m:t>*ITN.cost.MRC</m:t>
                </m:r>
              </m:oMath>
            </m:oMathPara>
          </w:p>
          <w:p w14:paraId="791EA09C" w14:textId="77777777" w:rsidR="00CA774B" w:rsidRPr="00E40467" w:rsidRDefault="008E700E" w:rsidP="004477D5">
            <w:pPr>
              <w:spacing w:after="200" w:line="276" w:lineRule="auto"/>
              <w:rPr>
                <w:rFonts w:asciiTheme="minorHAnsi" w:hAnsiTheme="minorHAnsi" w:cs="Arial"/>
                <w:sz w:val="18"/>
                <w:szCs w:val="16"/>
              </w:rPr>
            </w:pPr>
            <m:oMathPara>
              <m:oMathParaPr>
                <m:jc m:val="left"/>
              </m:oMathParaPr>
              <m:oMath>
                <m:sSub>
                  <m:sSubPr>
                    <m:ctrlPr>
                      <w:rPr>
                        <w:rFonts w:ascii="Cambria Math" w:hAnsi="Cambria Math" w:cs="Arial"/>
                        <w:i/>
                        <w:sz w:val="18"/>
                        <w:szCs w:val="16"/>
                      </w:rPr>
                    </m:ctrlPr>
                  </m:sSubPr>
                  <m:e>
                    <m:r>
                      <w:rPr>
                        <w:rFonts w:ascii="Cambria Math" w:hAnsi="Cambria Math" w:cs="Arial"/>
                        <w:sz w:val="18"/>
                        <w:szCs w:val="16"/>
                      </w:rPr>
                      <m:t>ITNcost.SNP</m:t>
                    </m:r>
                  </m:e>
                  <m:sub>
                    <m:r>
                      <w:rPr>
                        <w:rFonts w:ascii="Cambria Math" w:hAnsi="Cambria Math" w:cs="Arial"/>
                        <w:sz w:val="18"/>
                        <w:szCs w:val="16"/>
                      </w:rPr>
                      <m:t>jlt</m:t>
                    </m:r>
                  </m:sub>
                </m:sSub>
                <m:r>
                  <w:rPr>
                    <w:rFonts w:ascii="Cambria Math" w:hAnsi="Cambria Math" w:cs="Arial"/>
                    <w:sz w:val="18"/>
                    <w:szCs w:val="16"/>
                  </w:rPr>
                  <m:t>=</m:t>
                </m:r>
                <m:d>
                  <m:dPr>
                    <m:ctrlPr>
                      <w:rPr>
                        <w:rFonts w:ascii="Cambria Math" w:hAnsi="Cambria Math" w:cs="Arial"/>
                        <w:i/>
                        <w:sz w:val="18"/>
                        <w:szCs w:val="16"/>
                      </w:rPr>
                    </m:ctrlPr>
                  </m:dPr>
                  <m:e>
                    <m:d>
                      <m:dPr>
                        <m:ctrlPr>
                          <w:rPr>
                            <w:rFonts w:ascii="Cambria Math" w:hAnsi="Cambria Math" w:cs="Arial"/>
                            <w:i/>
                            <w:sz w:val="18"/>
                            <w:szCs w:val="16"/>
                          </w:rPr>
                        </m:ctrlPr>
                      </m:dPr>
                      <m:e>
                        <m:d>
                          <m:dPr>
                            <m:ctrlPr>
                              <w:rPr>
                                <w:rFonts w:ascii="Cambria Math" w:hAnsi="Cambria Math" w:cs="Arial"/>
                                <w:i/>
                                <w:sz w:val="18"/>
                                <w:szCs w:val="16"/>
                              </w:rPr>
                            </m:ctrlPr>
                          </m:dPr>
                          <m:e>
                            <m:f>
                              <m:fPr>
                                <m:ctrlPr>
                                  <w:rPr>
                                    <w:rFonts w:ascii="Cambria Math" w:hAnsi="Cambria Math" w:cs="Arial"/>
                                    <w:i/>
                                    <w:sz w:val="18"/>
                                    <w:szCs w:val="16"/>
                                  </w:rPr>
                                </m:ctrlPr>
                              </m:fPr>
                              <m:num>
                                <m:sSub>
                                  <m:sSubPr>
                                    <m:ctrlPr>
                                      <w:rPr>
                                        <w:rFonts w:ascii="Cambria Math" w:hAnsi="Cambria Math" w:cs="Arial"/>
                                        <w:i/>
                                        <w:sz w:val="18"/>
                                        <w:szCs w:val="16"/>
                                      </w:rPr>
                                    </m:ctrlPr>
                                  </m:sSubPr>
                                  <m:e>
                                    <m:r>
                                      <w:rPr>
                                        <w:rFonts w:ascii="Cambria Math" w:hAnsi="Cambria Math" w:cs="Arial"/>
                                        <w:sz w:val="18"/>
                                        <w:szCs w:val="16"/>
                                      </w:rPr>
                                      <m:t>Population</m:t>
                                    </m:r>
                                  </m:e>
                                  <m:sub>
                                    <m:r>
                                      <w:rPr>
                                        <w:rFonts w:ascii="Cambria Math" w:hAnsi="Cambria Math" w:cs="Arial"/>
                                        <w:sz w:val="18"/>
                                        <w:szCs w:val="16"/>
                                      </w:rPr>
                                      <m:t>2016</m:t>
                                    </m:r>
                                  </m:sub>
                                </m:sSub>
                              </m:num>
                              <m:den>
                                <m:r>
                                  <w:rPr>
                                    <w:rFonts w:ascii="Cambria Math" w:hAnsi="Cambria Math" w:cs="Arial"/>
                                    <w:sz w:val="18"/>
                                    <w:szCs w:val="16"/>
                                  </w:rPr>
                                  <m:t>PopPerNet</m:t>
                                </m:r>
                              </m:den>
                            </m:f>
                          </m:e>
                        </m:d>
                        <m:r>
                          <w:rPr>
                            <w:rFonts w:ascii="Cambria Math" w:hAnsi="Cambria Math" w:cs="Arial"/>
                            <w:sz w:val="18"/>
                            <w:szCs w:val="16"/>
                          </w:rPr>
                          <m:t>*</m:t>
                        </m:r>
                        <m:sSub>
                          <m:sSubPr>
                            <m:ctrlPr>
                              <w:rPr>
                                <w:rFonts w:ascii="Cambria Math" w:hAnsi="Cambria Math" w:cs="Arial"/>
                                <w:i/>
                                <w:sz w:val="18"/>
                                <w:szCs w:val="16"/>
                              </w:rPr>
                            </m:ctrlPr>
                          </m:sSubPr>
                          <m:e>
                            <m:r>
                              <w:rPr>
                                <w:rFonts w:ascii="Cambria Math" w:hAnsi="Cambria Math" w:cs="Arial"/>
                                <w:sz w:val="18"/>
                                <w:szCs w:val="16"/>
                              </w:rPr>
                              <m:t>attrition</m:t>
                            </m:r>
                          </m:e>
                          <m:sub>
                            <m:r>
                              <w:rPr>
                                <w:rFonts w:ascii="Cambria Math" w:hAnsi="Cambria Math" w:cs="Arial"/>
                                <w:sz w:val="18"/>
                                <w:szCs w:val="16"/>
                              </w:rPr>
                              <m:t>k</m:t>
                            </m:r>
                          </m:sub>
                        </m:sSub>
                        <m:r>
                          <w:rPr>
                            <w:rFonts w:ascii="Cambria Math" w:hAnsi="Cambria Math" w:cs="Arial"/>
                            <w:sz w:val="18"/>
                            <w:szCs w:val="16"/>
                          </w:rPr>
                          <m:t>*</m:t>
                        </m:r>
                        <m:sSub>
                          <m:sSubPr>
                            <m:ctrlPr>
                              <w:rPr>
                                <w:rFonts w:ascii="Cambria Math" w:hAnsi="Cambria Math" w:cs="Arial"/>
                                <w:i/>
                                <w:sz w:val="18"/>
                                <w:szCs w:val="16"/>
                              </w:rPr>
                            </m:ctrlPr>
                          </m:sSubPr>
                          <m:e>
                            <m:r>
                              <w:rPr>
                                <w:rFonts w:ascii="Cambria Math" w:hAnsi="Cambria Math" w:cs="Arial"/>
                                <w:sz w:val="18"/>
                                <w:szCs w:val="16"/>
                              </w:rPr>
                              <m:t>ITNcov.SNP</m:t>
                            </m:r>
                          </m:e>
                          <m:sub>
                            <m:r>
                              <w:rPr>
                                <w:rFonts w:ascii="Cambria Math" w:hAnsi="Cambria Math" w:cs="Arial"/>
                                <w:sz w:val="18"/>
                                <w:szCs w:val="16"/>
                              </w:rPr>
                              <m:t>jlt</m:t>
                            </m:r>
                          </m:sub>
                        </m:sSub>
                      </m:e>
                    </m:d>
                    <m:r>
                      <w:rPr>
                        <w:rFonts w:ascii="Cambria Math" w:hAnsi="Cambria Math" w:cs="Arial"/>
                        <w:sz w:val="18"/>
                        <w:szCs w:val="16"/>
                      </w:rPr>
                      <m:t>*</m:t>
                    </m:r>
                    <m:sSub>
                      <m:sSubPr>
                        <m:ctrlPr>
                          <w:rPr>
                            <w:rFonts w:ascii="Cambria Math" w:hAnsi="Cambria Math" w:cs="Arial"/>
                            <w:i/>
                            <w:sz w:val="18"/>
                            <w:szCs w:val="16"/>
                          </w:rPr>
                        </m:ctrlPr>
                      </m:sSubPr>
                      <m:e>
                        <m:r>
                          <w:rPr>
                            <w:rFonts w:ascii="Cambria Math" w:hAnsi="Cambria Math" w:cs="Arial"/>
                            <w:sz w:val="18"/>
                            <w:szCs w:val="16"/>
                          </w:rPr>
                          <m:t>SNProunds</m:t>
                        </m:r>
                      </m:e>
                      <m:sub>
                        <m:r>
                          <w:rPr>
                            <w:rFonts w:ascii="Cambria Math" w:hAnsi="Cambria Math" w:cs="Arial"/>
                            <w:sz w:val="18"/>
                            <w:szCs w:val="16"/>
                          </w:rPr>
                          <m:t>jlt</m:t>
                        </m:r>
                      </m:sub>
                    </m:sSub>
                  </m:e>
                </m:d>
                <m:r>
                  <w:rPr>
                    <w:rFonts w:ascii="Cambria Math" w:hAnsi="Cambria Math" w:cs="Arial"/>
                    <w:sz w:val="18"/>
                    <w:szCs w:val="16"/>
                  </w:rPr>
                  <m:t>*ITN.cost.SNP</m:t>
                </m:r>
              </m:oMath>
            </m:oMathPara>
          </w:p>
          <w:p w14:paraId="27046F1E" w14:textId="77777777" w:rsidR="00CA774B" w:rsidRPr="00E40467"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ITNcost</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ITNcost.MRC</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ITNcost.SNP</m:t>
                    </m:r>
                  </m:e>
                  <m:sub>
                    <m:r>
                      <w:rPr>
                        <w:rFonts w:ascii="Cambria Math" w:hAnsi="Cambria Math" w:cs="Arial"/>
                        <w:sz w:val="18"/>
                      </w:rPr>
                      <m:t>jlt</m:t>
                    </m:r>
                  </m:sub>
                </m:sSub>
              </m:oMath>
            </m:oMathPara>
          </w:p>
        </w:tc>
      </w:tr>
      <w:tr w:rsidR="00CA774B" w:rsidRPr="00C4522D" w14:paraId="3A92A345" w14:textId="77777777" w:rsidTr="004477D5">
        <w:tc>
          <w:tcPr>
            <w:tcW w:w="1276" w:type="dxa"/>
            <w:tcBorders>
              <w:right w:val="single" w:sz="4" w:space="0" w:color="auto"/>
            </w:tcBorders>
          </w:tcPr>
          <w:p w14:paraId="3B78D467"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IRS</w:t>
            </w:r>
          </w:p>
        </w:tc>
        <w:tc>
          <w:tcPr>
            <w:tcW w:w="7796" w:type="dxa"/>
            <w:tcBorders>
              <w:left w:val="single" w:sz="4" w:space="0" w:color="auto"/>
            </w:tcBorders>
            <w:shd w:val="clear" w:color="auto" w:fill="auto"/>
          </w:tcPr>
          <w:p w14:paraId="257953DA" w14:textId="77777777" w:rsidR="00CA774B" w:rsidRPr="00521150" w:rsidRDefault="008E700E" w:rsidP="004477D5">
            <w:pPr>
              <w:keepLines w:val="0"/>
              <w:spacing w:before="0" w:beforeAutospacing="0" w:after="200" w:afterAutospacing="0" w:line="276" w:lineRule="auto"/>
              <w:ind w:left="0" w:right="0"/>
              <w:contextualSpacing w:val="0"/>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IRScosts</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d>
                      <m:dPr>
                        <m:ctrlPr>
                          <w:rPr>
                            <w:rFonts w:ascii="Cambria Math" w:hAnsi="Cambria Math" w:cs="Arial"/>
                            <w:i/>
                            <w:sz w:val="18"/>
                          </w:rPr>
                        </m:ctrlPr>
                      </m:dPr>
                      <m:e>
                        <m:f>
                          <m:fPr>
                            <m:ctrlPr>
                              <w:rPr>
                                <w:rFonts w:ascii="Cambria Math" w:hAnsi="Cambria Math" w:cs="Arial"/>
                                <w:i/>
                                <w:sz w:val="18"/>
                              </w:rPr>
                            </m:ctrlPr>
                          </m:fPr>
                          <m:num>
                            <m:sSub>
                              <m:sSubPr>
                                <m:ctrlPr>
                                  <w:rPr>
                                    <w:rFonts w:ascii="Cambria Math" w:hAnsi="Cambria Math" w:cs="Arial"/>
                                    <w:i/>
                                    <w:sz w:val="18"/>
                                  </w:rPr>
                                </m:ctrlPr>
                              </m:sSubPr>
                              <m:e>
                                <m:r>
                                  <w:rPr>
                                    <w:rFonts w:ascii="Cambria Math" w:hAnsi="Cambria Math" w:cs="Arial"/>
                                    <w:sz w:val="18"/>
                                  </w:rPr>
                                  <m:t>Population</m:t>
                                </m:r>
                              </m:e>
                              <m:sub>
                                <m:r>
                                  <w:rPr>
                                    <w:rFonts w:ascii="Cambria Math" w:hAnsi="Cambria Math" w:cs="Arial"/>
                                    <w:sz w:val="18"/>
                                  </w:rPr>
                                  <m:t>2016</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IRScoverage</m:t>
                                </m:r>
                              </m:e>
                              <m:sub>
                                <m:r>
                                  <w:rPr>
                                    <w:rFonts w:ascii="Cambria Math" w:hAnsi="Cambria Math" w:cs="Arial"/>
                                    <w:sz w:val="18"/>
                                  </w:rPr>
                                  <m:t>jlt</m:t>
                                </m:r>
                              </m:sub>
                            </m:sSub>
                          </m:num>
                          <m:den>
                            <m:r>
                              <w:rPr>
                                <w:rFonts w:ascii="Cambria Math" w:hAnsi="Cambria Math" w:cs="Arial"/>
                                <w:sz w:val="18"/>
                              </w:rPr>
                              <m:t>Pop.perHH</m:t>
                            </m:r>
                          </m:den>
                        </m:f>
                      </m:e>
                    </m:d>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IRSrounds</m:t>
                        </m:r>
                      </m:e>
                      <m:sub>
                        <m:r>
                          <w:rPr>
                            <w:rFonts w:ascii="Cambria Math" w:hAnsi="Cambria Math" w:cs="Arial"/>
                            <w:sz w:val="18"/>
                          </w:rPr>
                          <m:t>jlt</m:t>
                        </m:r>
                      </m:sub>
                    </m:sSub>
                  </m:e>
                </m:d>
                <m:r>
                  <w:rPr>
                    <w:rFonts w:ascii="Cambria Math" w:hAnsi="Cambria Math" w:cs="Arial"/>
                    <w:sz w:val="18"/>
                  </w:rPr>
                  <m:t>*IRScost</m:t>
                </m:r>
              </m:oMath>
            </m:oMathPara>
          </w:p>
        </w:tc>
      </w:tr>
      <w:tr w:rsidR="00CA774B" w:rsidRPr="00C4522D" w14:paraId="46FBF80D" w14:textId="77777777" w:rsidTr="004477D5">
        <w:tc>
          <w:tcPr>
            <w:tcW w:w="1276" w:type="dxa"/>
            <w:tcBorders>
              <w:right w:val="single" w:sz="4" w:space="0" w:color="auto"/>
            </w:tcBorders>
          </w:tcPr>
          <w:p w14:paraId="268E5613"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LSM</w:t>
            </w:r>
          </w:p>
        </w:tc>
        <w:tc>
          <w:tcPr>
            <w:tcW w:w="7796" w:type="dxa"/>
            <w:tcBorders>
              <w:left w:val="single" w:sz="4" w:space="0" w:color="auto"/>
            </w:tcBorders>
            <w:shd w:val="clear" w:color="auto" w:fill="auto"/>
          </w:tcPr>
          <w:p w14:paraId="3D88DFBC" w14:textId="77777777" w:rsidR="00CA774B" w:rsidRPr="00E40467"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LSMcosts</m:t>
                    </m:r>
                  </m:e>
                  <m:sub>
                    <m:r>
                      <w:rPr>
                        <w:rFonts w:ascii="Cambria Math" w:hAnsi="Cambria Math" w:cs="Arial"/>
                        <w:sz w:val="18"/>
                      </w:rPr>
                      <m:t>jlt</m:t>
                    </m:r>
                  </m:sub>
                </m:sSub>
                <m:r>
                  <w:rPr>
                    <w:rFonts w:ascii="Cambria Math" w:hAnsi="Cambria Math" w:cs="Arial"/>
                    <w:sz w:val="18"/>
                  </w:rPr>
                  <m:t>=</m:t>
                </m:r>
                <m:d>
                  <m:dPr>
                    <m:ctrlPr>
                      <w:rPr>
                        <w:rFonts w:ascii="Cambria Math" w:hAnsi="Cambria Math" w:cs="Arial"/>
                        <w:i/>
                        <w:sz w:val="18"/>
                      </w:rPr>
                    </m:ctrlPr>
                  </m:dPr>
                  <m:e>
                    <m:d>
                      <m:dPr>
                        <m:ctrlPr>
                          <w:rPr>
                            <w:rFonts w:ascii="Cambria Math" w:hAnsi="Cambria Math" w:cs="Arial"/>
                            <w:i/>
                            <w:sz w:val="18"/>
                          </w:rPr>
                        </m:ctrlPr>
                      </m:dPr>
                      <m:e>
                        <m:sSub>
                          <m:sSubPr>
                            <m:ctrlPr>
                              <w:rPr>
                                <w:rFonts w:ascii="Cambria Math" w:hAnsi="Cambria Math" w:cs="Arial"/>
                                <w:i/>
                                <w:sz w:val="18"/>
                              </w:rPr>
                            </m:ctrlPr>
                          </m:sSubPr>
                          <m:e>
                            <m:r>
                              <w:rPr>
                                <w:rFonts w:ascii="Cambria Math" w:hAnsi="Cambria Math" w:cs="Arial"/>
                                <w:sz w:val="18"/>
                              </w:rPr>
                              <m:t>Population</m:t>
                            </m:r>
                          </m:e>
                          <m:sub>
                            <m:r>
                              <w:rPr>
                                <w:rFonts w:ascii="Cambria Math" w:hAnsi="Cambria Math" w:cs="Arial"/>
                                <w:sz w:val="18"/>
                              </w:rPr>
                              <m:t>2016</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LSMcoverage</m:t>
                            </m:r>
                          </m:e>
                          <m:sub>
                            <m:r>
                              <w:rPr>
                                <w:rFonts w:ascii="Cambria Math" w:hAnsi="Cambria Math" w:cs="Arial"/>
                                <w:sz w:val="18"/>
                              </w:rPr>
                              <m:t>jlt</m:t>
                            </m:r>
                          </m:sub>
                        </m:sSub>
                      </m:e>
                    </m:d>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LSMrounds</m:t>
                        </m:r>
                      </m:e>
                      <m:sub>
                        <m:r>
                          <w:rPr>
                            <w:rFonts w:ascii="Cambria Math" w:hAnsi="Cambria Math" w:cs="Arial"/>
                            <w:sz w:val="18"/>
                          </w:rPr>
                          <m:t>jlt</m:t>
                        </m:r>
                      </m:sub>
                    </m:sSub>
                  </m:e>
                </m:d>
                <m:r>
                  <w:rPr>
                    <w:rFonts w:ascii="Cambria Math" w:hAnsi="Cambria Math" w:cs="Arial"/>
                    <w:sz w:val="18"/>
                  </w:rPr>
                  <m:t>*LSMcost</m:t>
                </m:r>
              </m:oMath>
            </m:oMathPara>
          </w:p>
        </w:tc>
      </w:tr>
      <w:tr w:rsidR="00CA774B" w:rsidRPr="00C4522D" w14:paraId="5C1E530D" w14:textId="77777777" w:rsidTr="004477D5">
        <w:tc>
          <w:tcPr>
            <w:tcW w:w="1276" w:type="dxa"/>
            <w:tcBorders>
              <w:right w:val="single" w:sz="4" w:space="0" w:color="auto"/>
            </w:tcBorders>
          </w:tcPr>
          <w:p w14:paraId="4B67F2DF"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Total costs</w:t>
            </w:r>
          </w:p>
        </w:tc>
        <w:tc>
          <w:tcPr>
            <w:tcW w:w="7796" w:type="dxa"/>
            <w:tcBorders>
              <w:left w:val="single" w:sz="4" w:space="0" w:color="auto"/>
            </w:tcBorders>
            <w:shd w:val="clear" w:color="auto" w:fill="auto"/>
          </w:tcPr>
          <w:p w14:paraId="6DDD4148" w14:textId="77777777" w:rsidR="00CA774B" w:rsidRPr="00E40467"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Total costs</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CMcosts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ITNcosts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IRScosts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LSMcosts</m:t>
                    </m:r>
                  </m:e>
                  <m:sub>
                    <m:r>
                      <w:rPr>
                        <w:rFonts w:ascii="Cambria Math" w:hAnsi="Cambria Math" w:cs="Arial"/>
                        <w:sz w:val="18"/>
                      </w:rPr>
                      <m:t>jlt</m:t>
                    </m:r>
                  </m:sub>
                </m:sSub>
                <m:r>
                  <w:rPr>
                    <w:rFonts w:ascii="Cambria Math" w:hAnsi="Cambria Math" w:cs="Arial"/>
                    <w:sz w:val="18"/>
                  </w:rPr>
                  <m:t>+</m:t>
                </m:r>
                <m:sSub>
                  <m:sSubPr>
                    <m:ctrlPr>
                      <w:rPr>
                        <w:rFonts w:ascii="Cambria Math" w:hAnsi="Cambria Math" w:cs="Arial"/>
                        <w:i/>
                        <w:sz w:val="18"/>
                      </w:rPr>
                    </m:ctrlPr>
                  </m:sSubPr>
                  <m:e>
                    <m:r>
                      <w:rPr>
                        <w:rFonts w:ascii="Cambria Math" w:hAnsi="Cambria Math" w:cs="Arial"/>
                        <w:sz w:val="18"/>
                      </w:rPr>
                      <m:t>MDAcosts</m:t>
                    </m:r>
                  </m:e>
                  <m:sub>
                    <m:r>
                      <w:rPr>
                        <w:rFonts w:ascii="Cambria Math" w:hAnsi="Cambria Math" w:cs="Arial"/>
                        <w:sz w:val="18"/>
                      </w:rPr>
                      <m:t>jlt</m:t>
                    </m:r>
                  </m:sub>
                </m:sSub>
              </m:oMath>
            </m:oMathPara>
          </w:p>
        </w:tc>
      </w:tr>
      <w:tr w:rsidR="00CA774B" w:rsidRPr="00C4522D" w14:paraId="66903972" w14:textId="77777777" w:rsidTr="004477D5">
        <w:tc>
          <w:tcPr>
            <w:tcW w:w="1276" w:type="dxa"/>
            <w:tcBorders>
              <w:right w:val="single" w:sz="4" w:space="0" w:color="auto"/>
            </w:tcBorders>
          </w:tcPr>
          <w:p w14:paraId="12650925"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Total net costs</w:t>
            </w:r>
          </w:p>
        </w:tc>
        <w:tc>
          <w:tcPr>
            <w:tcW w:w="7796" w:type="dxa"/>
            <w:tcBorders>
              <w:left w:val="single" w:sz="4" w:space="0" w:color="auto"/>
            </w:tcBorders>
            <w:shd w:val="clear" w:color="auto" w:fill="auto"/>
          </w:tcPr>
          <w:p w14:paraId="491C87BD"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 xml:space="preserve"> Total net costs</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Total costs</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TreatmentSavings</m:t>
                    </m:r>
                  </m:e>
                  <m:sub>
                    <m:r>
                      <w:rPr>
                        <w:rFonts w:ascii="Cambria Math" w:hAnsi="Cambria Math" w:cs="Arial"/>
                        <w:sz w:val="18"/>
                      </w:rPr>
                      <m:t>jlt</m:t>
                    </m:r>
                  </m:sub>
                </m:sSub>
              </m:oMath>
            </m:oMathPara>
          </w:p>
        </w:tc>
      </w:tr>
      <w:tr w:rsidR="00CA774B" w:rsidRPr="00C4522D" w14:paraId="169A7660" w14:textId="77777777" w:rsidTr="004477D5">
        <w:tc>
          <w:tcPr>
            <w:tcW w:w="1276" w:type="dxa"/>
            <w:tcBorders>
              <w:right w:val="single" w:sz="4" w:space="0" w:color="auto"/>
            </w:tcBorders>
          </w:tcPr>
          <w:p w14:paraId="45F8B7CF" w14:textId="77777777" w:rsidR="00CA774B" w:rsidRPr="00D60EDE" w:rsidRDefault="00CA774B" w:rsidP="004477D5">
            <w:pPr>
              <w:rPr>
                <w:rFonts w:asciiTheme="minorHAnsi" w:hAnsiTheme="minorHAnsi" w:cs="Arial"/>
                <w:sz w:val="20"/>
              </w:rPr>
            </w:pPr>
            <w:r w:rsidRPr="00D60EDE">
              <w:rPr>
                <w:rFonts w:asciiTheme="minorHAnsi" w:hAnsiTheme="minorHAnsi" w:cs="Arial"/>
                <w:sz w:val="20"/>
              </w:rPr>
              <w:t>Intervention costs</w:t>
            </w:r>
          </w:p>
        </w:tc>
        <w:tc>
          <w:tcPr>
            <w:tcW w:w="7796" w:type="dxa"/>
            <w:tcBorders>
              <w:left w:val="single" w:sz="4" w:space="0" w:color="auto"/>
            </w:tcBorders>
            <w:shd w:val="clear" w:color="auto" w:fill="auto"/>
          </w:tcPr>
          <w:p w14:paraId="71B06187" w14:textId="77777777" w:rsidR="00CA774B" w:rsidRPr="00521150" w:rsidRDefault="008E700E" w:rsidP="004477D5">
            <w:pPr>
              <w:spacing w:after="200" w:line="276" w:lineRule="auto"/>
              <w:rPr>
                <w:rFonts w:asciiTheme="minorHAnsi" w:hAnsiTheme="minorHAnsi" w:cs="Arial"/>
                <w:sz w:val="18"/>
              </w:rPr>
            </w:pPr>
            <m:oMathPara>
              <m:oMathParaPr>
                <m:jc m:val="left"/>
              </m:oMathParaPr>
              <m:oMath>
                <m:sSub>
                  <m:sSubPr>
                    <m:ctrlPr>
                      <w:rPr>
                        <w:rFonts w:ascii="Cambria Math" w:hAnsi="Cambria Math" w:cs="Arial"/>
                        <w:i/>
                        <w:sz w:val="18"/>
                      </w:rPr>
                    </m:ctrlPr>
                  </m:sSubPr>
                  <m:e>
                    <m:r>
                      <w:rPr>
                        <w:rFonts w:ascii="Cambria Math" w:hAnsi="Cambria Math" w:cs="Arial"/>
                        <w:sz w:val="18"/>
                      </w:rPr>
                      <m:t>Intervention costs</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Total costs</m:t>
                    </m:r>
                  </m:e>
                  <m:sub>
                    <m:r>
                      <w:rPr>
                        <w:rFonts w:ascii="Cambria Math" w:hAnsi="Cambria Math" w:cs="Arial"/>
                        <w:sz w:val="18"/>
                      </w:rPr>
                      <m:t>jlt</m:t>
                    </m:r>
                  </m:sub>
                </m:sSub>
                <m:r>
                  <w:rPr>
                    <w:rFonts w:ascii="Cambria Math" w:hAnsi="Cambria Math" w:cs="Arial"/>
                    <w:sz w:val="18"/>
                  </w:rPr>
                  <m:t xml:space="preserve">- </m:t>
                </m:r>
                <m:sSub>
                  <m:sSubPr>
                    <m:ctrlPr>
                      <w:rPr>
                        <w:rFonts w:ascii="Cambria Math" w:hAnsi="Cambria Math" w:cs="Arial"/>
                        <w:i/>
                        <w:sz w:val="18"/>
                      </w:rPr>
                    </m:ctrlPr>
                  </m:sSubPr>
                  <m:e>
                    <m:r>
                      <w:rPr>
                        <w:rFonts w:ascii="Cambria Math" w:hAnsi="Cambria Math" w:cs="Arial"/>
                        <w:sz w:val="18"/>
                      </w:rPr>
                      <m:t>CMcosts</m:t>
                    </m:r>
                  </m:e>
                  <m:sub>
                    <m:r>
                      <w:rPr>
                        <w:rFonts w:ascii="Cambria Math" w:hAnsi="Cambria Math" w:cs="Arial"/>
                        <w:sz w:val="18"/>
                      </w:rPr>
                      <m:t>jlt</m:t>
                    </m:r>
                  </m:sub>
                </m:sSub>
              </m:oMath>
            </m:oMathPara>
          </w:p>
        </w:tc>
      </w:tr>
    </w:tbl>
    <w:p w14:paraId="3EBBFDF1" w14:textId="77777777" w:rsidR="005900F5" w:rsidRDefault="005900F5">
      <w:pPr>
        <w:rPr>
          <w:rFonts w:ascii="Arial" w:hAnsi="Arial" w:cs="Arial"/>
        </w:rPr>
      </w:pPr>
    </w:p>
    <w:p w14:paraId="4D09E1D0" w14:textId="77777777" w:rsidR="00CA774B" w:rsidRDefault="00CA774B">
      <w:pPr>
        <w:rPr>
          <w:rFonts w:cs="Arial"/>
          <w:b/>
          <w:sz w:val="24"/>
        </w:rPr>
      </w:pPr>
      <w:r>
        <w:rPr>
          <w:rFonts w:cs="Arial"/>
          <w:b/>
          <w:sz w:val="24"/>
        </w:rPr>
        <w:br w:type="page"/>
      </w:r>
    </w:p>
    <w:p w14:paraId="0F28CB8C" w14:textId="77777777" w:rsidR="00CA774B" w:rsidRDefault="00CA774B">
      <w:pPr>
        <w:rPr>
          <w:rFonts w:cs="Arial"/>
          <w:b/>
          <w:sz w:val="24"/>
        </w:rPr>
      </w:pPr>
      <w:r w:rsidRPr="00CA774B">
        <w:rPr>
          <w:rFonts w:cs="Arial"/>
          <w:b/>
          <w:sz w:val="24"/>
        </w:rPr>
        <w:lastRenderedPageBreak/>
        <w:t>References</w:t>
      </w:r>
    </w:p>
    <w:p w14:paraId="2B156B50" w14:textId="77777777" w:rsidR="00CA774B" w:rsidRPr="00CA774B" w:rsidRDefault="00CA774B" w:rsidP="00CA774B">
      <w:pPr>
        <w:pStyle w:val="Bibliography"/>
        <w:rPr>
          <w:rFonts w:ascii="Calibri" w:hAnsi="Calibri"/>
          <w:sz w:val="24"/>
        </w:rPr>
      </w:pPr>
      <w:r>
        <w:rPr>
          <w:rFonts w:cs="Arial"/>
          <w:b/>
        </w:rPr>
        <w:fldChar w:fldCharType="begin"/>
      </w:r>
      <w:r>
        <w:rPr>
          <w:rFonts w:cs="Arial"/>
          <w:b/>
        </w:rPr>
        <w:instrText xml:space="preserve"> ADDIN ZOTERO_BIBL {"uncited":[],"omitted":[],"custom":[]} CSL_BIBLIOGRAPHY </w:instrText>
      </w:r>
      <w:r>
        <w:rPr>
          <w:rFonts w:cs="Arial"/>
          <w:b/>
        </w:rPr>
        <w:fldChar w:fldCharType="separate"/>
      </w:r>
      <w:r w:rsidRPr="00CA774B">
        <w:rPr>
          <w:rFonts w:ascii="Calibri" w:hAnsi="Calibri"/>
          <w:sz w:val="24"/>
        </w:rPr>
        <w:t xml:space="preserve">1. </w:t>
      </w:r>
      <w:r w:rsidRPr="00CA774B">
        <w:rPr>
          <w:rFonts w:ascii="Calibri" w:hAnsi="Calibri"/>
          <w:sz w:val="24"/>
        </w:rPr>
        <w:tab/>
        <w:t>Galactionova K, Tediosi F, Camponovo F, Smith TA, Gething PW, Penny MA. Country specific predictions of the cost-effectiveness of malaria vaccine RTS,S/AS01 in endemic Africa. Vaccine. 2017;35: 53–60. doi:10.1016/j.vaccine.2016.11.042</w:t>
      </w:r>
    </w:p>
    <w:p w14:paraId="6FC2B167" w14:textId="77777777" w:rsidR="00CA774B" w:rsidRPr="00CA774B" w:rsidRDefault="00CA774B" w:rsidP="00CA774B">
      <w:pPr>
        <w:pStyle w:val="Bibliography"/>
        <w:rPr>
          <w:rFonts w:ascii="Calibri" w:hAnsi="Calibri"/>
          <w:sz w:val="24"/>
        </w:rPr>
      </w:pPr>
      <w:r w:rsidRPr="00CA774B">
        <w:rPr>
          <w:rFonts w:ascii="Calibri" w:hAnsi="Calibri"/>
          <w:sz w:val="24"/>
        </w:rPr>
        <w:t xml:space="preserve">2. </w:t>
      </w:r>
      <w:r w:rsidRPr="00CA774B">
        <w:rPr>
          <w:rFonts w:ascii="Calibri" w:hAnsi="Calibri"/>
          <w:sz w:val="24"/>
        </w:rPr>
        <w:tab/>
        <w:t>Africa IRS (AIRS) Project, PMI. Tanzania end of spray report spray campaign: February 3 – April 4, 2016. Bethesda, MD: Abt Associates Inc; 2016. Available: https://www.pmi.gov/docs/default-source/default-document-library/implementing-partner-reports/tanzania-end-of-spray-report-2016-airs.pdf</w:t>
      </w:r>
    </w:p>
    <w:p w14:paraId="1B1CB85A" w14:textId="77777777" w:rsidR="00CA774B" w:rsidRPr="00CA774B" w:rsidRDefault="00CA774B" w:rsidP="00CA774B">
      <w:pPr>
        <w:pStyle w:val="Bibliography"/>
        <w:rPr>
          <w:rFonts w:ascii="Calibri" w:hAnsi="Calibri"/>
          <w:sz w:val="24"/>
        </w:rPr>
      </w:pPr>
      <w:r w:rsidRPr="00CA774B">
        <w:rPr>
          <w:rFonts w:ascii="Calibri" w:hAnsi="Calibri"/>
          <w:sz w:val="24"/>
        </w:rPr>
        <w:t xml:space="preserve">3. </w:t>
      </w:r>
      <w:r w:rsidRPr="00CA774B">
        <w:rPr>
          <w:rFonts w:ascii="Calibri" w:hAnsi="Calibri"/>
          <w:sz w:val="24"/>
        </w:rPr>
        <w:tab/>
        <w:t>Walker PGT, Griffin JT, Ferguson NM, Ghani AC. Estimating the most efficient allocation of interventions to achieve reductions in Plasmodium falciparum malaria burden and transmission in Africa: a modelling study. Lancet Glob Health. 2016;4: e474–e484. doi:10.1016/S2214-109X(16)30073-0</w:t>
      </w:r>
    </w:p>
    <w:p w14:paraId="37D918F5" w14:textId="77777777" w:rsidR="00CA774B" w:rsidRPr="00CA774B" w:rsidRDefault="00CA774B" w:rsidP="00CA774B">
      <w:pPr>
        <w:pStyle w:val="Bibliography"/>
        <w:rPr>
          <w:rFonts w:ascii="Calibri" w:hAnsi="Calibri"/>
          <w:sz w:val="24"/>
        </w:rPr>
      </w:pPr>
      <w:r w:rsidRPr="00CA774B">
        <w:rPr>
          <w:rFonts w:ascii="Calibri" w:hAnsi="Calibri"/>
          <w:sz w:val="24"/>
        </w:rPr>
        <w:t xml:space="preserve">4. </w:t>
      </w:r>
      <w:r w:rsidRPr="00CA774B">
        <w:rPr>
          <w:rFonts w:ascii="Calibri" w:hAnsi="Calibri"/>
          <w:sz w:val="24"/>
        </w:rPr>
        <w:tab/>
        <w:t>Scott N, Hussain SA, Martin-Hughes R, Fowkes FJI, Kerr CC, Pearson R, et al. Maximizing the impact of malaria funding through allocative efficiency: using the right interventions in the right locations. Malar J. 2017;16. doi:10.1186/s12936-017-2019-1</w:t>
      </w:r>
    </w:p>
    <w:p w14:paraId="1E9F34B1" w14:textId="77777777" w:rsidR="00CA774B" w:rsidRPr="00CA774B" w:rsidRDefault="00CA774B" w:rsidP="00CA774B">
      <w:pPr>
        <w:pStyle w:val="Bibliography"/>
        <w:rPr>
          <w:rFonts w:ascii="Calibri" w:hAnsi="Calibri"/>
          <w:sz w:val="24"/>
        </w:rPr>
      </w:pPr>
      <w:r w:rsidRPr="00CA774B">
        <w:rPr>
          <w:rFonts w:ascii="Calibri" w:hAnsi="Calibri"/>
          <w:sz w:val="24"/>
        </w:rPr>
        <w:t xml:space="preserve">5. </w:t>
      </w:r>
      <w:r w:rsidRPr="00CA774B">
        <w:rPr>
          <w:rFonts w:ascii="Calibri" w:hAnsi="Calibri"/>
          <w:sz w:val="24"/>
        </w:rPr>
        <w:tab/>
        <w:t>Rahman R, Lesser A, Mboera L, Kramer R. Cost of microbial larviciding for malaria control in rural Tanzania. Trop Med Int Health. 2016;21: 1468–1475. doi:10.1111/tmi.12767</w:t>
      </w:r>
    </w:p>
    <w:p w14:paraId="5CB51AEE" w14:textId="77777777" w:rsidR="00CA774B" w:rsidRPr="00CA774B" w:rsidRDefault="00CA774B" w:rsidP="00CA774B">
      <w:pPr>
        <w:pStyle w:val="Bibliography"/>
        <w:rPr>
          <w:rFonts w:ascii="Calibri" w:hAnsi="Calibri"/>
          <w:sz w:val="24"/>
        </w:rPr>
      </w:pPr>
      <w:r w:rsidRPr="00CA774B">
        <w:rPr>
          <w:rFonts w:ascii="Calibri" w:hAnsi="Calibri"/>
          <w:sz w:val="24"/>
        </w:rPr>
        <w:t xml:space="preserve">6. </w:t>
      </w:r>
      <w:r w:rsidRPr="00CA774B">
        <w:rPr>
          <w:rFonts w:ascii="Calibri" w:hAnsi="Calibri"/>
          <w:sz w:val="24"/>
        </w:rPr>
        <w:tab/>
        <w:t xml:space="preserve">National Bureau of Statistics (NBS), Tanzania, Office of Chief Government Statistician (OCGS), Zanzibar. 2012 Population and Housing Census. Dar Es Salaam, Tanzania: NBS and OCGS; 2013. </w:t>
      </w:r>
    </w:p>
    <w:p w14:paraId="2AD6F1E1" w14:textId="77777777" w:rsidR="00CA774B" w:rsidRPr="00CA774B" w:rsidRDefault="00CA774B">
      <w:pPr>
        <w:rPr>
          <w:rFonts w:cs="Arial"/>
          <w:b/>
          <w:sz w:val="24"/>
        </w:rPr>
      </w:pPr>
      <w:r>
        <w:rPr>
          <w:rFonts w:cs="Arial"/>
          <w:b/>
          <w:sz w:val="24"/>
        </w:rPr>
        <w:fldChar w:fldCharType="end"/>
      </w:r>
    </w:p>
    <w:sectPr w:rsidR="00CA774B" w:rsidRPr="00CA7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81D23"/>
    <w:multiLevelType w:val="multilevel"/>
    <w:tmpl w:val="AF9445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MzNrK0MDExMrBU0lEKTi0uzszPAykwrAUAYJBcpiwAAAA="/>
  </w:docVars>
  <w:rsids>
    <w:rsidRoot w:val="00CA774B"/>
    <w:rsid w:val="000454D6"/>
    <w:rsid w:val="000477C5"/>
    <w:rsid w:val="00091B60"/>
    <w:rsid w:val="0009753F"/>
    <w:rsid w:val="000C393C"/>
    <w:rsid w:val="000D7092"/>
    <w:rsid w:val="000E6589"/>
    <w:rsid w:val="000F029F"/>
    <w:rsid w:val="00117F1A"/>
    <w:rsid w:val="001714BD"/>
    <w:rsid w:val="001727AD"/>
    <w:rsid w:val="00211D0C"/>
    <w:rsid w:val="00264733"/>
    <w:rsid w:val="002D051C"/>
    <w:rsid w:val="00311224"/>
    <w:rsid w:val="003B5AD4"/>
    <w:rsid w:val="00402AAD"/>
    <w:rsid w:val="00432B5D"/>
    <w:rsid w:val="00473733"/>
    <w:rsid w:val="00484017"/>
    <w:rsid w:val="00514F9D"/>
    <w:rsid w:val="00516C57"/>
    <w:rsid w:val="005900F5"/>
    <w:rsid w:val="006477AA"/>
    <w:rsid w:val="00675146"/>
    <w:rsid w:val="006A6E8D"/>
    <w:rsid w:val="006D01CC"/>
    <w:rsid w:val="00732F8B"/>
    <w:rsid w:val="00761D9A"/>
    <w:rsid w:val="00784812"/>
    <w:rsid w:val="007B5BD9"/>
    <w:rsid w:val="00800B7C"/>
    <w:rsid w:val="008A7103"/>
    <w:rsid w:val="008E700E"/>
    <w:rsid w:val="00901958"/>
    <w:rsid w:val="00921932"/>
    <w:rsid w:val="009602C1"/>
    <w:rsid w:val="00991E04"/>
    <w:rsid w:val="009B798A"/>
    <w:rsid w:val="009E475E"/>
    <w:rsid w:val="009F4D73"/>
    <w:rsid w:val="00A066E6"/>
    <w:rsid w:val="00A25B80"/>
    <w:rsid w:val="00A26989"/>
    <w:rsid w:val="00A309FD"/>
    <w:rsid w:val="00A73768"/>
    <w:rsid w:val="00A7745D"/>
    <w:rsid w:val="00BB6714"/>
    <w:rsid w:val="00BD0B47"/>
    <w:rsid w:val="00BE50E3"/>
    <w:rsid w:val="00C27136"/>
    <w:rsid w:val="00C66091"/>
    <w:rsid w:val="00CA774B"/>
    <w:rsid w:val="00CD100A"/>
    <w:rsid w:val="00CE4F20"/>
    <w:rsid w:val="00D124B4"/>
    <w:rsid w:val="00D41B50"/>
    <w:rsid w:val="00DD050B"/>
    <w:rsid w:val="00E1124D"/>
    <w:rsid w:val="00E42BF5"/>
    <w:rsid w:val="00EC5503"/>
    <w:rsid w:val="00EF6B5E"/>
    <w:rsid w:val="00F90ED6"/>
    <w:rsid w:val="00FD2115"/>
    <w:rsid w:val="00FD4A7A"/>
    <w:rsid w:val="00FE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60C9"/>
  <w15:docId w15:val="{D268443F-AF41-4FEF-BE2E-B387D8F7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4B"/>
  </w:style>
  <w:style w:type="paragraph" w:styleId="Heading1">
    <w:name w:val="heading 1"/>
    <w:basedOn w:val="Normal"/>
    <w:next w:val="Normal"/>
    <w:link w:val="Heading1Char"/>
    <w:uiPriority w:val="9"/>
    <w:qFormat/>
    <w:rsid w:val="00A25B80"/>
    <w:pPr>
      <w:spacing w:before="480" w:after="0"/>
      <w:contextualSpacing/>
      <w:outlineLvl w:val="0"/>
    </w:pPr>
    <w:rPr>
      <w:rFonts w:eastAsiaTheme="majorEastAsia" w:cstheme="majorBidi"/>
      <w:b/>
      <w:bCs/>
      <w:sz w:val="28"/>
      <w:szCs w:val="28"/>
      <w:lang w:eastAsia="de-DE"/>
    </w:rPr>
  </w:style>
  <w:style w:type="paragraph" w:styleId="Heading2">
    <w:name w:val="heading 2"/>
    <w:basedOn w:val="Normal"/>
    <w:next w:val="Normal"/>
    <w:link w:val="Heading2Char"/>
    <w:uiPriority w:val="9"/>
    <w:unhideWhenUsed/>
    <w:qFormat/>
    <w:rsid w:val="00A25B8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25B80"/>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A25B80"/>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25B80"/>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A25B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B8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B8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B8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80"/>
    <w:rPr>
      <w:rFonts w:eastAsiaTheme="majorEastAsia" w:cstheme="majorBidi"/>
      <w:b/>
      <w:bCs/>
      <w:sz w:val="28"/>
      <w:szCs w:val="28"/>
      <w:lang w:eastAsia="de-DE"/>
    </w:rPr>
  </w:style>
  <w:style w:type="character" w:customStyle="1" w:styleId="Heading2Char">
    <w:name w:val="Heading 2 Char"/>
    <w:basedOn w:val="DefaultParagraphFont"/>
    <w:link w:val="Heading2"/>
    <w:uiPriority w:val="9"/>
    <w:rsid w:val="00A25B80"/>
    <w:rPr>
      <w:rFonts w:eastAsiaTheme="majorEastAsia" w:cstheme="majorBidi"/>
      <w:b/>
      <w:bCs/>
      <w:sz w:val="26"/>
      <w:szCs w:val="26"/>
    </w:rPr>
  </w:style>
  <w:style w:type="character" w:customStyle="1" w:styleId="Heading3Char">
    <w:name w:val="Heading 3 Char"/>
    <w:basedOn w:val="DefaultParagraphFont"/>
    <w:link w:val="Heading3"/>
    <w:uiPriority w:val="9"/>
    <w:rsid w:val="00A25B80"/>
    <w:rPr>
      <w:rFonts w:ascii="Calibri" w:eastAsiaTheme="majorEastAsia" w:hAnsi="Calibri" w:cstheme="majorBidi"/>
      <w:b/>
      <w:bCs/>
    </w:rPr>
  </w:style>
  <w:style w:type="character" w:customStyle="1" w:styleId="Heading4Char">
    <w:name w:val="Heading 4 Char"/>
    <w:basedOn w:val="DefaultParagraphFont"/>
    <w:link w:val="Heading4"/>
    <w:uiPriority w:val="9"/>
    <w:rsid w:val="00A25B80"/>
    <w:rPr>
      <w:rFonts w:eastAsiaTheme="majorEastAsia" w:cstheme="majorBidi"/>
      <w:b/>
      <w:bCs/>
      <w:i/>
      <w:iCs/>
    </w:rPr>
  </w:style>
  <w:style w:type="character" w:customStyle="1" w:styleId="Heading5Char">
    <w:name w:val="Heading 5 Char"/>
    <w:basedOn w:val="DefaultParagraphFont"/>
    <w:link w:val="Heading5"/>
    <w:uiPriority w:val="9"/>
    <w:rsid w:val="00A25B80"/>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A25B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B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B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B8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B80"/>
    <w:pPr>
      <w:pBdr>
        <w:bottom w:val="single" w:sz="4" w:space="1" w:color="auto"/>
      </w:pBdr>
      <w:spacing w:line="240" w:lineRule="auto"/>
      <w:contextualSpacing/>
    </w:pPr>
    <w:rPr>
      <w:rFonts w:eastAsiaTheme="majorEastAsia" w:cstheme="majorBidi"/>
      <w:spacing w:val="5"/>
      <w:sz w:val="52"/>
      <w:szCs w:val="52"/>
      <w:lang w:eastAsia="de-DE"/>
    </w:rPr>
  </w:style>
  <w:style w:type="character" w:customStyle="1" w:styleId="TitleChar">
    <w:name w:val="Title Char"/>
    <w:basedOn w:val="DefaultParagraphFont"/>
    <w:link w:val="Title"/>
    <w:uiPriority w:val="10"/>
    <w:rsid w:val="00A25B80"/>
    <w:rPr>
      <w:rFonts w:eastAsiaTheme="majorEastAsia" w:cstheme="majorBidi"/>
      <w:spacing w:val="5"/>
      <w:sz w:val="52"/>
      <w:szCs w:val="52"/>
      <w:lang w:eastAsia="de-DE"/>
    </w:rPr>
  </w:style>
  <w:style w:type="paragraph" w:styleId="Subtitle">
    <w:name w:val="Subtitle"/>
    <w:basedOn w:val="Normal"/>
    <w:next w:val="Normal"/>
    <w:link w:val="SubtitleChar"/>
    <w:uiPriority w:val="11"/>
    <w:qFormat/>
    <w:rsid w:val="00A25B8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B80"/>
    <w:rPr>
      <w:rFonts w:asciiTheme="majorHAnsi" w:eastAsiaTheme="majorEastAsia" w:hAnsiTheme="majorHAnsi" w:cstheme="majorBidi"/>
      <w:i/>
      <w:iCs/>
      <w:spacing w:val="13"/>
      <w:sz w:val="24"/>
      <w:szCs w:val="24"/>
    </w:rPr>
  </w:style>
  <w:style w:type="character" w:styleId="Strong">
    <w:name w:val="Strong"/>
    <w:uiPriority w:val="22"/>
    <w:qFormat/>
    <w:rsid w:val="00A25B80"/>
    <w:rPr>
      <w:b/>
      <w:bCs/>
    </w:rPr>
  </w:style>
  <w:style w:type="character" w:styleId="Emphasis">
    <w:name w:val="Emphasis"/>
    <w:uiPriority w:val="20"/>
    <w:qFormat/>
    <w:rsid w:val="00A25B80"/>
    <w:rPr>
      <w:b/>
      <w:bCs/>
      <w:i/>
      <w:iCs/>
      <w:spacing w:val="10"/>
      <w:bdr w:val="none" w:sz="0" w:space="0" w:color="auto"/>
      <w:shd w:val="clear" w:color="auto" w:fill="auto"/>
    </w:rPr>
  </w:style>
  <w:style w:type="paragraph" w:styleId="NoSpacing">
    <w:name w:val="No Spacing"/>
    <w:basedOn w:val="Normal"/>
    <w:uiPriority w:val="1"/>
    <w:qFormat/>
    <w:rsid w:val="00A25B80"/>
    <w:pPr>
      <w:spacing w:after="0" w:line="240" w:lineRule="auto"/>
    </w:pPr>
  </w:style>
  <w:style w:type="paragraph" w:styleId="ListParagraph">
    <w:name w:val="List Paragraph"/>
    <w:basedOn w:val="Normal"/>
    <w:uiPriority w:val="34"/>
    <w:qFormat/>
    <w:rsid w:val="00A25B80"/>
    <w:pPr>
      <w:ind w:left="720"/>
      <w:contextualSpacing/>
    </w:pPr>
  </w:style>
  <w:style w:type="paragraph" w:styleId="Quote">
    <w:name w:val="Quote"/>
    <w:basedOn w:val="Normal"/>
    <w:next w:val="Normal"/>
    <w:link w:val="QuoteChar"/>
    <w:uiPriority w:val="29"/>
    <w:qFormat/>
    <w:rsid w:val="00A25B80"/>
    <w:pPr>
      <w:spacing w:before="200" w:after="0"/>
      <w:ind w:left="360" w:right="360"/>
    </w:pPr>
    <w:rPr>
      <w:i/>
      <w:iCs/>
    </w:rPr>
  </w:style>
  <w:style w:type="character" w:customStyle="1" w:styleId="QuoteChar">
    <w:name w:val="Quote Char"/>
    <w:basedOn w:val="DefaultParagraphFont"/>
    <w:link w:val="Quote"/>
    <w:uiPriority w:val="29"/>
    <w:rsid w:val="00A25B80"/>
    <w:rPr>
      <w:i/>
      <w:iCs/>
    </w:rPr>
  </w:style>
  <w:style w:type="paragraph" w:styleId="IntenseQuote">
    <w:name w:val="Intense Quote"/>
    <w:basedOn w:val="Normal"/>
    <w:next w:val="Normal"/>
    <w:link w:val="IntenseQuoteChar"/>
    <w:uiPriority w:val="30"/>
    <w:qFormat/>
    <w:rsid w:val="00A25B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B80"/>
    <w:rPr>
      <w:b/>
      <w:bCs/>
      <w:i/>
      <w:iCs/>
    </w:rPr>
  </w:style>
  <w:style w:type="character" w:styleId="SubtleEmphasis">
    <w:name w:val="Subtle Emphasis"/>
    <w:uiPriority w:val="19"/>
    <w:qFormat/>
    <w:rsid w:val="00A25B80"/>
    <w:rPr>
      <w:i/>
      <w:iCs/>
    </w:rPr>
  </w:style>
  <w:style w:type="character" w:styleId="IntenseEmphasis">
    <w:name w:val="Intense Emphasis"/>
    <w:uiPriority w:val="21"/>
    <w:qFormat/>
    <w:rsid w:val="00A25B80"/>
    <w:rPr>
      <w:b/>
      <w:bCs/>
    </w:rPr>
  </w:style>
  <w:style w:type="character" w:styleId="SubtleReference">
    <w:name w:val="Subtle Reference"/>
    <w:uiPriority w:val="31"/>
    <w:qFormat/>
    <w:rsid w:val="00A25B80"/>
    <w:rPr>
      <w:smallCaps/>
    </w:rPr>
  </w:style>
  <w:style w:type="character" w:styleId="IntenseReference">
    <w:name w:val="Intense Reference"/>
    <w:uiPriority w:val="32"/>
    <w:qFormat/>
    <w:rsid w:val="00A25B80"/>
    <w:rPr>
      <w:smallCaps/>
      <w:spacing w:val="5"/>
      <w:u w:val="single"/>
    </w:rPr>
  </w:style>
  <w:style w:type="character" w:styleId="BookTitle">
    <w:name w:val="Book Title"/>
    <w:uiPriority w:val="33"/>
    <w:qFormat/>
    <w:rsid w:val="00A25B80"/>
    <w:rPr>
      <w:i/>
      <w:iCs/>
      <w:smallCaps/>
      <w:spacing w:val="5"/>
    </w:rPr>
  </w:style>
  <w:style w:type="paragraph" w:styleId="TOCHeading">
    <w:name w:val="TOC Heading"/>
    <w:basedOn w:val="Heading1"/>
    <w:next w:val="Normal"/>
    <w:uiPriority w:val="39"/>
    <w:semiHidden/>
    <w:unhideWhenUsed/>
    <w:qFormat/>
    <w:rsid w:val="00A25B80"/>
    <w:pPr>
      <w:outlineLvl w:val="9"/>
    </w:pPr>
    <w:rPr>
      <w:lang w:bidi="en-US"/>
    </w:rPr>
  </w:style>
  <w:style w:type="character" w:styleId="Hyperlink">
    <w:name w:val="Hyperlink"/>
    <w:basedOn w:val="DefaultParagraphFont"/>
    <w:uiPriority w:val="99"/>
    <w:unhideWhenUsed/>
    <w:rsid w:val="00CA774B"/>
    <w:rPr>
      <w:color w:val="0000FF" w:themeColor="hyperlink"/>
      <w:u w:val="single"/>
    </w:rPr>
  </w:style>
  <w:style w:type="paragraph" w:styleId="Caption">
    <w:name w:val="caption"/>
    <w:basedOn w:val="Normal"/>
    <w:next w:val="Normal"/>
    <w:uiPriority w:val="35"/>
    <w:unhideWhenUsed/>
    <w:qFormat/>
    <w:rsid w:val="00CA774B"/>
    <w:pPr>
      <w:tabs>
        <w:tab w:val="left" w:pos="851"/>
      </w:tabs>
      <w:spacing w:before="120" w:after="240" w:line="288" w:lineRule="auto"/>
      <w:jc w:val="both"/>
    </w:pPr>
    <w:rPr>
      <w:rFonts w:ascii="Arial" w:eastAsia="Times New Roman" w:hAnsi="Arial" w:cs="Times New Roman"/>
      <w:bCs/>
      <w:sz w:val="20"/>
      <w:szCs w:val="20"/>
      <w:lang w:eastAsia="de-DE"/>
    </w:rPr>
  </w:style>
  <w:style w:type="table" w:styleId="TableGrid">
    <w:name w:val="Table Grid"/>
    <w:basedOn w:val="TableNormal"/>
    <w:uiPriority w:val="59"/>
    <w:rsid w:val="00CA774B"/>
    <w:pPr>
      <w:keepLines/>
      <w:spacing w:before="100" w:beforeAutospacing="1" w:after="100" w:afterAutospacing="1" w:line="240" w:lineRule="auto"/>
      <w:ind w:left="57" w:right="85"/>
      <w:contextualSpacing/>
    </w:pPr>
    <w:rPr>
      <w:rFonts w:ascii="Arial" w:eastAsia="Batang" w:hAnsi="Arial" w:cs="Times New Roman"/>
      <w:sz w:val="16"/>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57" w:type="dxa"/>
        <w:right w:w="0" w:type="dxa"/>
      </w:tblCellMar>
    </w:tblPr>
    <w:tcPr>
      <w:shd w:val="clear" w:color="auto" w:fill="FFFFFF"/>
    </w:tcPr>
    <w:tblStylePr w:type="firstRow">
      <w:pPr>
        <w:wordWrap/>
      </w:pPr>
      <w:rPr>
        <w:rFonts w:asciiTheme="minorHAnsi" w:hAnsiTheme="minorHAnsi" w:cs="Arial" w:hint="default"/>
        <w:b/>
        <w:sz w:val="18"/>
        <w:szCs w:val="20"/>
      </w:rPr>
      <w:tblPr/>
      <w:tcPr>
        <w:shd w:val="clear" w:color="auto" w:fill="E5E5D0"/>
      </w:tcPr>
    </w:tblStylePr>
  </w:style>
  <w:style w:type="paragraph" w:styleId="BalloonText">
    <w:name w:val="Balloon Text"/>
    <w:basedOn w:val="Normal"/>
    <w:link w:val="BalloonTextChar"/>
    <w:uiPriority w:val="99"/>
    <w:semiHidden/>
    <w:unhideWhenUsed/>
    <w:rsid w:val="00CA7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4B"/>
    <w:rPr>
      <w:rFonts w:ascii="Tahoma" w:hAnsi="Tahoma" w:cs="Tahoma"/>
      <w:sz w:val="16"/>
      <w:szCs w:val="16"/>
    </w:rPr>
  </w:style>
  <w:style w:type="paragraph" w:styleId="Bibliography">
    <w:name w:val="Bibliography"/>
    <w:basedOn w:val="Normal"/>
    <w:next w:val="Normal"/>
    <w:uiPriority w:val="37"/>
    <w:unhideWhenUsed/>
    <w:rsid w:val="00CA774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SwissTPH/openmalaria/wiki/XmlMonito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Runge2</dc:creator>
  <cp:lastModifiedBy>Manuela Runge</cp:lastModifiedBy>
  <cp:revision>2</cp:revision>
  <dcterms:created xsi:type="dcterms:W3CDTF">2020-01-22T01:42:00Z</dcterms:created>
  <dcterms:modified xsi:type="dcterms:W3CDTF">2020-01-22T01:42:00Z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id="6Ds3ZjNr"/&gt;&lt;style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