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583" w:rsidRPr="00D9015D" w:rsidRDefault="00762FCA" w:rsidP="007F4583">
      <w:pPr>
        <w:rPr>
          <w:rFonts w:ascii="Arial" w:hAnsi="Arial" w:cs="Arial"/>
          <w:b/>
          <w:szCs w:val="22"/>
        </w:rPr>
      </w:pPr>
      <w:r w:rsidRPr="00D9015D">
        <w:rPr>
          <w:rFonts w:ascii="Arial" w:hAnsi="Arial" w:cs="Arial"/>
          <w:b/>
          <w:szCs w:val="22"/>
        </w:rPr>
        <w:t>Supplementa</w:t>
      </w:r>
      <w:r w:rsidR="005072C0">
        <w:rPr>
          <w:rFonts w:ascii="Arial" w:hAnsi="Arial" w:cs="Arial"/>
          <w:b/>
          <w:szCs w:val="22"/>
        </w:rPr>
        <w:t>ry</w:t>
      </w:r>
      <w:bookmarkStart w:id="0" w:name="_GoBack"/>
      <w:bookmarkEnd w:id="0"/>
      <w:r w:rsidRPr="00D9015D">
        <w:rPr>
          <w:rFonts w:ascii="Arial" w:hAnsi="Arial" w:cs="Arial"/>
          <w:b/>
          <w:szCs w:val="22"/>
        </w:rPr>
        <w:t xml:space="preserve"> Table </w:t>
      </w:r>
      <w:r w:rsidR="004B08DC">
        <w:rPr>
          <w:rFonts w:ascii="Arial" w:hAnsi="Arial" w:cs="Arial"/>
          <w:b/>
          <w:szCs w:val="22"/>
        </w:rPr>
        <w:t>1</w:t>
      </w:r>
      <w:r w:rsidR="007F4583" w:rsidRPr="00D9015D">
        <w:rPr>
          <w:rFonts w:ascii="Arial" w:hAnsi="Arial" w:cs="Arial"/>
          <w:b/>
          <w:szCs w:val="22"/>
        </w:rPr>
        <w:t>: Codes related to learning goals</w:t>
      </w:r>
    </w:p>
    <w:p w:rsidR="007F4583" w:rsidRPr="00D9015D" w:rsidRDefault="007F4583">
      <w:pPr>
        <w:rPr>
          <w:rFonts w:ascii="Arial" w:hAnsi="Arial" w:cs="Arial"/>
          <w:sz w:val="22"/>
          <w:szCs w:val="22"/>
        </w:rPr>
      </w:pPr>
    </w:p>
    <w:tbl>
      <w:tblPr>
        <w:tblStyle w:val="TableGrid"/>
        <w:tblpPr w:leftFromText="180" w:rightFromText="180" w:vertAnchor="page" w:horzAnchor="margin" w:tblpY="2334"/>
        <w:tblW w:w="0" w:type="auto"/>
        <w:tblLook w:val="04A0" w:firstRow="1" w:lastRow="0" w:firstColumn="1" w:lastColumn="0" w:noHBand="0" w:noVBand="1"/>
      </w:tblPr>
      <w:tblGrid>
        <w:gridCol w:w="1770"/>
        <w:gridCol w:w="2370"/>
        <w:gridCol w:w="5215"/>
      </w:tblGrid>
      <w:tr w:rsidR="007F4583" w:rsidRPr="00D9015D" w:rsidTr="001420A6">
        <w:tc>
          <w:tcPr>
            <w:tcW w:w="1765" w:type="dxa"/>
          </w:tcPr>
          <w:p w:rsidR="007F4583" w:rsidRPr="00AB1C86" w:rsidRDefault="007F4583" w:rsidP="001420A6">
            <w:pPr>
              <w:rPr>
                <w:rFonts w:ascii="Arial" w:hAnsi="Arial" w:cs="Arial"/>
                <w:b/>
                <w:sz w:val="22"/>
                <w:szCs w:val="22"/>
              </w:rPr>
            </w:pPr>
            <w:r w:rsidRPr="00AB1C86">
              <w:rPr>
                <w:rFonts w:ascii="Arial" w:hAnsi="Arial" w:cs="Arial"/>
                <w:b/>
                <w:sz w:val="22"/>
                <w:szCs w:val="22"/>
              </w:rPr>
              <w:t>Code name</w:t>
            </w:r>
            <w:r w:rsidR="003527DB" w:rsidRPr="00AB1C86">
              <w:rPr>
                <w:rFonts w:ascii="Arial" w:hAnsi="Arial" w:cs="Arial"/>
                <w:b/>
                <w:sz w:val="22"/>
                <w:szCs w:val="22"/>
              </w:rPr>
              <w:t xml:space="preserve"> and individual code k</w:t>
            </w:r>
            <w:r w:rsidR="00BC4869" w:rsidRPr="00AB1C86">
              <w:rPr>
                <w:rFonts w:ascii="Arial" w:hAnsi="Arial" w:cs="Arial"/>
                <w:b/>
                <w:sz w:val="22"/>
                <w:szCs w:val="22"/>
              </w:rPr>
              <w:t>appa</w:t>
            </w:r>
          </w:p>
        </w:tc>
        <w:tc>
          <w:tcPr>
            <w:tcW w:w="2370" w:type="dxa"/>
          </w:tcPr>
          <w:p w:rsidR="007F4583" w:rsidRPr="00AB1C86" w:rsidRDefault="007F4583" w:rsidP="001420A6">
            <w:pPr>
              <w:rPr>
                <w:rFonts w:ascii="Arial" w:hAnsi="Arial" w:cs="Arial"/>
                <w:b/>
                <w:sz w:val="22"/>
                <w:szCs w:val="22"/>
              </w:rPr>
            </w:pPr>
            <w:r w:rsidRPr="00AB1C86">
              <w:rPr>
                <w:rFonts w:ascii="Arial" w:hAnsi="Arial" w:cs="Arial"/>
                <w:b/>
                <w:sz w:val="22"/>
                <w:szCs w:val="22"/>
              </w:rPr>
              <w:t>Description</w:t>
            </w:r>
          </w:p>
        </w:tc>
        <w:tc>
          <w:tcPr>
            <w:tcW w:w="5215" w:type="dxa"/>
          </w:tcPr>
          <w:p w:rsidR="007F4583" w:rsidRPr="00AB1C86" w:rsidRDefault="007F4583" w:rsidP="001420A6">
            <w:pPr>
              <w:rPr>
                <w:rFonts w:ascii="Arial" w:hAnsi="Arial" w:cs="Arial"/>
                <w:b/>
                <w:sz w:val="22"/>
                <w:szCs w:val="22"/>
              </w:rPr>
            </w:pPr>
            <w:r w:rsidRPr="00AB1C86">
              <w:rPr>
                <w:rFonts w:ascii="Arial" w:hAnsi="Arial" w:cs="Arial"/>
                <w:b/>
                <w:sz w:val="22"/>
                <w:szCs w:val="22"/>
              </w:rPr>
              <w:t>Example quote</w:t>
            </w:r>
            <w:r w:rsidR="004E3A37" w:rsidRPr="00AB1C86">
              <w:rPr>
                <w:rFonts w:ascii="Arial" w:hAnsi="Arial" w:cs="Arial"/>
                <w:b/>
                <w:sz w:val="22"/>
                <w:szCs w:val="22"/>
              </w:rPr>
              <w:t>s</w:t>
            </w:r>
          </w:p>
        </w:tc>
      </w:tr>
      <w:tr w:rsidR="007F4583" w:rsidRPr="00D9015D" w:rsidTr="001420A6">
        <w:tc>
          <w:tcPr>
            <w:tcW w:w="1765" w:type="dxa"/>
          </w:tcPr>
          <w:p w:rsidR="007F4583" w:rsidRPr="00D9015D" w:rsidRDefault="007F4583" w:rsidP="001420A6">
            <w:pPr>
              <w:rPr>
                <w:rFonts w:ascii="Arial" w:hAnsi="Arial" w:cs="Arial"/>
                <w:sz w:val="22"/>
                <w:szCs w:val="22"/>
              </w:rPr>
            </w:pPr>
            <w:r w:rsidRPr="00D9015D">
              <w:rPr>
                <w:rFonts w:ascii="Arial" w:hAnsi="Arial" w:cs="Arial"/>
                <w:sz w:val="22"/>
                <w:szCs w:val="22"/>
              </w:rPr>
              <w:t>Drawing real world connections</w:t>
            </w:r>
          </w:p>
          <w:p w:rsidR="007B4B50" w:rsidRPr="00D9015D" w:rsidRDefault="007B4B50" w:rsidP="001420A6">
            <w:pPr>
              <w:rPr>
                <w:rFonts w:ascii="Arial" w:hAnsi="Arial" w:cs="Arial"/>
                <w:sz w:val="22"/>
                <w:szCs w:val="22"/>
              </w:rPr>
            </w:pPr>
            <w:r w:rsidRPr="00D9015D">
              <w:rPr>
                <w:rFonts w:ascii="Arial" w:hAnsi="Arial" w:cs="Arial"/>
                <w:sz w:val="22"/>
                <w:szCs w:val="22"/>
              </w:rPr>
              <w:t>(1.00)</w:t>
            </w:r>
          </w:p>
        </w:tc>
        <w:tc>
          <w:tcPr>
            <w:tcW w:w="2370" w:type="dxa"/>
          </w:tcPr>
          <w:p w:rsidR="007F4583" w:rsidRPr="00D9015D" w:rsidRDefault="00275D38" w:rsidP="001420A6">
            <w:pPr>
              <w:rPr>
                <w:rFonts w:ascii="Arial" w:hAnsi="Arial" w:cs="Arial"/>
                <w:sz w:val="22"/>
                <w:szCs w:val="22"/>
              </w:rPr>
            </w:pPr>
            <w:r w:rsidRPr="00D9015D">
              <w:rPr>
                <w:rFonts w:ascii="Arial" w:hAnsi="Arial" w:cs="Arial"/>
                <w:sz w:val="22"/>
                <w:szCs w:val="22"/>
              </w:rPr>
              <w:t>Instructors discuss the ways in which their learning goals include connecting course content to “real world” applications or occurrences</w:t>
            </w:r>
          </w:p>
        </w:tc>
        <w:tc>
          <w:tcPr>
            <w:tcW w:w="5215" w:type="dxa"/>
          </w:tcPr>
          <w:p w:rsidR="007F4583" w:rsidRPr="00D9015D" w:rsidRDefault="007F4583" w:rsidP="001420A6">
            <w:pPr>
              <w:rPr>
                <w:rFonts w:ascii="Arial" w:hAnsi="Arial" w:cs="Arial"/>
                <w:sz w:val="22"/>
                <w:szCs w:val="22"/>
              </w:rPr>
            </w:pPr>
            <w:r w:rsidRPr="00D9015D">
              <w:rPr>
                <w:rFonts w:ascii="Arial" w:hAnsi="Arial" w:cs="Arial"/>
                <w:sz w:val="22"/>
                <w:szCs w:val="22"/>
              </w:rPr>
              <w:t>“It’s a microbiology course, and since the students are going into nursing we start off with what we call ‘disease of the day’… The first 15 minutes, we’l</w:t>
            </w:r>
            <w:r w:rsidR="004E3A37" w:rsidRPr="00D9015D">
              <w:rPr>
                <w:rFonts w:ascii="Arial" w:hAnsi="Arial" w:cs="Arial"/>
                <w:sz w:val="22"/>
                <w:szCs w:val="22"/>
              </w:rPr>
              <w:t>l focus on diphtheria.”</w:t>
            </w:r>
          </w:p>
          <w:p w:rsidR="004E3A37" w:rsidRPr="00D9015D" w:rsidRDefault="004E3A37" w:rsidP="001420A6">
            <w:pPr>
              <w:rPr>
                <w:rFonts w:ascii="Arial" w:hAnsi="Arial" w:cs="Arial"/>
                <w:sz w:val="22"/>
                <w:szCs w:val="22"/>
              </w:rPr>
            </w:pPr>
          </w:p>
          <w:p w:rsidR="007F4583" w:rsidRPr="00D9015D" w:rsidRDefault="007F4583" w:rsidP="001420A6">
            <w:pPr>
              <w:rPr>
                <w:rFonts w:ascii="Arial" w:hAnsi="Arial" w:cs="Arial"/>
                <w:sz w:val="22"/>
                <w:szCs w:val="22"/>
              </w:rPr>
            </w:pPr>
            <w:r w:rsidRPr="00D9015D">
              <w:rPr>
                <w:rFonts w:ascii="Arial" w:hAnsi="Arial" w:cs="Arial"/>
                <w:sz w:val="22"/>
                <w:szCs w:val="22"/>
              </w:rPr>
              <w:t>“I usually also start the lecture with a discussion of the current weather.”</w:t>
            </w:r>
          </w:p>
        </w:tc>
      </w:tr>
      <w:tr w:rsidR="007F4583" w:rsidRPr="00D9015D" w:rsidTr="001420A6">
        <w:tc>
          <w:tcPr>
            <w:tcW w:w="1765" w:type="dxa"/>
          </w:tcPr>
          <w:p w:rsidR="007F4583" w:rsidRPr="00D9015D" w:rsidRDefault="007F4583" w:rsidP="001420A6">
            <w:pPr>
              <w:rPr>
                <w:rFonts w:ascii="Arial" w:hAnsi="Arial" w:cs="Arial"/>
                <w:sz w:val="22"/>
                <w:szCs w:val="22"/>
              </w:rPr>
            </w:pPr>
            <w:r w:rsidRPr="00D9015D">
              <w:rPr>
                <w:rFonts w:ascii="Arial" w:hAnsi="Arial" w:cs="Arial"/>
                <w:sz w:val="22"/>
                <w:szCs w:val="22"/>
              </w:rPr>
              <w:t>Skills development</w:t>
            </w:r>
          </w:p>
          <w:p w:rsidR="007B4B50" w:rsidRPr="00D9015D" w:rsidRDefault="007B4B50" w:rsidP="001420A6">
            <w:pPr>
              <w:rPr>
                <w:rFonts w:ascii="Arial" w:hAnsi="Arial" w:cs="Arial"/>
                <w:sz w:val="22"/>
                <w:szCs w:val="22"/>
              </w:rPr>
            </w:pPr>
            <w:r w:rsidRPr="00D9015D">
              <w:rPr>
                <w:rFonts w:ascii="Arial" w:hAnsi="Arial" w:cs="Arial"/>
                <w:sz w:val="22"/>
                <w:szCs w:val="22"/>
              </w:rPr>
              <w:t>(0.88)</w:t>
            </w:r>
          </w:p>
        </w:tc>
        <w:tc>
          <w:tcPr>
            <w:tcW w:w="2370" w:type="dxa"/>
          </w:tcPr>
          <w:p w:rsidR="007F4583" w:rsidRPr="00D9015D" w:rsidRDefault="00275D38" w:rsidP="001420A6">
            <w:pPr>
              <w:rPr>
                <w:rFonts w:ascii="Arial" w:hAnsi="Arial" w:cs="Arial"/>
                <w:sz w:val="22"/>
                <w:szCs w:val="22"/>
              </w:rPr>
            </w:pPr>
            <w:r w:rsidRPr="00D9015D">
              <w:rPr>
                <w:rFonts w:ascii="Arial" w:hAnsi="Arial" w:cs="Arial"/>
                <w:sz w:val="22"/>
                <w:szCs w:val="22"/>
              </w:rPr>
              <w:t>Instructors discuss their desire to instill particular skills or habits of mind in their students</w:t>
            </w:r>
          </w:p>
        </w:tc>
        <w:tc>
          <w:tcPr>
            <w:tcW w:w="5215" w:type="dxa"/>
          </w:tcPr>
          <w:p w:rsidR="007F4583" w:rsidRPr="00D9015D" w:rsidRDefault="007F4583" w:rsidP="001420A6">
            <w:pPr>
              <w:rPr>
                <w:rFonts w:ascii="Arial" w:hAnsi="Arial" w:cs="Arial"/>
                <w:sz w:val="22"/>
                <w:szCs w:val="22"/>
              </w:rPr>
            </w:pPr>
            <w:r w:rsidRPr="00D9015D">
              <w:rPr>
                <w:rFonts w:ascii="Arial" w:hAnsi="Arial" w:cs="Arial"/>
                <w:sz w:val="22"/>
                <w:szCs w:val="22"/>
              </w:rPr>
              <w:t>“A lot of the focus that I have tried to give this semester is, I find that these students, when they come in, are terrible about answering essay questions... So what we’re trying to instill in them is this concept that the first thing you do is sit there and you think about the bullet points that provide the answer before you start to write the answer, and once you have the bullet points, you can star</w:t>
            </w:r>
            <w:r w:rsidR="004E3A37" w:rsidRPr="00D9015D">
              <w:rPr>
                <w:rFonts w:ascii="Arial" w:hAnsi="Arial" w:cs="Arial"/>
                <w:sz w:val="22"/>
                <w:szCs w:val="22"/>
              </w:rPr>
              <w:t>t to craft the answers.”</w:t>
            </w:r>
          </w:p>
          <w:p w:rsidR="004E3A37" w:rsidRPr="00D9015D" w:rsidRDefault="004E3A37" w:rsidP="001420A6">
            <w:pPr>
              <w:rPr>
                <w:rFonts w:ascii="Arial" w:hAnsi="Arial" w:cs="Arial"/>
                <w:sz w:val="22"/>
                <w:szCs w:val="22"/>
              </w:rPr>
            </w:pPr>
          </w:p>
          <w:p w:rsidR="007F4583" w:rsidRPr="00D9015D" w:rsidRDefault="007F4583" w:rsidP="001420A6">
            <w:pPr>
              <w:rPr>
                <w:rFonts w:ascii="Arial" w:hAnsi="Arial" w:cs="Arial"/>
                <w:sz w:val="22"/>
                <w:szCs w:val="22"/>
              </w:rPr>
            </w:pPr>
            <w:r w:rsidRPr="00D9015D">
              <w:rPr>
                <w:rFonts w:ascii="Arial" w:hAnsi="Arial" w:cs="Arial"/>
                <w:sz w:val="22"/>
                <w:szCs w:val="22"/>
              </w:rPr>
              <w:t>“I am going to start a new unit on the human body and how certain parts of it function, what it is made of and why.  And in some parts of it, I’ll talk a little bit about how to model, how to put a mathematical model to the tissue or the function that’s going on in the body.”</w:t>
            </w:r>
          </w:p>
        </w:tc>
      </w:tr>
      <w:tr w:rsidR="007F4583" w:rsidRPr="00D9015D" w:rsidTr="001420A6">
        <w:tc>
          <w:tcPr>
            <w:tcW w:w="1765" w:type="dxa"/>
          </w:tcPr>
          <w:p w:rsidR="007F4583" w:rsidRPr="00D9015D" w:rsidRDefault="007F4583" w:rsidP="001420A6">
            <w:pPr>
              <w:rPr>
                <w:rFonts w:ascii="Arial" w:hAnsi="Arial" w:cs="Arial"/>
                <w:sz w:val="22"/>
                <w:szCs w:val="22"/>
              </w:rPr>
            </w:pPr>
            <w:r w:rsidRPr="00D9015D">
              <w:rPr>
                <w:rFonts w:ascii="Arial" w:hAnsi="Arial" w:cs="Arial"/>
                <w:sz w:val="22"/>
                <w:szCs w:val="22"/>
              </w:rPr>
              <w:t>Content coverage and topics</w:t>
            </w:r>
          </w:p>
          <w:p w:rsidR="007B4B50" w:rsidRPr="00D9015D" w:rsidRDefault="007B4B50" w:rsidP="001420A6">
            <w:pPr>
              <w:rPr>
                <w:rFonts w:ascii="Arial" w:hAnsi="Arial" w:cs="Arial"/>
                <w:sz w:val="22"/>
                <w:szCs w:val="22"/>
              </w:rPr>
            </w:pPr>
            <w:r w:rsidRPr="00D9015D">
              <w:rPr>
                <w:rFonts w:ascii="Arial" w:hAnsi="Arial" w:cs="Arial"/>
                <w:sz w:val="22"/>
                <w:szCs w:val="22"/>
              </w:rPr>
              <w:t>(0.93)</w:t>
            </w:r>
          </w:p>
        </w:tc>
        <w:tc>
          <w:tcPr>
            <w:tcW w:w="2370" w:type="dxa"/>
          </w:tcPr>
          <w:p w:rsidR="007F4583" w:rsidRPr="00D9015D" w:rsidRDefault="00275D38" w:rsidP="001420A6">
            <w:pPr>
              <w:rPr>
                <w:rFonts w:ascii="Arial" w:hAnsi="Arial" w:cs="Arial"/>
                <w:sz w:val="22"/>
                <w:szCs w:val="22"/>
              </w:rPr>
            </w:pPr>
            <w:r w:rsidRPr="00D9015D">
              <w:rPr>
                <w:rFonts w:ascii="Arial" w:hAnsi="Arial" w:cs="Arial"/>
                <w:sz w:val="22"/>
                <w:szCs w:val="22"/>
              </w:rPr>
              <w:t>Instructors discuss their learning goals in the context of the topics or content they wish to cover</w:t>
            </w:r>
          </w:p>
        </w:tc>
        <w:tc>
          <w:tcPr>
            <w:tcW w:w="5215" w:type="dxa"/>
          </w:tcPr>
          <w:p w:rsidR="007F4583" w:rsidRPr="00D9015D" w:rsidRDefault="00F85755" w:rsidP="001420A6">
            <w:pPr>
              <w:rPr>
                <w:rFonts w:ascii="Arial" w:hAnsi="Arial" w:cs="Arial"/>
                <w:sz w:val="22"/>
                <w:szCs w:val="22"/>
              </w:rPr>
            </w:pPr>
            <w:r w:rsidRPr="00D9015D">
              <w:rPr>
                <w:rFonts w:ascii="Arial" w:hAnsi="Arial" w:cs="Arial"/>
                <w:sz w:val="22"/>
                <w:szCs w:val="22"/>
              </w:rPr>
              <w:t xml:space="preserve"> </w:t>
            </w:r>
            <w:r w:rsidR="007F4583" w:rsidRPr="00D9015D">
              <w:rPr>
                <w:rFonts w:ascii="Arial" w:hAnsi="Arial" w:cs="Arial"/>
                <w:sz w:val="22"/>
                <w:szCs w:val="22"/>
              </w:rPr>
              <w:t>“So next week, we have the chapter 5 online textbook, which include</w:t>
            </w:r>
            <w:r w:rsidR="004E3A37" w:rsidRPr="00D9015D">
              <w:rPr>
                <w:rFonts w:ascii="Arial" w:hAnsi="Arial" w:cs="Arial"/>
                <w:sz w:val="22"/>
                <w:szCs w:val="22"/>
              </w:rPr>
              <w:t>s microbial metabolism.”</w:t>
            </w:r>
          </w:p>
          <w:p w:rsidR="004E3A37" w:rsidRPr="00D9015D" w:rsidRDefault="004E3A37" w:rsidP="001420A6">
            <w:pPr>
              <w:rPr>
                <w:rFonts w:ascii="Arial" w:hAnsi="Arial" w:cs="Arial"/>
                <w:sz w:val="22"/>
                <w:szCs w:val="22"/>
              </w:rPr>
            </w:pPr>
          </w:p>
          <w:p w:rsidR="007F4583" w:rsidRPr="00D9015D" w:rsidRDefault="007F4583" w:rsidP="001420A6">
            <w:pPr>
              <w:rPr>
                <w:rFonts w:ascii="Arial" w:hAnsi="Arial" w:cs="Arial"/>
                <w:sz w:val="22"/>
                <w:szCs w:val="22"/>
              </w:rPr>
            </w:pPr>
            <w:r w:rsidRPr="00D9015D">
              <w:rPr>
                <w:rFonts w:ascii="Arial" w:hAnsi="Arial" w:cs="Arial"/>
                <w:sz w:val="22"/>
                <w:szCs w:val="22"/>
              </w:rPr>
              <w:t>“We are in Unit 3, and Unit 3 covers - um, let me get out my sheet here - chemical bonds, states of matter, and the greenhouse effect.”</w:t>
            </w:r>
          </w:p>
        </w:tc>
      </w:tr>
      <w:tr w:rsidR="007F4583" w:rsidRPr="00D9015D" w:rsidTr="001420A6">
        <w:tc>
          <w:tcPr>
            <w:tcW w:w="1765" w:type="dxa"/>
          </w:tcPr>
          <w:p w:rsidR="007F4583" w:rsidRPr="00D9015D" w:rsidRDefault="007F4583" w:rsidP="001420A6">
            <w:pPr>
              <w:rPr>
                <w:rFonts w:ascii="Arial" w:hAnsi="Arial" w:cs="Arial"/>
                <w:sz w:val="22"/>
                <w:szCs w:val="22"/>
              </w:rPr>
            </w:pPr>
            <w:r w:rsidRPr="00D9015D">
              <w:rPr>
                <w:rFonts w:ascii="Arial" w:hAnsi="Arial" w:cs="Arial"/>
                <w:sz w:val="22"/>
                <w:szCs w:val="22"/>
              </w:rPr>
              <w:t>Bloom’s level: Knowledge</w:t>
            </w:r>
          </w:p>
          <w:p w:rsidR="007B4B50" w:rsidRPr="00D9015D" w:rsidRDefault="007B4B50" w:rsidP="001420A6">
            <w:pPr>
              <w:rPr>
                <w:rFonts w:ascii="Arial" w:hAnsi="Arial" w:cs="Arial"/>
                <w:sz w:val="22"/>
                <w:szCs w:val="22"/>
              </w:rPr>
            </w:pPr>
            <w:r w:rsidRPr="00D9015D">
              <w:rPr>
                <w:rFonts w:ascii="Arial" w:hAnsi="Arial" w:cs="Arial"/>
                <w:sz w:val="22"/>
                <w:szCs w:val="22"/>
              </w:rPr>
              <w:t>(0.88)</w:t>
            </w:r>
          </w:p>
        </w:tc>
        <w:tc>
          <w:tcPr>
            <w:tcW w:w="2370" w:type="dxa"/>
          </w:tcPr>
          <w:p w:rsidR="007F4583" w:rsidRPr="00D9015D" w:rsidRDefault="00275D38" w:rsidP="001420A6">
            <w:pPr>
              <w:rPr>
                <w:rFonts w:ascii="Arial" w:hAnsi="Arial" w:cs="Arial"/>
                <w:sz w:val="22"/>
                <w:szCs w:val="22"/>
              </w:rPr>
            </w:pPr>
            <w:r w:rsidRPr="00D9015D">
              <w:rPr>
                <w:rFonts w:ascii="Arial" w:hAnsi="Arial" w:cs="Arial"/>
                <w:sz w:val="22"/>
                <w:szCs w:val="22"/>
              </w:rPr>
              <w:t>A learning goal that can be classified as “knowledge” within Bloom’s Taxonomy (often co-coded with other Bloom’s levels)</w:t>
            </w:r>
          </w:p>
        </w:tc>
        <w:tc>
          <w:tcPr>
            <w:tcW w:w="5215" w:type="dxa"/>
          </w:tcPr>
          <w:p w:rsidR="007F4583" w:rsidRPr="00D9015D" w:rsidRDefault="001F10F2" w:rsidP="001420A6">
            <w:pPr>
              <w:rPr>
                <w:rFonts w:ascii="Arial" w:hAnsi="Arial" w:cs="Arial"/>
                <w:sz w:val="22"/>
                <w:szCs w:val="22"/>
              </w:rPr>
            </w:pPr>
            <w:r w:rsidRPr="00D9015D">
              <w:rPr>
                <w:rFonts w:ascii="Arial" w:hAnsi="Arial" w:cs="Arial"/>
                <w:sz w:val="22"/>
                <w:szCs w:val="22"/>
              </w:rPr>
              <w:t>“So for the learning goals, there will be slides with all the steps and replication.  So I would like the students to have in their own mind what steps come in what order, and what th</w:t>
            </w:r>
            <w:r w:rsidR="004E3A37" w:rsidRPr="00D9015D">
              <w:rPr>
                <w:rFonts w:ascii="Arial" w:hAnsi="Arial" w:cs="Arial"/>
                <w:sz w:val="22"/>
                <w:szCs w:val="22"/>
              </w:rPr>
              <w:t>e name of the enzyme is…”</w:t>
            </w:r>
          </w:p>
          <w:p w:rsidR="004E3A37" w:rsidRPr="00D9015D" w:rsidRDefault="004E3A37" w:rsidP="001420A6">
            <w:pPr>
              <w:rPr>
                <w:rFonts w:ascii="Arial" w:hAnsi="Arial" w:cs="Arial"/>
                <w:sz w:val="22"/>
                <w:szCs w:val="22"/>
              </w:rPr>
            </w:pPr>
          </w:p>
          <w:p w:rsidR="001F10F2" w:rsidRPr="00D9015D" w:rsidRDefault="001F10F2" w:rsidP="001420A6">
            <w:pPr>
              <w:rPr>
                <w:rFonts w:ascii="Arial" w:hAnsi="Arial" w:cs="Arial"/>
                <w:sz w:val="22"/>
                <w:szCs w:val="22"/>
              </w:rPr>
            </w:pPr>
            <w:r w:rsidRPr="00D9015D">
              <w:rPr>
                <w:rFonts w:ascii="Arial" w:hAnsi="Arial" w:cs="Arial"/>
                <w:sz w:val="22"/>
                <w:szCs w:val="22"/>
              </w:rPr>
              <w:t>“Because they are going to be veterinarians, the important things are very straightforward – they have to know these organisms, they have to know what they are, the common names, the scientific names and that kind of thing…”</w:t>
            </w:r>
          </w:p>
        </w:tc>
      </w:tr>
      <w:tr w:rsidR="00275D38" w:rsidRPr="00D9015D" w:rsidTr="001420A6">
        <w:tc>
          <w:tcPr>
            <w:tcW w:w="1765" w:type="dxa"/>
          </w:tcPr>
          <w:p w:rsidR="00275D38" w:rsidRPr="00D9015D" w:rsidRDefault="00275D38" w:rsidP="00275D38">
            <w:pPr>
              <w:rPr>
                <w:rFonts w:ascii="Arial" w:hAnsi="Arial" w:cs="Arial"/>
                <w:sz w:val="22"/>
                <w:szCs w:val="22"/>
              </w:rPr>
            </w:pPr>
            <w:r w:rsidRPr="00D9015D">
              <w:rPr>
                <w:rFonts w:ascii="Arial" w:hAnsi="Arial" w:cs="Arial"/>
                <w:sz w:val="22"/>
                <w:szCs w:val="22"/>
              </w:rPr>
              <w:t>Bloom’s level: Comprehension</w:t>
            </w:r>
          </w:p>
          <w:p w:rsidR="007B4B50" w:rsidRPr="00D9015D" w:rsidRDefault="007B4B50" w:rsidP="00275D38">
            <w:pPr>
              <w:rPr>
                <w:rFonts w:ascii="Arial" w:hAnsi="Arial" w:cs="Arial"/>
                <w:sz w:val="22"/>
                <w:szCs w:val="22"/>
              </w:rPr>
            </w:pPr>
            <w:r w:rsidRPr="00D9015D">
              <w:rPr>
                <w:rFonts w:ascii="Arial" w:hAnsi="Arial" w:cs="Arial"/>
                <w:sz w:val="22"/>
                <w:szCs w:val="22"/>
              </w:rPr>
              <w:t>(0.79)</w:t>
            </w:r>
          </w:p>
        </w:tc>
        <w:tc>
          <w:tcPr>
            <w:tcW w:w="2370" w:type="dxa"/>
          </w:tcPr>
          <w:p w:rsidR="00275D38" w:rsidRPr="00D9015D" w:rsidRDefault="00275D38" w:rsidP="00275D38">
            <w:pPr>
              <w:rPr>
                <w:rFonts w:ascii="Arial" w:hAnsi="Arial" w:cs="Arial"/>
                <w:sz w:val="22"/>
                <w:szCs w:val="22"/>
              </w:rPr>
            </w:pPr>
            <w:r w:rsidRPr="00D9015D">
              <w:rPr>
                <w:rFonts w:ascii="Arial" w:hAnsi="Arial" w:cs="Arial"/>
                <w:sz w:val="22"/>
                <w:szCs w:val="22"/>
              </w:rPr>
              <w:t xml:space="preserve">A learning goal that can be classified as “comprehension” within Bloom’s </w:t>
            </w:r>
            <w:r w:rsidRPr="00D9015D">
              <w:rPr>
                <w:rFonts w:ascii="Arial" w:hAnsi="Arial" w:cs="Arial"/>
                <w:sz w:val="22"/>
                <w:szCs w:val="22"/>
              </w:rPr>
              <w:lastRenderedPageBreak/>
              <w:t>Taxonomy</w:t>
            </w:r>
          </w:p>
          <w:p w:rsidR="00275D38" w:rsidRPr="00D9015D" w:rsidRDefault="00275D38" w:rsidP="00275D38">
            <w:pPr>
              <w:rPr>
                <w:rFonts w:ascii="Arial" w:hAnsi="Arial" w:cs="Arial"/>
                <w:sz w:val="22"/>
                <w:szCs w:val="22"/>
              </w:rPr>
            </w:pPr>
            <w:r w:rsidRPr="00D9015D">
              <w:rPr>
                <w:rFonts w:ascii="Arial" w:hAnsi="Arial" w:cs="Arial"/>
                <w:sz w:val="22"/>
                <w:szCs w:val="22"/>
              </w:rPr>
              <w:t>(often co-coded with other Bloom’s levels)</w:t>
            </w:r>
          </w:p>
        </w:tc>
        <w:tc>
          <w:tcPr>
            <w:tcW w:w="5215" w:type="dxa"/>
          </w:tcPr>
          <w:p w:rsidR="00275D38" w:rsidRPr="00D9015D" w:rsidRDefault="00275D38" w:rsidP="00275D38">
            <w:pPr>
              <w:rPr>
                <w:rFonts w:ascii="Arial" w:hAnsi="Arial" w:cs="Arial"/>
                <w:sz w:val="22"/>
                <w:szCs w:val="22"/>
              </w:rPr>
            </w:pPr>
            <w:r w:rsidRPr="00D9015D">
              <w:rPr>
                <w:rFonts w:ascii="Arial" w:hAnsi="Arial" w:cs="Arial"/>
                <w:sz w:val="22"/>
                <w:szCs w:val="22"/>
              </w:rPr>
              <w:lastRenderedPageBreak/>
              <w:t xml:space="preserve">“And then the other major learning goal would be, there’s two polymerases, DNA polymerase three and DNA polymerase one, so if they at the end could describe lucidly how they’re different in </w:t>
            </w:r>
            <w:r w:rsidRPr="00D9015D">
              <w:rPr>
                <w:rFonts w:ascii="Arial" w:hAnsi="Arial" w:cs="Arial"/>
                <w:sz w:val="22"/>
                <w:szCs w:val="22"/>
              </w:rPr>
              <w:lastRenderedPageBreak/>
              <w:t>replication, what activity differences they have, I would b</w:t>
            </w:r>
            <w:r w:rsidR="004E3A37" w:rsidRPr="00D9015D">
              <w:rPr>
                <w:rFonts w:ascii="Arial" w:hAnsi="Arial" w:cs="Arial"/>
                <w:sz w:val="22"/>
                <w:szCs w:val="22"/>
              </w:rPr>
              <w:t xml:space="preserve">e quite happy with that.” </w:t>
            </w:r>
          </w:p>
          <w:p w:rsidR="004E3A37" w:rsidRPr="00D9015D" w:rsidRDefault="004E3A37" w:rsidP="00275D38">
            <w:pPr>
              <w:rPr>
                <w:rFonts w:ascii="Arial" w:hAnsi="Arial" w:cs="Arial"/>
                <w:sz w:val="22"/>
                <w:szCs w:val="22"/>
              </w:rPr>
            </w:pPr>
          </w:p>
          <w:p w:rsidR="00275D38" w:rsidRPr="00D9015D" w:rsidRDefault="00275D38" w:rsidP="00275D38">
            <w:pPr>
              <w:rPr>
                <w:rFonts w:ascii="Arial" w:hAnsi="Arial" w:cs="Arial"/>
                <w:sz w:val="22"/>
                <w:szCs w:val="22"/>
              </w:rPr>
            </w:pPr>
            <w:r w:rsidRPr="00D9015D">
              <w:rPr>
                <w:rFonts w:ascii="Arial" w:hAnsi="Arial" w:cs="Arial"/>
                <w:sz w:val="22"/>
                <w:szCs w:val="22"/>
              </w:rPr>
              <w:t>“We’re talking about biomaterials right now.  So we’ve been talking about different alloys, stainless steel, titanium, things like that – what the differences and similarities are between different materials and why they might use some for different applications versus the others.”</w:t>
            </w:r>
          </w:p>
        </w:tc>
      </w:tr>
      <w:tr w:rsidR="00275D38" w:rsidRPr="00D9015D" w:rsidTr="001420A6">
        <w:tc>
          <w:tcPr>
            <w:tcW w:w="1765" w:type="dxa"/>
          </w:tcPr>
          <w:p w:rsidR="00275D38" w:rsidRPr="00D9015D" w:rsidRDefault="00275D38" w:rsidP="00275D38">
            <w:pPr>
              <w:rPr>
                <w:rFonts w:ascii="Arial" w:hAnsi="Arial" w:cs="Arial"/>
                <w:sz w:val="22"/>
                <w:szCs w:val="22"/>
              </w:rPr>
            </w:pPr>
            <w:r w:rsidRPr="00D9015D">
              <w:rPr>
                <w:rFonts w:ascii="Arial" w:hAnsi="Arial" w:cs="Arial"/>
                <w:sz w:val="22"/>
                <w:szCs w:val="22"/>
              </w:rPr>
              <w:lastRenderedPageBreak/>
              <w:t>Bloom’s level: Application</w:t>
            </w:r>
          </w:p>
          <w:p w:rsidR="007B4B50" w:rsidRPr="00D9015D" w:rsidRDefault="007B4B50" w:rsidP="00275D38">
            <w:pPr>
              <w:rPr>
                <w:rFonts w:ascii="Arial" w:hAnsi="Arial" w:cs="Arial"/>
                <w:sz w:val="22"/>
                <w:szCs w:val="22"/>
              </w:rPr>
            </w:pPr>
            <w:r w:rsidRPr="00D9015D">
              <w:rPr>
                <w:rFonts w:ascii="Arial" w:hAnsi="Arial" w:cs="Arial"/>
                <w:sz w:val="22"/>
                <w:szCs w:val="22"/>
              </w:rPr>
              <w:t>(1.00)</w:t>
            </w:r>
          </w:p>
        </w:tc>
        <w:tc>
          <w:tcPr>
            <w:tcW w:w="2370" w:type="dxa"/>
          </w:tcPr>
          <w:p w:rsidR="00275D38" w:rsidRPr="00D9015D" w:rsidRDefault="00275D38" w:rsidP="00275D38">
            <w:pPr>
              <w:rPr>
                <w:rFonts w:ascii="Arial" w:hAnsi="Arial" w:cs="Arial"/>
                <w:sz w:val="22"/>
                <w:szCs w:val="22"/>
              </w:rPr>
            </w:pPr>
            <w:r w:rsidRPr="00D9015D">
              <w:rPr>
                <w:rFonts w:ascii="Arial" w:hAnsi="Arial" w:cs="Arial"/>
                <w:sz w:val="22"/>
                <w:szCs w:val="22"/>
              </w:rPr>
              <w:t>A learning goal that can be classified as “application” within Bloom’s Taxonomy (often co-coded with other Bloom’s levels)</w:t>
            </w:r>
          </w:p>
        </w:tc>
        <w:tc>
          <w:tcPr>
            <w:tcW w:w="5215" w:type="dxa"/>
          </w:tcPr>
          <w:p w:rsidR="00275D38" w:rsidRPr="00D9015D" w:rsidRDefault="00275D38" w:rsidP="00275D38">
            <w:pPr>
              <w:rPr>
                <w:rFonts w:ascii="Arial" w:hAnsi="Arial" w:cs="Arial"/>
                <w:sz w:val="22"/>
                <w:szCs w:val="22"/>
              </w:rPr>
            </w:pPr>
            <w:r w:rsidRPr="00D9015D">
              <w:rPr>
                <w:rFonts w:ascii="Arial" w:hAnsi="Arial" w:cs="Arial"/>
                <w:sz w:val="22"/>
                <w:szCs w:val="22"/>
              </w:rPr>
              <w:t>“That is to say I’ll be working a few example problems on how to apply Newton’s three laws of mechanics to various physical situations, free-body diagrams, calculati</w:t>
            </w:r>
            <w:r w:rsidR="004E3A37" w:rsidRPr="00D9015D">
              <w:rPr>
                <w:rFonts w:ascii="Arial" w:hAnsi="Arial" w:cs="Arial"/>
                <w:sz w:val="22"/>
                <w:szCs w:val="22"/>
              </w:rPr>
              <w:t>ons with some numbers…”</w:t>
            </w:r>
          </w:p>
          <w:p w:rsidR="004E3A37" w:rsidRPr="00D9015D" w:rsidRDefault="004E3A37" w:rsidP="00275D38">
            <w:pPr>
              <w:rPr>
                <w:rFonts w:ascii="Arial" w:hAnsi="Arial" w:cs="Arial"/>
                <w:sz w:val="22"/>
                <w:szCs w:val="22"/>
              </w:rPr>
            </w:pPr>
          </w:p>
          <w:p w:rsidR="00275D38" w:rsidRPr="00D9015D" w:rsidRDefault="00275D38" w:rsidP="00275D38">
            <w:pPr>
              <w:rPr>
                <w:rFonts w:ascii="Arial" w:hAnsi="Arial" w:cs="Arial"/>
                <w:sz w:val="22"/>
                <w:szCs w:val="22"/>
              </w:rPr>
            </w:pPr>
            <w:r w:rsidRPr="00D9015D">
              <w:rPr>
                <w:rFonts w:ascii="Arial" w:hAnsi="Arial" w:cs="Arial"/>
                <w:sz w:val="22"/>
                <w:szCs w:val="22"/>
              </w:rPr>
              <w:t>“It’s to be able to draw mechanisms for reactions of Grignard reagents with ketones and aldehydes, and then be able to apply those reactions in multi-step synthesis pathways with reactions that we’ve learned from previous chapters.”</w:t>
            </w:r>
          </w:p>
        </w:tc>
      </w:tr>
      <w:tr w:rsidR="00275D38" w:rsidRPr="00D9015D" w:rsidTr="001420A6">
        <w:tc>
          <w:tcPr>
            <w:tcW w:w="1765" w:type="dxa"/>
          </w:tcPr>
          <w:p w:rsidR="00275D38" w:rsidRPr="00D9015D" w:rsidRDefault="00275D38" w:rsidP="00275D38">
            <w:pPr>
              <w:rPr>
                <w:rFonts w:ascii="Arial" w:hAnsi="Arial" w:cs="Arial"/>
                <w:sz w:val="22"/>
                <w:szCs w:val="22"/>
              </w:rPr>
            </w:pPr>
            <w:r w:rsidRPr="00D9015D">
              <w:rPr>
                <w:rFonts w:ascii="Arial" w:hAnsi="Arial" w:cs="Arial"/>
                <w:sz w:val="22"/>
                <w:szCs w:val="22"/>
              </w:rPr>
              <w:t>Bloom’s level: Analysis</w:t>
            </w:r>
          </w:p>
          <w:p w:rsidR="007B4B50" w:rsidRPr="00D9015D" w:rsidRDefault="007B4B50" w:rsidP="00275D38">
            <w:pPr>
              <w:rPr>
                <w:rFonts w:ascii="Arial" w:hAnsi="Arial" w:cs="Arial"/>
                <w:sz w:val="22"/>
                <w:szCs w:val="22"/>
              </w:rPr>
            </w:pPr>
            <w:r w:rsidRPr="00D9015D">
              <w:rPr>
                <w:rFonts w:ascii="Arial" w:hAnsi="Arial" w:cs="Arial"/>
                <w:sz w:val="22"/>
                <w:szCs w:val="22"/>
              </w:rPr>
              <w:t>(1.00)</w:t>
            </w:r>
          </w:p>
        </w:tc>
        <w:tc>
          <w:tcPr>
            <w:tcW w:w="2370" w:type="dxa"/>
          </w:tcPr>
          <w:p w:rsidR="00275D38" w:rsidRPr="00D9015D" w:rsidRDefault="00275D38" w:rsidP="00275D38">
            <w:pPr>
              <w:rPr>
                <w:rFonts w:ascii="Arial" w:hAnsi="Arial" w:cs="Arial"/>
                <w:sz w:val="22"/>
                <w:szCs w:val="22"/>
              </w:rPr>
            </w:pPr>
            <w:r w:rsidRPr="00D9015D">
              <w:rPr>
                <w:rFonts w:ascii="Arial" w:hAnsi="Arial" w:cs="Arial"/>
                <w:sz w:val="22"/>
                <w:szCs w:val="22"/>
              </w:rPr>
              <w:t>A learning goal that can be classified as “analysis” within Bloom’s Taxonomy (often co-coded with other Bloom’s levels)</w:t>
            </w:r>
          </w:p>
        </w:tc>
        <w:tc>
          <w:tcPr>
            <w:tcW w:w="5215" w:type="dxa"/>
          </w:tcPr>
          <w:p w:rsidR="00275D38" w:rsidRPr="00D9015D" w:rsidRDefault="00275D38" w:rsidP="00275D38">
            <w:pPr>
              <w:rPr>
                <w:rFonts w:ascii="Arial" w:hAnsi="Arial" w:cs="Arial"/>
                <w:sz w:val="22"/>
                <w:szCs w:val="22"/>
              </w:rPr>
            </w:pPr>
            <w:r w:rsidRPr="00D9015D">
              <w:rPr>
                <w:rFonts w:ascii="Arial" w:hAnsi="Arial" w:cs="Arial"/>
                <w:sz w:val="22"/>
                <w:szCs w:val="22"/>
              </w:rPr>
              <w:t>“We’re covering the secretory pathway… I’ve been trying to use a style of having them try to understand experimental results, so it’s a little bit more of a course where they have to look at information and see how interpretations are drawn from the information, so one of my goals for the course in general is for them to recognize how to</w:t>
            </w:r>
            <w:r w:rsidR="004E3A37" w:rsidRPr="00D9015D">
              <w:rPr>
                <w:rFonts w:ascii="Arial" w:hAnsi="Arial" w:cs="Arial"/>
                <w:sz w:val="22"/>
                <w:szCs w:val="22"/>
              </w:rPr>
              <w:t xml:space="preserve"> process information.” </w:t>
            </w:r>
          </w:p>
          <w:p w:rsidR="004E3A37" w:rsidRPr="00D9015D" w:rsidRDefault="004E3A37" w:rsidP="00275D38">
            <w:pPr>
              <w:rPr>
                <w:rFonts w:ascii="Arial" w:hAnsi="Arial" w:cs="Arial"/>
                <w:sz w:val="22"/>
                <w:szCs w:val="22"/>
              </w:rPr>
            </w:pPr>
          </w:p>
          <w:p w:rsidR="00275D38" w:rsidRPr="00D9015D" w:rsidRDefault="00275D38" w:rsidP="00275D38">
            <w:pPr>
              <w:rPr>
                <w:rFonts w:ascii="Arial" w:hAnsi="Arial" w:cs="Arial"/>
                <w:sz w:val="22"/>
                <w:szCs w:val="22"/>
              </w:rPr>
            </w:pPr>
            <w:r w:rsidRPr="00D9015D">
              <w:rPr>
                <w:rFonts w:ascii="Arial" w:hAnsi="Arial" w:cs="Arial"/>
                <w:sz w:val="22"/>
                <w:szCs w:val="22"/>
              </w:rPr>
              <w:t>“I want students to stop working with algorithmic problem solving and prescription-based problem solving and move to solving complex problems based on their understanding of the system and basic laws… I always want students not to solve problems step-by-step but instead, solve problems by understanding the system and building up an analytical description of the system.”</w:t>
            </w:r>
          </w:p>
        </w:tc>
      </w:tr>
      <w:tr w:rsidR="00275D38" w:rsidRPr="00D9015D" w:rsidTr="001420A6">
        <w:tc>
          <w:tcPr>
            <w:tcW w:w="1765" w:type="dxa"/>
          </w:tcPr>
          <w:p w:rsidR="00275D38" w:rsidRPr="00D9015D" w:rsidRDefault="00275D38" w:rsidP="00275D38">
            <w:pPr>
              <w:rPr>
                <w:rFonts w:ascii="Arial" w:hAnsi="Arial" w:cs="Arial"/>
                <w:sz w:val="22"/>
                <w:szCs w:val="22"/>
              </w:rPr>
            </w:pPr>
            <w:r w:rsidRPr="00D9015D">
              <w:rPr>
                <w:rFonts w:ascii="Arial" w:hAnsi="Arial" w:cs="Arial"/>
                <w:sz w:val="22"/>
                <w:szCs w:val="22"/>
              </w:rPr>
              <w:t>Bloom’s level: Evaluation</w:t>
            </w:r>
          </w:p>
          <w:p w:rsidR="007B4B50" w:rsidRPr="00D9015D" w:rsidRDefault="007B4B50" w:rsidP="00275D38">
            <w:pPr>
              <w:rPr>
                <w:rFonts w:ascii="Arial" w:hAnsi="Arial" w:cs="Arial"/>
                <w:sz w:val="22"/>
                <w:szCs w:val="22"/>
              </w:rPr>
            </w:pPr>
            <w:r w:rsidRPr="00D9015D">
              <w:rPr>
                <w:rFonts w:ascii="Arial" w:hAnsi="Arial" w:cs="Arial"/>
                <w:sz w:val="22"/>
                <w:szCs w:val="22"/>
              </w:rPr>
              <w:t>(1.00)</w:t>
            </w:r>
          </w:p>
        </w:tc>
        <w:tc>
          <w:tcPr>
            <w:tcW w:w="2370" w:type="dxa"/>
          </w:tcPr>
          <w:p w:rsidR="00275D38" w:rsidRPr="00D9015D" w:rsidRDefault="00275D38" w:rsidP="00275D38">
            <w:pPr>
              <w:rPr>
                <w:rFonts w:ascii="Arial" w:hAnsi="Arial" w:cs="Arial"/>
                <w:sz w:val="22"/>
                <w:szCs w:val="22"/>
              </w:rPr>
            </w:pPr>
            <w:r w:rsidRPr="00D9015D">
              <w:rPr>
                <w:rFonts w:ascii="Arial" w:hAnsi="Arial" w:cs="Arial"/>
                <w:sz w:val="22"/>
                <w:szCs w:val="22"/>
              </w:rPr>
              <w:t>A learning goal that can be classified as “evaluation” within Bloom’s Taxonomy (often co-coded with other Bloom’s levels)</w:t>
            </w:r>
          </w:p>
        </w:tc>
        <w:tc>
          <w:tcPr>
            <w:tcW w:w="5215" w:type="dxa"/>
          </w:tcPr>
          <w:p w:rsidR="00275D38" w:rsidRPr="00D9015D" w:rsidRDefault="00275D38" w:rsidP="00275D38">
            <w:pPr>
              <w:rPr>
                <w:rFonts w:ascii="Arial" w:hAnsi="Arial" w:cs="Arial"/>
                <w:sz w:val="22"/>
                <w:szCs w:val="22"/>
              </w:rPr>
            </w:pPr>
            <w:r w:rsidRPr="00D9015D">
              <w:rPr>
                <w:rFonts w:ascii="Arial" w:hAnsi="Arial" w:cs="Arial"/>
                <w:sz w:val="22"/>
                <w:szCs w:val="22"/>
              </w:rPr>
              <w:t xml:space="preserve">“For the class, it’s for them to think independently about if somebody was to give them a target or they got a job where somebody said ‘make this’… that your first and most realistic thing would be, of course, you’d sit down and you’d bang through </w:t>
            </w:r>
            <w:proofErr w:type="spellStart"/>
            <w:r w:rsidRPr="00D9015D">
              <w:rPr>
                <w:rFonts w:ascii="Arial" w:hAnsi="Arial" w:cs="Arial"/>
                <w:sz w:val="22"/>
                <w:szCs w:val="22"/>
              </w:rPr>
              <w:t>SciFinder</w:t>
            </w:r>
            <w:proofErr w:type="spellEnd"/>
            <w:r w:rsidRPr="00D9015D">
              <w:rPr>
                <w:rFonts w:ascii="Arial" w:hAnsi="Arial" w:cs="Arial"/>
                <w:sz w:val="22"/>
                <w:szCs w:val="22"/>
              </w:rPr>
              <w:t xml:space="preserve"> or something else.  And you’d look for things that were similar… giving them the feeling that it’s so easy to go, once you go off the road, you’re really in the weeds, with even small changes.  So the reason is that you have to then be able to start to say, ‘is this the best way?’” </w:t>
            </w:r>
          </w:p>
        </w:tc>
      </w:tr>
      <w:tr w:rsidR="00275D38" w:rsidRPr="00D9015D" w:rsidTr="001420A6">
        <w:tc>
          <w:tcPr>
            <w:tcW w:w="1765" w:type="dxa"/>
          </w:tcPr>
          <w:p w:rsidR="00275D38" w:rsidRPr="00D9015D" w:rsidRDefault="00275D38" w:rsidP="00275D38">
            <w:pPr>
              <w:rPr>
                <w:rFonts w:ascii="Arial" w:hAnsi="Arial" w:cs="Arial"/>
                <w:sz w:val="22"/>
                <w:szCs w:val="22"/>
              </w:rPr>
            </w:pPr>
            <w:r w:rsidRPr="00D9015D">
              <w:rPr>
                <w:rFonts w:ascii="Arial" w:hAnsi="Arial" w:cs="Arial"/>
                <w:sz w:val="22"/>
                <w:szCs w:val="22"/>
              </w:rPr>
              <w:t>Bloom’s level: Synthesis</w:t>
            </w:r>
          </w:p>
          <w:p w:rsidR="007B4B50" w:rsidRPr="00D9015D" w:rsidRDefault="007B4B50" w:rsidP="00275D38">
            <w:pPr>
              <w:rPr>
                <w:rFonts w:ascii="Arial" w:hAnsi="Arial" w:cs="Arial"/>
                <w:sz w:val="22"/>
                <w:szCs w:val="22"/>
              </w:rPr>
            </w:pPr>
            <w:r w:rsidRPr="00D9015D">
              <w:rPr>
                <w:rFonts w:ascii="Arial" w:hAnsi="Arial" w:cs="Arial"/>
                <w:sz w:val="22"/>
                <w:szCs w:val="22"/>
              </w:rPr>
              <w:t>(0.88)</w:t>
            </w:r>
          </w:p>
        </w:tc>
        <w:tc>
          <w:tcPr>
            <w:tcW w:w="2370" w:type="dxa"/>
          </w:tcPr>
          <w:p w:rsidR="00275D38" w:rsidRPr="00D9015D" w:rsidRDefault="00275D38" w:rsidP="00275D38">
            <w:pPr>
              <w:rPr>
                <w:rFonts w:ascii="Arial" w:hAnsi="Arial" w:cs="Arial"/>
                <w:sz w:val="22"/>
                <w:szCs w:val="22"/>
              </w:rPr>
            </w:pPr>
            <w:r w:rsidRPr="00D9015D">
              <w:rPr>
                <w:rFonts w:ascii="Arial" w:hAnsi="Arial" w:cs="Arial"/>
                <w:sz w:val="22"/>
                <w:szCs w:val="22"/>
              </w:rPr>
              <w:t xml:space="preserve">A learning goal that can be classified as “synthesis” within </w:t>
            </w:r>
            <w:r w:rsidRPr="00D9015D">
              <w:rPr>
                <w:rFonts w:ascii="Arial" w:hAnsi="Arial" w:cs="Arial"/>
                <w:sz w:val="22"/>
                <w:szCs w:val="22"/>
              </w:rPr>
              <w:lastRenderedPageBreak/>
              <w:t>Bloom’s Taxonomy (often co-coded with other Bloom’s levels)</w:t>
            </w:r>
          </w:p>
        </w:tc>
        <w:tc>
          <w:tcPr>
            <w:tcW w:w="5215" w:type="dxa"/>
          </w:tcPr>
          <w:p w:rsidR="00275D38" w:rsidRPr="00D9015D" w:rsidRDefault="00275D38" w:rsidP="00275D38">
            <w:pPr>
              <w:rPr>
                <w:rFonts w:ascii="Arial" w:hAnsi="Arial" w:cs="Arial"/>
                <w:sz w:val="22"/>
                <w:szCs w:val="22"/>
              </w:rPr>
            </w:pPr>
            <w:r w:rsidRPr="00D9015D">
              <w:rPr>
                <w:rFonts w:ascii="Arial" w:hAnsi="Arial" w:cs="Arial"/>
                <w:sz w:val="22"/>
                <w:szCs w:val="22"/>
              </w:rPr>
              <w:lastRenderedPageBreak/>
              <w:t xml:space="preserve">“That is to be able to essentially, in terms of the biological sense, derive models for the independent growth and be able to use that to </w:t>
            </w:r>
            <w:r w:rsidRPr="00D9015D">
              <w:rPr>
                <w:rFonts w:ascii="Arial" w:hAnsi="Arial" w:cs="Arial"/>
                <w:sz w:val="22"/>
                <w:szCs w:val="22"/>
              </w:rPr>
              <w:lastRenderedPageBreak/>
              <w:t>make predications and derive a model or build a model for density depende</w:t>
            </w:r>
            <w:r w:rsidR="004E3A37" w:rsidRPr="00D9015D">
              <w:rPr>
                <w:rFonts w:ascii="Arial" w:hAnsi="Arial" w:cs="Arial"/>
                <w:sz w:val="22"/>
                <w:szCs w:val="22"/>
              </w:rPr>
              <w:t>nt growth.”</w:t>
            </w:r>
          </w:p>
          <w:p w:rsidR="004E3A37" w:rsidRPr="00D9015D" w:rsidRDefault="004E3A37" w:rsidP="00275D38">
            <w:pPr>
              <w:rPr>
                <w:rFonts w:ascii="Arial" w:hAnsi="Arial" w:cs="Arial"/>
                <w:sz w:val="22"/>
                <w:szCs w:val="22"/>
              </w:rPr>
            </w:pPr>
          </w:p>
          <w:p w:rsidR="00275D38" w:rsidRPr="00D9015D" w:rsidRDefault="00275D38" w:rsidP="00275D38">
            <w:pPr>
              <w:rPr>
                <w:rFonts w:ascii="Arial" w:hAnsi="Arial" w:cs="Arial"/>
                <w:sz w:val="22"/>
                <w:szCs w:val="22"/>
              </w:rPr>
            </w:pPr>
            <w:r w:rsidRPr="00D9015D">
              <w:rPr>
                <w:rFonts w:ascii="Arial" w:hAnsi="Arial" w:cs="Arial"/>
                <w:sz w:val="22"/>
                <w:szCs w:val="22"/>
              </w:rPr>
              <w:t xml:space="preserve">“So this is what your student does, a 6 year old child does - you tell me how you would respond to that.  So the learning goals are really to connect that to their own classrooms and connect that in their future classrooms and see, ‘okay, this is a situation that could arise, what do I do in that situation.’” </w:t>
            </w:r>
          </w:p>
        </w:tc>
      </w:tr>
    </w:tbl>
    <w:p w:rsidR="007F4583" w:rsidRPr="00D9015D" w:rsidRDefault="007F4583">
      <w:pPr>
        <w:rPr>
          <w:rFonts w:ascii="Arial" w:hAnsi="Arial" w:cs="Arial"/>
          <w:sz w:val="22"/>
          <w:szCs w:val="22"/>
        </w:rPr>
      </w:pPr>
    </w:p>
    <w:sectPr w:rsidR="007F4583" w:rsidRPr="00D9015D" w:rsidSect="009D1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1AC"/>
    <w:rsid w:val="0004366D"/>
    <w:rsid w:val="001334E5"/>
    <w:rsid w:val="00150F00"/>
    <w:rsid w:val="001C2F75"/>
    <w:rsid w:val="001F10F2"/>
    <w:rsid w:val="00275D38"/>
    <w:rsid w:val="003527DB"/>
    <w:rsid w:val="00381204"/>
    <w:rsid w:val="003B51AC"/>
    <w:rsid w:val="00487E07"/>
    <w:rsid w:val="004B08DC"/>
    <w:rsid w:val="004E3A37"/>
    <w:rsid w:val="005072C0"/>
    <w:rsid w:val="00660572"/>
    <w:rsid w:val="00762FCA"/>
    <w:rsid w:val="007B4B50"/>
    <w:rsid w:val="007F3240"/>
    <w:rsid w:val="007F4583"/>
    <w:rsid w:val="0083401A"/>
    <w:rsid w:val="00836FF9"/>
    <w:rsid w:val="0095426F"/>
    <w:rsid w:val="009D1B79"/>
    <w:rsid w:val="00A21F2A"/>
    <w:rsid w:val="00AB1C86"/>
    <w:rsid w:val="00B16D18"/>
    <w:rsid w:val="00B2693A"/>
    <w:rsid w:val="00BC4869"/>
    <w:rsid w:val="00C15CDF"/>
    <w:rsid w:val="00CA6EE0"/>
    <w:rsid w:val="00D06BAF"/>
    <w:rsid w:val="00D9015D"/>
    <w:rsid w:val="00DF458B"/>
    <w:rsid w:val="00EB616A"/>
    <w:rsid w:val="00F85755"/>
    <w:rsid w:val="00F868CB"/>
    <w:rsid w:val="00FF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6039"/>
  <w15:docId w15:val="{4A4E2A8B-B20D-E446-A6CD-EDF22644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 Erdmann</cp:lastModifiedBy>
  <cp:revision>3</cp:revision>
  <dcterms:created xsi:type="dcterms:W3CDTF">2019-06-11T04:10:00Z</dcterms:created>
  <dcterms:modified xsi:type="dcterms:W3CDTF">2019-06-11T04:10:00Z</dcterms:modified>
</cp:coreProperties>
</file>