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C3" w:rsidRPr="00E4548D" w:rsidRDefault="00AC1984" w:rsidP="004C03C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4C03C3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Table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. Mo</w:t>
      </w:r>
      <w:r w:rsidR="004C03C3">
        <w:rPr>
          <w:rFonts w:ascii="Times New Roman" w:hAnsi="Times New Roman"/>
          <w:sz w:val="24"/>
          <w:szCs w:val="24"/>
          <w:lang w:val="en-GB"/>
        </w:rPr>
        <w:t>del selection (based on the AIC criteria) for optimal random term structure in the considered GAMs. GAM1 investigated the p</w:t>
      </w:r>
      <w:r w:rsidR="004C03C3" w:rsidRPr="00695D5D">
        <w:rPr>
          <w:rFonts w:ascii="Times New Roman" w:hAnsi="Times New Roman"/>
          <w:sz w:val="24"/>
          <w:szCs w:val="24"/>
          <w:lang w:val="en-GB"/>
        </w:rPr>
        <w:t>ropensity of individual moose to migrate in relation to forest area in summer home range</w:t>
      </w:r>
      <w:r w:rsidR="004C03C3">
        <w:rPr>
          <w:rFonts w:ascii="Times New Roman" w:hAnsi="Times New Roman"/>
          <w:sz w:val="24"/>
          <w:szCs w:val="24"/>
          <w:lang w:val="en-GB"/>
        </w:rPr>
        <w:t xml:space="preserve"> (Forest). GAM2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03C3">
        <w:rPr>
          <w:rFonts w:ascii="Times New Roman" w:hAnsi="Times New Roman"/>
          <w:sz w:val="24"/>
          <w:szCs w:val="24"/>
          <w:lang w:val="en-GB"/>
        </w:rPr>
        <w:t xml:space="preserve">and GAM3 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 xml:space="preserve">aimed at assessing </w:t>
      </w:r>
      <w:r w:rsidR="004C03C3">
        <w:rPr>
          <w:rFonts w:ascii="Times New Roman" w:hAnsi="Times New Roman"/>
          <w:sz w:val="24"/>
          <w:szCs w:val="24"/>
          <w:lang w:val="en-GB"/>
        </w:rPr>
        <w:t>the effect of time of moose migration initiations in preceding year (D</w:t>
      </w:r>
      <w:r w:rsidR="004C03C3" w:rsidRPr="006943BC">
        <w:rPr>
          <w:rFonts w:ascii="Times New Roman" w:hAnsi="Times New Roman"/>
          <w:sz w:val="24"/>
          <w:szCs w:val="24"/>
          <w:vertAlign w:val="subscript"/>
          <w:lang w:val="en-GB"/>
        </w:rPr>
        <w:t>Time</w:t>
      </w:r>
      <w:r w:rsidR="004C03C3">
        <w:rPr>
          <w:rFonts w:ascii="Times New Roman" w:hAnsi="Times New Roman"/>
          <w:sz w:val="24"/>
          <w:szCs w:val="24"/>
          <w:vertAlign w:val="subscript"/>
          <w:lang w:val="en-GB"/>
        </w:rPr>
        <w:t>-</w:t>
      </w:r>
      <w:r w:rsidR="004C03C3" w:rsidRPr="00DB156A">
        <w:rPr>
          <w:rFonts w:ascii="Times New Roman" w:hAnsi="Times New Roman"/>
          <w:sz w:val="24"/>
          <w:szCs w:val="24"/>
          <w:vertAlign w:val="subscript"/>
          <w:lang w:val="en-GB"/>
        </w:rPr>
        <w:t>1</w:t>
      </w:r>
      <w:r w:rsidR="004C03C3">
        <w:rPr>
          <w:rFonts w:ascii="Times New Roman" w:hAnsi="Times New Roman"/>
          <w:sz w:val="24"/>
          <w:szCs w:val="24"/>
          <w:lang w:val="en-GB"/>
        </w:rPr>
        <w:t>) on the start of migrations in a given year (</w:t>
      </w:r>
      <w:proofErr w:type="spellStart"/>
      <w:r w:rsidR="004C03C3">
        <w:rPr>
          <w:rFonts w:ascii="Times New Roman" w:hAnsi="Times New Roman"/>
          <w:sz w:val="24"/>
          <w:szCs w:val="24"/>
          <w:lang w:val="en-GB"/>
        </w:rPr>
        <w:t>D</w:t>
      </w:r>
      <w:r w:rsidR="004C03C3" w:rsidRPr="006943BC">
        <w:rPr>
          <w:rFonts w:ascii="Times New Roman" w:hAnsi="Times New Roman"/>
          <w:sz w:val="24"/>
          <w:szCs w:val="24"/>
          <w:vertAlign w:val="subscript"/>
          <w:lang w:val="en-GB"/>
        </w:rPr>
        <w:t>Time</w:t>
      </w:r>
      <w:proofErr w:type="spellEnd"/>
      <w:r w:rsidR="004C03C3">
        <w:rPr>
          <w:rFonts w:ascii="Times New Roman" w:hAnsi="Times New Roman"/>
          <w:sz w:val="24"/>
          <w:szCs w:val="24"/>
          <w:lang w:val="en-GB"/>
        </w:rPr>
        <w:t>) in spring and autumn (respectively). GAM4 tested association between the time of departures of moose to summer ranges (</w:t>
      </w:r>
      <w:proofErr w:type="spellStart"/>
      <w:r w:rsidR="004C03C3">
        <w:rPr>
          <w:rFonts w:ascii="Times New Roman" w:hAnsi="Times New Roman"/>
          <w:sz w:val="24"/>
          <w:szCs w:val="24"/>
          <w:lang w:val="en-GB"/>
        </w:rPr>
        <w:t>D</w:t>
      </w:r>
      <w:r w:rsidR="004C03C3" w:rsidRPr="006943BC">
        <w:rPr>
          <w:rFonts w:ascii="Times New Roman" w:hAnsi="Times New Roman"/>
          <w:sz w:val="24"/>
          <w:szCs w:val="24"/>
          <w:vertAlign w:val="subscript"/>
          <w:lang w:val="en-GB"/>
        </w:rPr>
        <w:t>Time</w:t>
      </w:r>
      <w:proofErr w:type="spellEnd"/>
      <w:r w:rsidR="004C03C3">
        <w:rPr>
          <w:rFonts w:ascii="Times New Roman" w:hAnsi="Times New Roman"/>
          <w:sz w:val="24"/>
          <w:szCs w:val="24"/>
          <w:lang w:val="en-GB"/>
        </w:rPr>
        <w:t>) and the time of returns to winter ranges (</w:t>
      </w:r>
      <w:proofErr w:type="spellStart"/>
      <w:r w:rsidR="004C03C3">
        <w:rPr>
          <w:rFonts w:ascii="Times New Roman" w:hAnsi="Times New Roman"/>
          <w:sz w:val="24"/>
          <w:szCs w:val="24"/>
          <w:lang w:val="en-GB"/>
        </w:rPr>
        <w:t>R</w:t>
      </w:r>
      <w:r w:rsidR="004C03C3" w:rsidRPr="006943BC">
        <w:rPr>
          <w:rFonts w:ascii="Times New Roman" w:hAnsi="Times New Roman"/>
          <w:sz w:val="24"/>
          <w:szCs w:val="24"/>
          <w:vertAlign w:val="subscript"/>
          <w:lang w:val="en-GB"/>
        </w:rPr>
        <w:t>Time</w:t>
      </w:r>
      <w:proofErr w:type="spellEnd"/>
      <w:r w:rsidR="004C03C3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AIC –</w:t>
      </w:r>
      <w:r w:rsidR="004C03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C03C3">
        <w:rPr>
          <w:rFonts w:ascii="Times New Roman" w:hAnsi="Times New Roman"/>
          <w:sz w:val="24"/>
          <w:szCs w:val="24"/>
          <w:lang w:val="en-GB"/>
        </w:rPr>
        <w:t>Akaike’s</w:t>
      </w:r>
      <w:proofErr w:type="spellEnd"/>
      <w:r w:rsidR="004C03C3">
        <w:rPr>
          <w:rFonts w:ascii="Times New Roman" w:hAnsi="Times New Roman"/>
          <w:sz w:val="24"/>
          <w:szCs w:val="24"/>
          <w:lang w:val="en-GB"/>
        </w:rPr>
        <w:t xml:space="preserve"> Information Criterion; 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ΔAIC</w:t>
      </w:r>
      <w:r w:rsidR="004C03C3" w:rsidRPr="00E4548D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– difference in AIC</w:t>
      </w:r>
      <w:r w:rsidR="004C03C3" w:rsidRPr="00E4548D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between the specific model and the most parsimonious model</w:t>
      </w:r>
      <w:r w:rsidR="004C03C3">
        <w:rPr>
          <w:rFonts w:ascii="Times New Roman" w:hAnsi="Times New Roman"/>
          <w:sz w:val="24"/>
          <w:szCs w:val="24"/>
          <w:lang w:val="en-GB"/>
        </w:rPr>
        <w:t>. Individual identification number (ID) and year were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03C3">
        <w:rPr>
          <w:rFonts w:ascii="Times New Roman" w:hAnsi="Times New Roman"/>
          <w:sz w:val="24"/>
          <w:szCs w:val="24"/>
          <w:lang w:val="en-GB"/>
        </w:rPr>
        <w:t xml:space="preserve">set as 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random factor</w:t>
      </w:r>
      <w:r w:rsidR="004C03C3">
        <w:rPr>
          <w:rFonts w:ascii="Times New Roman" w:hAnsi="Times New Roman"/>
          <w:sz w:val="24"/>
          <w:szCs w:val="24"/>
          <w:lang w:val="en-GB"/>
        </w:rPr>
        <w:t>s</w:t>
      </w:r>
      <w:r w:rsidR="004C03C3" w:rsidRPr="00E4548D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851"/>
        <w:gridCol w:w="850"/>
        <w:gridCol w:w="2268"/>
        <w:gridCol w:w="851"/>
        <w:gridCol w:w="806"/>
      </w:tblGrid>
      <w:tr w:rsidR="004C03C3" w:rsidRPr="00E4548D" w:rsidTr="00A93990">
        <w:trPr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ΔAIC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AIC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ΔAIC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03C3" w:rsidRPr="006943BC" w:rsidRDefault="004C03C3" w:rsidP="00A939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943B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GAM1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4C03C3" w:rsidRPr="006943BC" w:rsidRDefault="004C03C3" w:rsidP="00A939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GAM2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Pr="00074515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Forest + 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Pr="00E4548D" w:rsidRDefault="00B2431C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ID + Year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194.0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Pr="00074515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Forest + ID + Year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Pr="00E4548D" w:rsidRDefault="004C03C3" w:rsidP="00B243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B2431C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B2431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194.1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0.10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Pr="00074515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Forest + Year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Pr="00E4548D" w:rsidRDefault="00B2431C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Pr="00E4548D" w:rsidRDefault="00B2431C" w:rsidP="00B243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4C03C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195.6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1.56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Default="00B2431C" w:rsidP="00B243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  <w:r w:rsidR="004C03C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Default="00B2431C" w:rsidP="00B243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4C03C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195.7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1.75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Default="00B2431C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</w:t>
            </w:r>
            <w:r w:rsidR="004C03C3">
              <w:rPr>
                <w:rFonts w:ascii="Times New Roman" w:hAnsi="Times New Roman"/>
                <w:sz w:val="24"/>
                <w:szCs w:val="24"/>
                <w:lang w:val="en-GB"/>
              </w:rPr>
              <w:t>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3C3" w:rsidRDefault="00B2431C" w:rsidP="00B243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  <w:r w:rsidR="004C03C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215.4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21.5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tcBorders>
              <w:top w:val="nil"/>
            </w:tcBorders>
            <w:shd w:val="clear" w:color="auto" w:fill="auto"/>
            <w:vAlign w:val="center"/>
          </w:tcPr>
          <w:p w:rsidR="004C03C3" w:rsidRPr="006943BC" w:rsidRDefault="004C03C3" w:rsidP="00A939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943B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GAM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C03C3" w:rsidRPr="006943BC" w:rsidRDefault="004C03C3" w:rsidP="00A939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943B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GAM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ID + Year</w:t>
            </w:r>
          </w:p>
        </w:tc>
        <w:tc>
          <w:tcPr>
            <w:tcW w:w="851" w:type="dxa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214.2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Time</w:t>
            </w:r>
            <w:proofErr w:type="spellEnd"/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851" w:type="dxa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351.2</w:t>
            </w:r>
          </w:p>
        </w:tc>
        <w:tc>
          <w:tcPr>
            <w:tcW w:w="806" w:type="dxa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851" w:type="dxa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215.5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1.32</w:t>
            </w:r>
          </w:p>
        </w:tc>
        <w:tc>
          <w:tcPr>
            <w:tcW w:w="2268" w:type="dxa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851" w:type="dxa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351.5</w:t>
            </w:r>
          </w:p>
        </w:tc>
        <w:tc>
          <w:tcPr>
            <w:tcW w:w="806" w:type="dxa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0.22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851" w:type="dxa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219.3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5.12</w:t>
            </w:r>
          </w:p>
        </w:tc>
        <w:tc>
          <w:tcPr>
            <w:tcW w:w="2268" w:type="dxa"/>
            <w:vAlign w:val="center"/>
          </w:tcPr>
          <w:p w:rsidR="004C03C3" w:rsidRPr="00E4548D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851" w:type="dxa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351.5</w:t>
            </w:r>
          </w:p>
        </w:tc>
        <w:tc>
          <w:tcPr>
            <w:tcW w:w="806" w:type="dxa"/>
            <w:vAlign w:val="center"/>
          </w:tcPr>
          <w:p w:rsidR="004C03C3" w:rsidRPr="00E4548D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0.23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Time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-</w:t>
            </w:r>
            <w:r w:rsidRPr="00DB156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219.5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5.30</w:t>
            </w:r>
          </w:p>
        </w:tc>
        <w:tc>
          <w:tcPr>
            <w:tcW w:w="2268" w:type="dxa"/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6943B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Time</w:t>
            </w:r>
            <w:proofErr w:type="spellEnd"/>
          </w:p>
        </w:tc>
        <w:tc>
          <w:tcPr>
            <w:tcW w:w="851" w:type="dxa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351.5</w:t>
            </w:r>
          </w:p>
        </w:tc>
        <w:tc>
          <w:tcPr>
            <w:tcW w:w="806" w:type="dxa"/>
            <w:vAlign w:val="center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0.23</w:t>
            </w:r>
          </w:p>
        </w:tc>
      </w:tr>
      <w:tr w:rsidR="004C03C3" w:rsidRPr="00E4548D" w:rsidTr="00A93990">
        <w:trPr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851" w:type="dxa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220.7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6.58</w:t>
            </w:r>
          </w:p>
        </w:tc>
        <w:tc>
          <w:tcPr>
            <w:tcW w:w="2268" w:type="dxa"/>
            <w:vAlign w:val="center"/>
          </w:tcPr>
          <w:p w:rsidR="004C03C3" w:rsidRDefault="004C03C3" w:rsidP="00A939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Intercept </w:t>
            </w:r>
          </w:p>
        </w:tc>
        <w:tc>
          <w:tcPr>
            <w:tcW w:w="851" w:type="dxa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357.7</w:t>
            </w:r>
          </w:p>
        </w:tc>
        <w:tc>
          <w:tcPr>
            <w:tcW w:w="806" w:type="dxa"/>
            <w:vAlign w:val="center"/>
          </w:tcPr>
          <w:p w:rsidR="004C03C3" w:rsidRDefault="004C03C3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6.42</w:t>
            </w:r>
          </w:p>
        </w:tc>
      </w:tr>
    </w:tbl>
    <w:p w:rsidR="000039B1" w:rsidRDefault="000039B1"/>
    <w:sectPr w:rsidR="000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3"/>
    <w:rsid w:val="000034D4"/>
    <w:rsid w:val="000039B1"/>
    <w:rsid w:val="00145B11"/>
    <w:rsid w:val="00302436"/>
    <w:rsid w:val="003B1B8F"/>
    <w:rsid w:val="0042265A"/>
    <w:rsid w:val="004C03C3"/>
    <w:rsid w:val="006F43A5"/>
    <w:rsid w:val="00AC1984"/>
    <w:rsid w:val="00B2431C"/>
    <w:rsid w:val="00C83FB2"/>
    <w:rsid w:val="00D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454"/>
  <w15:chartTrackingRefBased/>
  <w15:docId w15:val="{E4313CFA-3AFA-4259-9396-AA7C610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3</cp:revision>
  <dcterms:created xsi:type="dcterms:W3CDTF">2019-09-18T10:53:00Z</dcterms:created>
  <dcterms:modified xsi:type="dcterms:W3CDTF">2019-12-13T12:15:00Z</dcterms:modified>
</cp:coreProperties>
</file>