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E728" w14:textId="77777777" w:rsidR="00352F0C" w:rsidRPr="00693A79" w:rsidRDefault="00352F0C" w:rsidP="00352F0C">
      <w:pPr>
        <w:rPr>
          <w:rFonts w:asciiTheme="majorHAnsi" w:hAnsiTheme="majorHAnsi" w:cs="Times New Roman"/>
          <w:sz w:val="32"/>
          <w:szCs w:val="32"/>
        </w:rPr>
      </w:pPr>
      <w:r w:rsidRPr="00693A79">
        <w:rPr>
          <w:rFonts w:asciiTheme="majorHAnsi" w:hAnsiTheme="majorHAnsi" w:cs="Times New Roman"/>
          <w:sz w:val="32"/>
          <w:szCs w:val="32"/>
        </w:rPr>
        <w:t>Supplementary Materials</w:t>
      </w:r>
    </w:p>
    <w:p w14:paraId="5705397C" w14:textId="63CE3EF7" w:rsidR="0044758B" w:rsidRPr="00165C89" w:rsidRDefault="0044758B" w:rsidP="0044758B">
      <w:pPr>
        <w:pStyle w:val="Heading2"/>
      </w:pPr>
      <w:r>
        <w:t>S</w:t>
      </w:r>
      <w:r w:rsidRPr="00165C89">
        <w:t>ubsternal surgical procedure for trans-diaphragmatic echo.</w:t>
      </w:r>
    </w:p>
    <w:p w14:paraId="4E650486" w14:textId="1C73DC4F" w:rsidR="009A06BD" w:rsidRPr="009A06BD" w:rsidRDefault="009A06BD" w:rsidP="009A06BD">
      <w:r w:rsidRPr="009A06BD">
        <w:t xml:space="preserve">A 10 cm mid-line incision starting at the sternal manubrium cartilage was performed followed by blunt dissection of sub-cutis and abdominal muscles. The abdominal peritoneum was left intact. Access towards the diaphragm was done using soft tissue scissors for blunt dissection (Metzenbaum) and by fingers. The cavity towards the diaphragm was filled with echocardiographic water-based gel and the probe was placed on the </w:t>
      </w:r>
      <w:proofErr w:type="spellStart"/>
      <w:r w:rsidRPr="009A06BD">
        <w:t>diaphragmal</w:t>
      </w:r>
      <w:proofErr w:type="spellEnd"/>
      <w:r w:rsidRPr="009A06BD">
        <w:t xml:space="preserve"> region of the cardiac apex (</w:t>
      </w:r>
      <w:r>
        <w:t xml:space="preserve">also </w:t>
      </w:r>
      <w:r w:rsidRPr="009A06BD">
        <w:t>see figure 2C).</w:t>
      </w:r>
    </w:p>
    <w:p w14:paraId="7F2BE917" w14:textId="529A1CCD" w:rsidR="0027403B" w:rsidRDefault="0027403B" w:rsidP="0044758B"/>
    <w:p w14:paraId="41E10658" w14:textId="2D6E3D12" w:rsidR="0027403B" w:rsidRDefault="0027403B" w:rsidP="0027403B">
      <w:pPr>
        <w:pStyle w:val="Heading2"/>
      </w:pPr>
      <w:r>
        <w:t>Trained model for image segmentation.</w:t>
      </w:r>
    </w:p>
    <w:p w14:paraId="7D4FD1A4" w14:textId="34F22E1A" w:rsidR="0027403B" w:rsidRPr="00165C89" w:rsidRDefault="0027403B" w:rsidP="0027403B">
      <w:r>
        <w:t xml:space="preserve">Every segmentation step was done by the deep learning algorithms and by the Python infrastructure of the software module Zen </w:t>
      </w:r>
      <w:proofErr w:type="spellStart"/>
      <w:r>
        <w:t>Intellesis</w:t>
      </w:r>
      <w:proofErr w:type="spellEnd"/>
      <w:r>
        <w:t xml:space="preserve">. Zen </w:t>
      </w:r>
      <w:proofErr w:type="spellStart"/>
      <w:r>
        <w:t>Intellesis</w:t>
      </w:r>
      <w:proofErr w:type="spellEnd"/>
      <w:r>
        <w:t xml:space="preserve"> (Zeiss) is a custom-made program. It extracts 33 selected features and the neural network classifies automatically according to these features. The user provides several rounds of training annotation in order to indicate to the pixel classifiers what the ground truth is. The original validation of the software can be found in these two papers </w:t>
      </w:r>
      <w:r>
        <w:fldChar w:fldCharType="begin"/>
      </w:r>
      <w:r>
        <w:instrText xml:space="preserve"> ADDIN ZOTERO_ITEM CSL_CITATION {"citationID":"ZxXPR6El","properties":{"formattedCitation":"(1,2)","plainCitation":"(1,2)","noteIndex":0},"citationItems":[{"id":4958,"uris":["http://zotero.org/users/1521978/items/EF9PFYH5"],"uri":["http://zotero.org/users/1521978/items/EF9PFYH5"],"itemData":{"id":4958,"type":"article-journal","container-title":"Microscopy and Microanalysis","DOI":"10.1017/S1431927618012989","ISSN":"1431-9276, 1435-8115","issue":"S2","journalAbbreviation":"Microsc Microanal","language":"en","page":"120-121","source":"DOI.org (Crossref)","title":"Benchmarking of Machine Learning and Conventional Image Segmentation Techniques on 3D X-ray Microscopy Data","volume":"24","author":[{"family":"Andrew","given":"Matthew"},{"family":"Hornberger","given":"Benjamin"}],"issued":{"date-parts":[["2018",8]]}}},{"id":4956,"uris":["http://zotero.org/users/1521978/items/EXWM5FXV"],"uri":["http://zotero.org/users/1521978/items/EXWM5FXV"],"itemData":{"id":4956,"type":"article-journal","container-title":"Microscopy and Microanalysis","DOI":"10.1017/S1431927618003094","ISSN":"1431-9276, 1435-8115","issue":"S1","journalAbbreviation":"Microsc Microanal","language":"en","page":"520-521","source":"DOI.org (Crossref)","title":"Machine Learning Powered Image Segmentation","volume":"24","author":[{"family":"Volkenandt","given":"Tobias"},{"family":"Freitag","given":"Stefanie"},{"family":"Rauscher","given":"Michael"}],"issued":{"date-parts":[["2018",8]]}}}],"schema":"https://github.com/citation-style-language/schema/raw/master/csl-citation.json"} </w:instrText>
      </w:r>
      <w:r>
        <w:fldChar w:fldCharType="separate"/>
      </w:r>
      <w:r w:rsidRPr="0027403B">
        <w:rPr>
          <w:rFonts w:ascii="Calibri" w:hAnsi="Calibri"/>
        </w:rPr>
        <w:t>(1,2)</w:t>
      </w:r>
      <w:r>
        <w:fldChar w:fldCharType="end"/>
      </w:r>
      <w:r>
        <w:t>.</w:t>
      </w:r>
    </w:p>
    <w:p w14:paraId="7967A625" w14:textId="3F59E89C" w:rsidR="00352F0C" w:rsidRDefault="00352F0C" w:rsidP="00352F0C">
      <w:pPr>
        <w:pStyle w:val="Caption"/>
        <w:keepNext/>
      </w:pPr>
    </w:p>
    <w:p w14:paraId="773D78D8" w14:textId="5A13DEBE" w:rsidR="0044758B" w:rsidRPr="0044758B" w:rsidRDefault="0044758B" w:rsidP="0044758B">
      <w:pPr>
        <w:pStyle w:val="Heading2"/>
      </w:pPr>
      <w:r>
        <w:t>Tables with equipment, drugs, and software</w:t>
      </w:r>
    </w:p>
    <w:p w14:paraId="185DD7A0" w14:textId="73974CEE" w:rsidR="00352F0C" w:rsidRPr="00A352A4" w:rsidRDefault="00352F0C" w:rsidP="00352F0C">
      <w:pPr>
        <w:pStyle w:val="Caption"/>
        <w:keepNext/>
      </w:pPr>
      <w:bookmarkStart w:id="0" w:name="_Ref20226708"/>
      <w:r w:rsidRPr="00A352A4">
        <w:t xml:space="preserve">Table </w:t>
      </w:r>
      <w:bookmarkEnd w:id="0"/>
      <w:r w:rsidR="0044758B">
        <w:t>1</w:t>
      </w:r>
      <w:r w:rsidRPr="00A352A4">
        <w:t>:</w:t>
      </w:r>
      <w:r w:rsidRPr="00A352A4">
        <w:tab/>
        <w:t>Equipment</w:t>
      </w:r>
    </w:p>
    <w:tbl>
      <w:tblPr>
        <w:tblStyle w:val="TableGrid"/>
        <w:tblW w:w="0" w:type="auto"/>
        <w:tblLayout w:type="fixed"/>
        <w:tblLook w:val="04A0" w:firstRow="1" w:lastRow="0" w:firstColumn="1" w:lastColumn="0" w:noHBand="0" w:noVBand="1"/>
      </w:tblPr>
      <w:tblGrid>
        <w:gridCol w:w="1809"/>
        <w:gridCol w:w="1985"/>
        <w:gridCol w:w="1417"/>
        <w:gridCol w:w="3792"/>
      </w:tblGrid>
      <w:tr w:rsidR="00352F0C" w:rsidRPr="00A352A4" w14:paraId="0870904A" w14:textId="77777777" w:rsidTr="004410EA">
        <w:tc>
          <w:tcPr>
            <w:tcW w:w="1809" w:type="dxa"/>
          </w:tcPr>
          <w:p w14:paraId="6325C41A" w14:textId="77777777" w:rsidR="00352F0C" w:rsidRPr="00A352A4" w:rsidRDefault="00352F0C" w:rsidP="004410EA">
            <w:pPr>
              <w:rPr>
                <w:b/>
              </w:rPr>
            </w:pPr>
            <w:r w:rsidRPr="00A352A4">
              <w:rPr>
                <w:b/>
              </w:rPr>
              <w:t>Equipment</w:t>
            </w:r>
          </w:p>
        </w:tc>
        <w:tc>
          <w:tcPr>
            <w:tcW w:w="1985" w:type="dxa"/>
          </w:tcPr>
          <w:p w14:paraId="3AE11561" w14:textId="77777777" w:rsidR="00352F0C" w:rsidRPr="00A352A4" w:rsidRDefault="00352F0C" w:rsidP="004410EA">
            <w:pPr>
              <w:rPr>
                <w:b/>
              </w:rPr>
            </w:pPr>
            <w:r w:rsidRPr="00A352A4">
              <w:rPr>
                <w:b/>
              </w:rPr>
              <w:t>Producer</w:t>
            </w:r>
          </w:p>
        </w:tc>
        <w:tc>
          <w:tcPr>
            <w:tcW w:w="1417" w:type="dxa"/>
          </w:tcPr>
          <w:p w14:paraId="67FDEE59" w14:textId="77777777" w:rsidR="00352F0C" w:rsidRPr="00A352A4" w:rsidRDefault="00352F0C" w:rsidP="004410EA">
            <w:pPr>
              <w:rPr>
                <w:b/>
              </w:rPr>
            </w:pPr>
            <w:r w:rsidRPr="00A352A4">
              <w:rPr>
                <w:b/>
              </w:rPr>
              <w:t>Model</w:t>
            </w:r>
          </w:p>
        </w:tc>
        <w:tc>
          <w:tcPr>
            <w:tcW w:w="3792" w:type="dxa"/>
          </w:tcPr>
          <w:p w14:paraId="13ADAA72" w14:textId="77777777" w:rsidR="00352F0C" w:rsidRPr="00A352A4" w:rsidRDefault="00352F0C" w:rsidP="004410EA">
            <w:pPr>
              <w:rPr>
                <w:b/>
              </w:rPr>
            </w:pPr>
            <w:r w:rsidRPr="00A352A4">
              <w:rPr>
                <w:b/>
              </w:rPr>
              <w:t>Rationale for choosing this</w:t>
            </w:r>
          </w:p>
        </w:tc>
      </w:tr>
      <w:tr w:rsidR="00352F0C" w:rsidRPr="00A352A4" w14:paraId="7B46CB58" w14:textId="77777777" w:rsidTr="004410EA">
        <w:tc>
          <w:tcPr>
            <w:tcW w:w="1809" w:type="dxa"/>
          </w:tcPr>
          <w:p w14:paraId="615C1530" w14:textId="77777777" w:rsidR="00352F0C" w:rsidRPr="00A352A4" w:rsidRDefault="00352F0C" w:rsidP="004410EA">
            <w:r w:rsidRPr="00A352A4">
              <w:t>AF Neurostimulator</w:t>
            </w:r>
          </w:p>
        </w:tc>
        <w:tc>
          <w:tcPr>
            <w:tcW w:w="1985" w:type="dxa"/>
          </w:tcPr>
          <w:p w14:paraId="24A5B605" w14:textId="77777777" w:rsidR="00352F0C" w:rsidRPr="00A352A4" w:rsidRDefault="00352F0C" w:rsidP="004410EA">
            <w:r w:rsidRPr="00A352A4">
              <w:t>Medtronic, Dublin, Ireland</w:t>
            </w:r>
          </w:p>
        </w:tc>
        <w:tc>
          <w:tcPr>
            <w:tcW w:w="1417" w:type="dxa"/>
          </w:tcPr>
          <w:p w14:paraId="0444A0A8" w14:textId="77777777" w:rsidR="00352F0C" w:rsidRPr="00A352A4" w:rsidRDefault="00352F0C" w:rsidP="004410EA">
            <w:r w:rsidRPr="00A352A4">
              <w:t xml:space="preserve">Synergy </w:t>
            </w:r>
            <w:proofErr w:type="spellStart"/>
            <w:r w:rsidRPr="00A352A4">
              <w:t>versitrel</w:t>
            </w:r>
            <w:proofErr w:type="spellEnd"/>
          </w:p>
        </w:tc>
        <w:tc>
          <w:tcPr>
            <w:tcW w:w="3792" w:type="dxa"/>
          </w:tcPr>
          <w:p w14:paraId="57D40168" w14:textId="77777777" w:rsidR="00352F0C" w:rsidRPr="00A352A4" w:rsidRDefault="00352F0C" w:rsidP="004410EA">
            <w:r w:rsidRPr="00A352A4">
              <w:t>Implantable stimulator capable of delivering sufficiently fast and long electrical impulses for cardiac tachypacing.</w:t>
            </w:r>
          </w:p>
        </w:tc>
      </w:tr>
      <w:tr w:rsidR="00352F0C" w:rsidRPr="00A352A4" w14:paraId="23C00713" w14:textId="77777777" w:rsidTr="004410EA">
        <w:tc>
          <w:tcPr>
            <w:tcW w:w="1809" w:type="dxa"/>
          </w:tcPr>
          <w:p w14:paraId="65F3E3A1" w14:textId="77777777" w:rsidR="00352F0C" w:rsidRPr="00A352A4" w:rsidRDefault="00352F0C" w:rsidP="004410EA">
            <w:r w:rsidRPr="00A352A4">
              <w:t>AF Neurostimulator</w:t>
            </w:r>
          </w:p>
        </w:tc>
        <w:tc>
          <w:tcPr>
            <w:tcW w:w="1985" w:type="dxa"/>
          </w:tcPr>
          <w:p w14:paraId="587090A5" w14:textId="77777777" w:rsidR="00352F0C" w:rsidRPr="00A352A4" w:rsidRDefault="00352F0C" w:rsidP="004410EA">
            <w:r w:rsidRPr="00A352A4">
              <w:t>Medtronic, Dublin, Ireland</w:t>
            </w:r>
          </w:p>
        </w:tc>
        <w:tc>
          <w:tcPr>
            <w:tcW w:w="1417" w:type="dxa"/>
          </w:tcPr>
          <w:p w14:paraId="7169FF20" w14:textId="77777777" w:rsidR="00352F0C" w:rsidRPr="00A352A4" w:rsidRDefault="00352F0C" w:rsidP="004410EA">
            <w:proofErr w:type="spellStart"/>
            <w:r w:rsidRPr="00A352A4">
              <w:t>Itrel</w:t>
            </w:r>
            <w:proofErr w:type="spellEnd"/>
            <w:r w:rsidRPr="00A352A4">
              <w:t xml:space="preserve"> 3</w:t>
            </w:r>
          </w:p>
        </w:tc>
        <w:tc>
          <w:tcPr>
            <w:tcW w:w="3792" w:type="dxa"/>
          </w:tcPr>
          <w:p w14:paraId="0A6D7221" w14:textId="77777777" w:rsidR="00352F0C" w:rsidRPr="00A352A4" w:rsidRDefault="00352F0C" w:rsidP="004410EA">
            <w:r w:rsidRPr="00A352A4">
              <w:t xml:space="preserve">Implantable stimulator capable of delivering sufficiently fast and long electrical impulses for cardiac tachypacing. Slightly smaller than the synergy </w:t>
            </w:r>
            <w:proofErr w:type="spellStart"/>
            <w:r w:rsidRPr="00A352A4">
              <w:t>versitrel</w:t>
            </w:r>
            <w:proofErr w:type="spellEnd"/>
            <w:r w:rsidRPr="00A352A4">
              <w:t xml:space="preserve"> making it easier to implant. No longer in production.</w:t>
            </w:r>
          </w:p>
        </w:tc>
      </w:tr>
      <w:tr w:rsidR="00352F0C" w:rsidRPr="00A352A4" w14:paraId="0EAA64BB" w14:textId="77777777" w:rsidTr="004410EA">
        <w:tc>
          <w:tcPr>
            <w:tcW w:w="1809" w:type="dxa"/>
          </w:tcPr>
          <w:p w14:paraId="18DC2864" w14:textId="77777777" w:rsidR="00352F0C" w:rsidRPr="00A352A4" w:rsidRDefault="00352F0C" w:rsidP="004410EA">
            <w:r w:rsidRPr="00A352A4">
              <w:t>Sterile filter</w:t>
            </w:r>
          </w:p>
        </w:tc>
        <w:tc>
          <w:tcPr>
            <w:tcW w:w="1985" w:type="dxa"/>
          </w:tcPr>
          <w:p w14:paraId="5106388D" w14:textId="77777777" w:rsidR="00352F0C" w:rsidRPr="00A352A4" w:rsidRDefault="00352F0C" w:rsidP="004410EA">
            <w:r w:rsidRPr="00A352A4">
              <w:t>Thermo Scientific, Waltham, Massachusetts, USA</w:t>
            </w:r>
          </w:p>
        </w:tc>
        <w:tc>
          <w:tcPr>
            <w:tcW w:w="1417" w:type="dxa"/>
          </w:tcPr>
          <w:p w14:paraId="76B46A36" w14:textId="77777777" w:rsidR="00352F0C" w:rsidRPr="00A352A4" w:rsidRDefault="00352F0C" w:rsidP="004410EA">
            <w:r w:rsidRPr="00A352A4">
              <w:t>Nalgene, Rapid flow 90 mm filter unit, 250-500 ml.</w:t>
            </w:r>
          </w:p>
        </w:tc>
        <w:tc>
          <w:tcPr>
            <w:tcW w:w="3792" w:type="dxa"/>
          </w:tcPr>
          <w:p w14:paraId="025B9687" w14:textId="77777777" w:rsidR="00352F0C" w:rsidRPr="00A352A4" w:rsidRDefault="00352F0C" w:rsidP="004410EA">
            <w:r w:rsidRPr="00A352A4">
              <w:t>State of the art product for sterile filtration.</w:t>
            </w:r>
          </w:p>
        </w:tc>
      </w:tr>
      <w:tr w:rsidR="00352F0C" w:rsidRPr="00A352A4" w14:paraId="2B35F7FC" w14:textId="77777777" w:rsidTr="004410EA">
        <w:tc>
          <w:tcPr>
            <w:tcW w:w="1809" w:type="dxa"/>
          </w:tcPr>
          <w:p w14:paraId="39E70971" w14:textId="77777777" w:rsidR="00352F0C" w:rsidRPr="00A352A4" w:rsidRDefault="00352F0C" w:rsidP="004410EA">
            <w:r w:rsidRPr="00A352A4">
              <w:t>Implantable leads</w:t>
            </w:r>
          </w:p>
        </w:tc>
        <w:tc>
          <w:tcPr>
            <w:tcW w:w="1985" w:type="dxa"/>
          </w:tcPr>
          <w:p w14:paraId="6F6204AC" w14:textId="77777777" w:rsidR="00352F0C" w:rsidRPr="00A352A4" w:rsidRDefault="00352F0C" w:rsidP="004410EA">
            <w:r w:rsidRPr="00A352A4">
              <w:t>St Jude Medical, Little Canada, Minnesota, US</w:t>
            </w:r>
          </w:p>
        </w:tc>
        <w:tc>
          <w:tcPr>
            <w:tcW w:w="1417" w:type="dxa"/>
          </w:tcPr>
          <w:p w14:paraId="1E5A2569" w14:textId="77777777" w:rsidR="00352F0C" w:rsidRPr="00A352A4" w:rsidRDefault="00352F0C" w:rsidP="004410EA">
            <w:r w:rsidRPr="00A352A4">
              <w:t>Tendril (</w:t>
            </w:r>
            <w:r w:rsidRPr="00A352A4">
              <w:rPr>
                <w:lang w:val="en-GB"/>
              </w:rPr>
              <w:t xml:space="preserve">2088T/58 </w:t>
            </w:r>
            <w:r w:rsidRPr="00A352A4">
              <w:t>cm)</w:t>
            </w:r>
          </w:p>
        </w:tc>
        <w:tc>
          <w:tcPr>
            <w:tcW w:w="3792" w:type="dxa"/>
          </w:tcPr>
          <w:p w14:paraId="0359E86B" w14:textId="77777777" w:rsidR="00352F0C" w:rsidRPr="00A352A4" w:rsidRDefault="00352F0C" w:rsidP="004410EA">
            <w:r w:rsidRPr="00A352A4">
              <w:t>State of the art electrical lead with active fixation. Used routinely for patients.</w:t>
            </w:r>
          </w:p>
        </w:tc>
      </w:tr>
      <w:tr w:rsidR="00352F0C" w:rsidRPr="00A352A4" w14:paraId="6D2437D6" w14:textId="77777777" w:rsidTr="004410EA">
        <w:tc>
          <w:tcPr>
            <w:tcW w:w="1809" w:type="dxa"/>
          </w:tcPr>
          <w:p w14:paraId="50775158" w14:textId="77777777" w:rsidR="00352F0C" w:rsidRPr="00A352A4" w:rsidRDefault="00352F0C" w:rsidP="004410EA">
            <w:r w:rsidRPr="00A352A4">
              <w:t>Televet, Holter monitor</w:t>
            </w:r>
          </w:p>
        </w:tc>
        <w:tc>
          <w:tcPr>
            <w:tcW w:w="1985" w:type="dxa"/>
          </w:tcPr>
          <w:p w14:paraId="0C786BCC" w14:textId="77777777" w:rsidR="00352F0C" w:rsidRPr="00A352A4" w:rsidRDefault="00352F0C" w:rsidP="004410EA">
            <w:r w:rsidRPr="00A352A4">
              <w:t xml:space="preserve">Engel Engineering Service GmbH, </w:t>
            </w:r>
            <w:r w:rsidRPr="00A352A4">
              <w:lastRenderedPageBreak/>
              <w:t>Heusenstamm, Germany</w:t>
            </w:r>
          </w:p>
        </w:tc>
        <w:tc>
          <w:tcPr>
            <w:tcW w:w="1417" w:type="dxa"/>
          </w:tcPr>
          <w:p w14:paraId="02CC27E3" w14:textId="77777777" w:rsidR="00352F0C" w:rsidRPr="00A352A4" w:rsidRDefault="00352F0C" w:rsidP="004410EA">
            <w:r w:rsidRPr="00A352A4">
              <w:lastRenderedPageBreak/>
              <w:t>Televet-100</w:t>
            </w:r>
          </w:p>
        </w:tc>
        <w:tc>
          <w:tcPr>
            <w:tcW w:w="3792" w:type="dxa"/>
          </w:tcPr>
          <w:p w14:paraId="6D22DA79" w14:textId="77777777" w:rsidR="00352F0C" w:rsidRPr="00A352A4" w:rsidRDefault="00352F0C" w:rsidP="004410EA">
            <w:r w:rsidRPr="00A352A4">
              <w:t>State of the art Telemetric ECG System for veterinary medicine</w:t>
            </w:r>
            <w:r>
              <w:t>.</w:t>
            </w:r>
          </w:p>
        </w:tc>
      </w:tr>
      <w:tr w:rsidR="00352F0C" w:rsidRPr="00A352A4" w14:paraId="41D9C6D0" w14:textId="77777777" w:rsidTr="004410EA">
        <w:tc>
          <w:tcPr>
            <w:tcW w:w="1809" w:type="dxa"/>
          </w:tcPr>
          <w:p w14:paraId="217F0275" w14:textId="77777777" w:rsidR="00352F0C" w:rsidRPr="00A352A4" w:rsidRDefault="00352F0C" w:rsidP="004410EA">
            <w:r w:rsidRPr="00A352A4">
              <w:t>Infusion pump</w:t>
            </w:r>
          </w:p>
        </w:tc>
        <w:tc>
          <w:tcPr>
            <w:tcW w:w="1985" w:type="dxa"/>
          </w:tcPr>
          <w:p w14:paraId="208E03C5" w14:textId="77777777" w:rsidR="00352F0C" w:rsidRPr="00A352A4" w:rsidRDefault="00352F0C" w:rsidP="004410EA">
            <w:r w:rsidRPr="00A352A4">
              <w:t xml:space="preserve">Shenzhen </w:t>
            </w:r>
            <w:proofErr w:type="spellStart"/>
            <w:r w:rsidRPr="00A352A4">
              <w:t>Shenke</w:t>
            </w:r>
            <w:proofErr w:type="spellEnd"/>
            <w:r w:rsidRPr="00A352A4">
              <w:t xml:space="preserve"> Medical Instrument Technical Development </w:t>
            </w:r>
            <w:proofErr w:type="spellStart"/>
            <w:proofErr w:type="gramStart"/>
            <w:r w:rsidRPr="00A352A4">
              <w:t>Co.,Ltd</w:t>
            </w:r>
            <w:proofErr w:type="spellEnd"/>
            <w:r w:rsidRPr="00A352A4">
              <w:t>.</w:t>
            </w:r>
            <w:proofErr w:type="gramEnd"/>
            <w:r w:rsidRPr="00A352A4">
              <w:t xml:space="preserve">, Shenzhen </w:t>
            </w:r>
            <w:proofErr w:type="spellStart"/>
            <w:r w:rsidRPr="00A352A4">
              <w:t>P.R.China</w:t>
            </w:r>
            <w:proofErr w:type="spellEnd"/>
          </w:p>
        </w:tc>
        <w:tc>
          <w:tcPr>
            <w:tcW w:w="1417" w:type="dxa"/>
          </w:tcPr>
          <w:p w14:paraId="03335810" w14:textId="77777777" w:rsidR="00352F0C" w:rsidRPr="00A352A4" w:rsidRDefault="00352F0C" w:rsidP="004410EA">
            <w:r w:rsidRPr="00A352A4">
              <w:t>SK-500I syringe pump</w:t>
            </w:r>
          </w:p>
        </w:tc>
        <w:tc>
          <w:tcPr>
            <w:tcW w:w="3792" w:type="dxa"/>
          </w:tcPr>
          <w:p w14:paraId="63C619D4" w14:textId="77777777" w:rsidR="00352F0C" w:rsidRPr="00A352A4" w:rsidRDefault="00352F0C" w:rsidP="004410EA">
            <w:r w:rsidRPr="00A352A4">
              <w:t>Syringe pump capable of delivering up to 500 ml/h</w:t>
            </w:r>
            <w:r>
              <w:t>.</w:t>
            </w:r>
          </w:p>
        </w:tc>
      </w:tr>
      <w:tr w:rsidR="00352F0C" w:rsidRPr="00A352A4" w14:paraId="0DC8B05E" w14:textId="77777777" w:rsidTr="004410EA">
        <w:tc>
          <w:tcPr>
            <w:tcW w:w="1809" w:type="dxa"/>
          </w:tcPr>
          <w:p w14:paraId="5AAD0083" w14:textId="77777777" w:rsidR="00352F0C" w:rsidRPr="00A352A4" w:rsidRDefault="00352F0C" w:rsidP="004410EA">
            <w:r w:rsidRPr="00A352A4">
              <w:t>50 ml syringe</w:t>
            </w:r>
          </w:p>
        </w:tc>
        <w:tc>
          <w:tcPr>
            <w:tcW w:w="1985" w:type="dxa"/>
          </w:tcPr>
          <w:p w14:paraId="39F99175" w14:textId="77777777" w:rsidR="00352F0C" w:rsidRPr="00A352A4" w:rsidRDefault="00352F0C" w:rsidP="004410EA">
            <w:r w:rsidRPr="00A352A4">
              <w:t xml:space="preserve">Medical Surgical Systems BD, </w:t>
            </w:r>
            <w:proofErr w:type="spellStart"/>
            <w:r w:rsidRPr="00A352A4">
              <w:t>Albertslund</w:t>
            </w:r>
            <w:proofErr w:type="spellEnd"/>
            <w:r w:rsidRPr="00A352A4">
              <w:t>, Denmark</w:t>
            </w:r>
          </w:p>
        </w:tc>
        <w:tc>
          <w:tcPr>
            <w:tcW w:w="1417" w:type="dxa"/>
          </w:tcPr>
          <w:p w14:paraId="364E169D" w14:textId="77777777" w:rsidR="00352F0C" w:rsidRPr="00895B79" w:rsidRDefault="00352F0C" w:rsidP="004410EA">
            <w:pPr>
              <w:rPr>
                <w:lang w:val="da-DK"/>
              </w:rPr>
            </w:pPr>
            <w:r w:rsidRPr="00895B79">
              <w:rPr>
                <w:lang w:val="da-DK"/>
              </w:rPr>
              <w:t>BD Plastipak 50 ml Luer-Lok syringe</w:t>
            </w:r>
          </w:p>
        </w:tc>
        <w:tc>
          <w:tcPr>
            <w:tcW w:w="3792" w:type="dxa"/>
          </w:tcPr>
          <w:p w14:paraId="6CC64818" w14:textId="77777777" w:rsidR="00352F0C" w:rsidRPr="00A352A4" w:rsidRDefault="00352F0C" w:rsidP="004410EA">
            <w:pPr>
              <w:rPr>
                <w:lang w:val="en-GB"/>
              </w:rPr>
            </w:pPr>
            <w:r w:rsidRPr="00A352A4">
              <w:rPr>
                <w:lang w:val="en-GB"/>
              </w:rPr>
              <w:t xml:space="preserve">Standard 50 ml </w:t>
            </w:r>
            <w:proofErr w:type="spellStart"/>
            <w:r w:rsidRPr="00A352A4">
              <w:rPr>
                <w:lang w:val="en-GB"/>
              </w:rPr>
              <w:t>Luer</w:t>
            </w:r>
            <w:proofErr w:type="spellEnd"/>
            <w:r w:rsidRPr="00A352A4">
              <w:rPr>
                <w:lang w:val="en-GB"/>
              </w:rPr>
              <w:t>-Lok syringe compatible with most syringe pumps.</w:t>
            </w:r>
          </w:p>
        </w:tc>
      </w:tr>
      <w:tr w:rsidR="00352F0C" w:rsidRPr="00A352A4" w14:paraId="2745CBE8" w14:textId="77777777" w:rsidTr="004410EA">
        <w:tc>
          <w:tcPr>
            <w:tcW w:w="1809" w:type="dxa"/>
          </w:tcPr>
          <w:p w14:paraId="6722AC23" w14:textId="77777777" w:rsidR="00352F0C" w:rsidRPr="00A352A4" w:rsidRDefault="00352F0C" w:rsidP="004410EA">
            <w:r w:rsidRPr="00A352A4">
              <w:t xml:space="preserve">Patient Monitor </w:t>
            </w:r>
          </w:p>
        </w:tc>
        <w:tc>
          <w:tcPr>
            <w:tcW w:w="1985" w:type="dxa"/>
          </w:tcPr>
          <w:p w14:paraId="38329814" w14:textId="77777777" w:rsidR="00352F0C" w:rsidRPr="00A352A4" w:rsidRDefault="00352F0C" w:rsidP="004410EA">
            <w:r w:rsidRPr="00A352A4">
              <w:t xml:space="preserve">Agilent, </w:t>
            </w:r>
            <w:proofErr w:type="spellStart"/>
            <w:r w:rsidRPr="00A352A4">
              <w:t>Glostrup</w:t>
            </w:r>
            <w:proofErr w:type="spellEnd"/>
            <w:r w:rsidRPr="00A352A4">
              <w:t>, Denmark,</w:t>
            </w:r>
          </w:p>
        </w:tc>
        <w:tc>
          <w:tcPr>
            <w:tcW w:w="1417" w:type="dxa"/>
          </w:tcPr>
          <w:p w14:paraId="0800F72F" w14:textId="77777777" w:rsidR="00352F0C" w:rsidRPr="00A352A4" w:rsidRDefault="00352F0C" w:rsidP="004410EA">
            <w:proofErr w:type="spellStart"/>
            <w:r w:rsidRPr="00A352A4">
              <w:t>Viridia</w:t>
            </w:r>
            <w:proofErr w:type="spellEnd"/>
          </w:p>
        </w:tc>
        <w:tc>
          <w:tcPr>
            <w:tcW w:w="3792" w:type="dxa"/>
          </w:tcPr>
          <w:p w14:paraId="2817773B" w14:textId="77777777" w:rsidR="00352F0C" w:rsidRPr="00A352A4" w:rsidRDefault="00352F0C" w:rsidP="004410EA">
            <w:r w:rsidRPr="00A352A4">
              <w:t>Monitoring of ECG, Blood pressure SP0</w:t>
            </w:r>
            <w:r w:rsidRPr="00A352A4">
              <w:rPr>
                <w:vertAlign w:val="subscript"/>
              </w:rPr>
              <w:t>2</w:t>
            </w:r>
            <w:r w:rsidRPr="00A352A4">
              <w:t xml:space="preserve"> and temperature of the pig during surgery.</w:t>
            </w:r>
          </w:p>
        </w:tc>
      </w:tr>
      <w:tr w:rsidR="00352F0C" w:rsidRPr="00A352A4" w14:paraId="439E323A" w14:textId="77777777" w:rsidTr="004410EA">
        <w:tc>
          <w:tcPr>
            <w:tcW w:w="1809" w:type="dxa"/>
          </w:tcPr>
          <w:p w14:paraId="3BAC42F9" w14:textId="77777777" w:rsidR="00352F0C" w:rsidRPr="00A352A4" w:rsidRDefault="00352F0C" w:rsidP="004410EA">
            <w:r w:rsidRPr="00A352A4">
              <w:t>Respirator</w:t>
            </w:r>
          </w:p>
        </w:tc>
        <w:tc>
          <w:tcPr>
            <w:tcW w:w="1985" w:type="dxa"/>
          </w:tcPr>
          <w:p w14:paraId="5A920D11" w14:textId="77777777" w:rsidR="00352F0C" w:rsidRPr="00A352A4" w:rsidRDefault="00352F0C" w:rsidP="004410EA">
            <w:proofErr w:type="spellStart"/>
            <w:r w:rsidRPr="00A352A4">
              <w:t>Demeca</w:t>
            </w:r>
            <w:proofErr w:type="spellEnd"/>
            <w:r w:rsidRPr="00A352A4">
              <w:t xml:space="preserve">, </w:t>
            </w:r>
            <w:proofErr w:type="spellStart"/>
            <w:r w:rsidRPr="00A352A4">
              <w:t>Rødovre</w:t>
            </w:r>
            <w:proofErr w:type="spellEnd"/>
            <w:r w:rsidRPr="00A352A4">
              <w:t xml:space="preserve">, Denmark </w:t>
            </w:r>
          </w:p>
        </w:tc>
        <w:tc>
          <w:tcPr>
            <w:tcW w:w="1417" w:type="dxa"/>
          </w:tcPr>
          <w:p w14:paraId="300C3160" w14:textId="77777777" w:rsidR="00352F0C" w:rsidRPr="00A352A4" w:rsidRDefault="00352F0C" w:rsidP="004410EA">
            <w:r w:rsidRPr="00A352A4">
              <w:t>Siesta i TS</w:t>
            </w:r>
          </w:p>
        </w:tc>
        <w:tc>
          <w:tcPr>
            <w:tcW w:w="3792" w:type="dxa"/>
          </w:tcPr>
          <w:p w14:paraId="5ECEEE70" w14:textId="77777777" w:rsidR="00352F0C" w:rsidRPr="00A352A4" w:rsidRDefault="00352F0C" w:rsidP="004410EA">
            <w:r w:rsidRPr="00A352A4">
              <w:t>Respiration of the pig during surgery. 500 mL/min 0</w:t>
            </w:r>
            <w:r w:rsidRPr="00A352A4">
              <w:rPr>
                <w:vertAlign w:val="subscript"/>
              </w:rPr>
              <w:t xml:space="preserve">2 </w:t>
            </w:r>
            <w:r w:rsidRPr="00A352A4">
              <w:t>and 2500 mL/min air.</w:t>
            </w:r>
            <w:r>
              <w:t xml:space="preserve"> </w:t>
            </w:r>
          </w:p>
        </w:tc>
      </w:tr>
      <w:tr w:rsidR="00352F0C" w:rsidRPr="00A352A4" w14:paraId="75219268" w14:textId="77777777" w:rsidTr="004410EA">
        <w:tc>
          <w:tcPr>
            <w:tcW w:w="1809" w:type="dxa"/>
          </w:tcPr>
          <w:p w14:paraId="26F9B85C" w14:textId="77777777" w:rsidR="00352F0C" w:rsidRPr="00A352A4" w:rsidRDefault="00352F0C" w:rsidP="004410EA">
            <w:r w:rsidRPr="00A352A4">
              <w:t>Infusion pump</w:t>
            </w:r>
          </w:p>
        </w:tc>
        <w:tc>
          <w:tcPr>
            <w:tcW w:w="1985" w:type="dxa"/>
          </w:tcPr>
          <w:p w14:paraId="55225A5E" w14:textId="77777777" w:rsidR="00352F0C" w:rsidRPr="00A352A4" w:rsidRDefault="00352F0C" w:rsidP="004410EA">
            <w:pPr>
              <w:rPr>
                <w:lang w:val="de-DE"/>
              </w:rPr>
            </w:pPr>
            <w:r w:rsidRPr="00A352A4">
              <w:rPr>
                <w:lang w:val="de-DE"/>
              </w:rPr>
              <w:t>B. Braun Melsungen AG,</w:t>
            </w:r>
          </w:p>
          <w:p w14:paraId="21F1A3CA" w14:textId="77777777" w:rsidR="00352F0C" w:rsidRPr="00A352A4" w:rsidRDefault="00352F0C" w:rsidP="004410EA">
            <w:pPr>
              <w:rPr>
                <w:lang w:val="de-DE"/>
              </w:rPr>
            </w:pPr>
            <w:r w:rsidRPr="00A352A4">
              <w:rPr>
                <w:lang w:val="de-DE"/>
              </w:rPr>
              <w:t>Melsungen, Germany</w:t>
            </w:r>
          </w:p>
        </w:tc>
        <w:tc>
          <w:tcPr>
            <w:tcW w:w="1417" w:type="dxa"/>
          </w:tcPr>
          <w:p w14:paraId="4E25357A" w14:textId="77777777" w:rsidR="00352F0C" w:rsidRPr="00A352A4" w:rsidRDefault="00352F0C" w:rsidP="004410EA">
            <w:proofErr w:type="spellStart"/>
            <w:r w:rsidRPr="00A352A4">
              <w:t>Infusomat</w:t>
            </w:r>
            <w:proofErr w:type="spellEnd"/>
            <w:r w:rsidRPr="00A352A4">
              <w:t xml:space="preserve"> space</w:t>
            </w:r>
          </w:p>
        </w:tc>
        <w:tc>
          <w:tcPr>
            <w:tcW w:w="3792" w:type="dxa"/>
          </w:tcPr>
          <w:p w14:paraId="048172E6" w14:textId="77777777" w:rsidR="00352F0C" w:rsidRPr="00A352A4" w:rsidRDefault="00352F0C" w:rsidP="004410EA">
            <w:r w:rsidRPr="00A352A4">
              <w:t>Pump for infusion of Propofol.</w:t>
            </w:r>
          </w:p>
        </w:tc>
      </w:tr>
      <w:tr w:rsidR="00352F0C" w:rsidRPr="00A352A4" w14:paraId="67A5F7E3" w14:textId="77777777" w:rsidTr="004410EA">
        <w:tc>
          <w:tcPr>
            <w:tcW w:w="1809" w:type="dxa"/>
          </w:tcPr>
          <w:p w14:paraId="23FA8A1B" w14:textId="77777777" w:rsidR="00352F0C" w:rsidRPr="00A352A4" w:rsidRDefault="00352F0C" w:rsidP="004410EA">
            <w:r w:rsidRPr="00A352A4">
              <w:t>Infusion pump</w:t>
            </w:r>
          </w:p>
        </w:tc>
        <w:tc>
          <w:tcPr>
            <w:tcW w:w="1985" w:type="dxa"/>
          </w:tcPr>
          <w:p w14:paraId="5D90FE0E" w14:textId="77777777" w:rsidR="00352F0C" w:rsidRPr="00A352A4" w:rsidRDefault="00352F0C" w:rsidP="004410EA">
            <w:pPr>
              <w:rPr>
                <w:lang w:val="de-DE"/>
              </w:rPr>
            </w:pPr>
            <w:r w:rsidRPr="00A352A4">
              <w:rPr>
                <w:lang w:val="de-DE"/>
              </w:rPr>
              <w:t>B. Braun Melsungen AG, Melsungen, Germany</w:t>
            </w:r>
          </w:p>
        </w:tc>
        <w:tc>
          <w:tcPr>
            <w:tcW w:w="1417" w:type="dxa"/>
          </w:tcPr>
          <w:p w14:paraId="1E6F4D88" w14:textId="77777777" w:rsidR="00352F0C" w:rsidRPr="00A352A4" w:rsidRDefault="00352F0C" w:rsidP="004410EA">
            <w:proofErr w:type="spellStart"/>
            <w:r w:rsidRPr="00A352A4">
              <w:t>Perfuser</w:t>
            </w:r>
            <w:proofErr w:type="spellEnd"/>
            <w:r w:rsidRPr="00A352A4">
              <w:t xml:space="preserve"> compact</w:t>
            </w:r>
          </w:p>
        </w:tc>
        <w:tc>
          <w:tcPr>
            <w:tcW w:w="3792" w:type="dxa"/>
          </w:tcPr>
          <w:p w14:paraId="2EFE2A35" w14:textId="77777777" w:rsidR="00352F0C" w:rsidRPr="00A352A4" w:rsidRDefault="00352F0C" w:rsidP="004410EA">
            <w:r w:rsidRPr="00A352A4">
              <w:t>Syringe pump for infusion of fentanyl.</w:t>
            </w:r>
          </w:p>
        </w:tc>
      </w:tr>
      <w:tr w:rsidR="00352F0C" w:rsidRPr="00A352A4" w14:paraId="133563E2" w14:textId="77777777" w:rsidTr="004410EA">
        <w:tc>
          <w:tcPr>
            <w:tcW w:w="1809" w:type="dxa"/>
          </w:tcPr>
          <w:p w14:paraId="6523A7FD" w14:textId="77777777" w:rsidR="00352F0C" w:rsidRPr="00A352A4" w:rsidRDefault="00352F0C" w:rsidP="004410EA">
            <w:r w:rsidRPr="00A352A4">
              <w:t>Infusion pump</w:t>
            </w:r>
          </w:p>
        </w:tc>
        <w:tc>
          <w:tcPr>
            <w:tcW w:w="1985" w:type="dxa"/>
          </w:tcPr>
          <w:p w14:paraId="23F07DA9" w14:textId="77777777" w:rsidR="00352F0C" w:rsidRPr="00A352A4" w:rsidRDefault="00352F0C" w:rsidP="004410EA">
            <w:proofErr w:type="spellStart"/>
            <w:r w:rsidRPr="00A352A4">
              <w:t>Heska</w:t>
            </w:r>
            <w:proofErr w:type="spellEnd"/>
            <w:r w:rsidRPr="00A352A4">
              <w:t>,</w:t>
            </w:r>
          </w:p>
          <w:p w14:paraId="5C1193AF" w14:textId="77777777" w:rsidR="00352F0C" w:rsidRPr="00A352A4" w:rsidRDefault="00352F0C" w:rsidP="004410EA">
            <w:r w:rsidRPr="00A352A4">
              <w:t>Loveland, Colorado, USA</w:t>
            </w:r>
          </w:p>
        </w:tc>
        <w:tc>
          <w:tcPr>
            <w:tcW w:w="1417" w:type="dxa"/>
          </w:tcPr>
          <w:p w14:paraId="295B91DE" w14:textId="77777777" w:rsidR="00352F0C" w:rsidRPr="00A352A4" w:rsidRDefault="00352F0C" w:rsidP="004410EA">
            <w:r w:rsidRPr="00A352A4">
              <w:t xml:space="preserve">Vet/IV </w:t>
            </w:r>
          </w:p>
        </w:tc>
        <w:tc>
          <w:tcPr>
            <w:tcW w:w="3792" w:type="dxa"/>
          </w:tcPr>
          <w:p w14:paraId="38F7BDB4" w14:textId="77777777" w:rsidR="00352F0C" w:rsidRPr="00A352A4" w:rsidRDefault="00352F0C" w:rsidP="004410EA">
            <w:r w:rsidRPr="00A352A4">
              <w:t>Infusion pump for saline solution.</w:t>
            </w:r>
          </w:p>
        </w:tc>
      </w:tr>
      <w:tr w:rsidR="00352F0C" w:rsidRPr="00A352A4" w14:paraId="71D4D367" w14:textId="77777777" w:rsidTr="004410EA">
        <w:tc>
          <w:tcPr>
            <w:tcW w:w="1809" w:type="dxa"/>
          </w:tcPr>
          <w:p w14:paraId="02457F24" w14:textId="77777777" w:rsidR="00352F0C" w:rsidRPr="00A352A4" w:rsidRDefault="00352F0C" w:rsidP="004410EA">
            <w:pPr>
              <w:spacing w:line="480" w:lineRule="auto"/>
            </w:pPr>
            <w:r>
              <w:t>Cardiovascular ultrasound machine</w:t>
            </w:r>
          </w:p>
        </w:tc>
        <w:tc>
          <w:tcPr>
            <w:tcW w:w="1985" w:type="dxa"/>
          </w:tcPr>
          <w:p w14:paraId="3F2B37BC" w14:textId="77777777" w:rsidR="00352F0C" w:rsidRPr="00A352A4" w:rsidRDefault="00352F0C" w:rsidP="004410EA">
            <w:r w:rsidRPr="005D33EB">
              <w:t>(Philips Health care, Amsterdam, The Netherlands)</w:t>
            </w:r>
          </w:p>
        </w:tc>
        <w:tc>
          <w:tcPr>
            <w:tcW w:w="1417" w:type="dxa"/>
          </w:tcPr>
          <w:p w14:paraId="7805EEDA" w14:textId="4C9E011B" w:rsidR="00352F0C" w:rsidRPr="00A352A4" w:rsidRDefault="00352F0C" w:rsidP="004410EA">
            <w:r w:rsidRPr="005D33EB">
              <w:t xml:space="preserve">iE33 machine </w:t>
            </w:r>
            <w:r w:rsidRPr="00895B79">
              <w:t xml:space="preserve">equipped with </w:t>
            </w:r>
            <w:r>
              <w:t>an S5-1 transducer</w:t>
            </w:r>
            <w:r w:rsidR="00C75CC4">
              <w:t xml:space="preserve"> </w:t>
            </w:r>
            <w:r>
              <w:t>(3.5 MHz)</w:t>
            </w:r>
            <w:r w:rsidRPr="00895B79" w:rsidDel="0025587D">
              <w:t xml:space="preserve"> </w:t>
            </w:r>
          </w:p>
        </w:tc>
        <w:tc>
          <w:tcPr>
            <w:tcW w:w="3792" w:type="dxa"/>
          </w:tcPr>
          <w:p w14:paraId="16A923F3" w14:textId="77777777" w:rsidR="00352F0C" w:rsidRPr="00A352A4" w:rsidRDefault="00352F0C" w:rsidP="004410EA">
            <w:r>
              <w:t>Ultrasound machine for echocardiographic images acquisition</w:t>
            </w:r>
          </w:p>
        </w:tc>
      </w:tr>
    </w:tbl>
    <w:p w14:paraId="0CBF041E" w14:textId="77777777" w:rsidR="00352F0C" w:rsidRPr="00A352A4" w:rsidRDefault="00352F0C" w:rsidP="00352F0C">
      <w:pPr>
        <w:spacing w:line="240" w:lineRule="auto"/>
      </w:pPr>
    </w:p>
    <w:p w14:paraId="170DA361" w14:textId="59ACAAE8" w:rsidR="00352F0C" w:rsidRPr="00A352A4" w:rsidRDefault="00352F0C" w:rsidP="00352F0C">
      <w:pPr>
        <w:pStyle w:val="Caption"/>
        <w:keepNext/>
      </w:pPr>
      <w:bookmarkStart w:id="1" w:name="_Ref20226711"/>
      <w:bookmarkStart w:id="2" w:name="_Toc472415995"/>
      <w:r w:rsidRPr="00A352A4">
        <w:t xml:space="preserve">Table </w:t>
      </w:r>
      <w:bookmarkEnd w:id="1"/>
      <w:r w:rsidR="0044758B">
        <w:t>2</w:t>
      </w:r>
      <w:r w:rsidRPr="00A352A4">
        <w:t>:</w:t>
      </w:r>
      <w:r w:rsidRPr="00A352A4">
        <w:tab/>
        <w:t>Drugs</w:t>
      </w:r>
      <w:bookmarkEnd w:id="2"/>
    </w:p>
    <w:tbl>
      <w:tblPr>
        <w:tblStyle w:val="TableGrid"/>
        <w:tblW w:w="0" w:type="auto"/>
        <w:tblLayout w:type="fixed"/>
        <w:tblLook w:val="04A0" w:firstRow="1" w:lastRow="0" w:firstColumn="1" w:lastColumn="0" w:noHBand="0" w:noVBand="1"/>
      </w:tblPr>
      <w:tblGrid>
        <w:gridCol w:w="1370"/>
        <w:gridCol w:w="1482"/>
        <w:gridCol w:w="2382"/>
        <w:gridCol w:w="1504"/>
        <w:gridCol w:w="2265"/>
      </w:tblGrid>
      <w:tr w:rsidR="00352F0C" w:rsidRPr="00A352A4" w14:paraId="200D8AB7" w14:textId="77777777" w:rsidTr="004410EA">
        <w:tc>
          <w:tcPr>
            <w:tcW w:w="1370" w:type="dxa"/>
          </w:tcPr>
          <w:p w14:paraId="014187B9" w14:textId="77777777" w:rsidR="00352F0C" w:rsidRPr="00A352A4" w:rsidRDefault="00352F0C" w:rsidP="004410EA">
            <w:pPr>
              <w:rPr>
                <w:b/>
              </w:rPr>
            </w:pPr>
            <w:r w:rsidRPr="00A352A4">
              <w:rPr>
                <w:b/>
              </w:rPr>
              <w:t>Drug</w:t>
            </w:r>
          </w:p>
        </w:tc>
        <w:tc>
          <w:tcPr>
            <w:tcW w:w="1482" w:type="dxa"/>
          </w:tcPr>
          <w:p w14:paraId="4A00829F" w14:textId="77777777" w:rsidR="00352F0C" w:rsidRPr="00A352A4" w:rsidRDefault="00352F0C" w:rsidP="004410EA">
            <w:pPr>
              <w:rPr>
                <w:b/>
              </w:rPr>
            </w:pPr>
            <w:r w:rsidRPr="00A352A4">
              <w:rPr>
                <w:b/>
              </w:rPr>
              <w:t>Producer</w:t>
            </w:r>
          </w:p>
        </w:tc>
        <w:tc>
          <w:tcPr>
            <w:tcW w:w="2382" w:type="dxa"/>
          </w:tcPr>
          <w:p w14:paraId="109FF35E" w14:textId="77777777" w:rsidR="00352F0C" w:rsidRPr="00A352A4" w:rsidRDefault="00352F0C" w:rsidP="004410EA">
            <w:pPr>
              <w:rPr>
                <w:b/>
              </w:rPr>
            </w:pPr>
            <w:r w:rsidRPr="00A352A4">
              <w:rPr>
                <w:b/>
              </w:rPr>
              <w:t>Strength</w:t>
            </w:r>
          </w:p>
        </w:tc>
        <w:tc>
          <w:tcPr>
            <w:tcW w:w="1504" w:type="dxa"/>
          </w:tcPr>
          <w:p w14:paraId="634827C6" w14:textId="77777777" w:rsidR="00352F0C" w:rsidRPr="00A352A4" w:rsidRDefault="00352F0C" w:rsidP="004410EA">
            <w:pPr>
              <w:rPr>
                <w:b/>
              </w:rPr>
            </w:pPr>
            <w:r w:rsidRPr="00A352A4">
              <w:rPr>
                <w:b/>
              </w:rPr>
              <w:t>Dosing</w:t>
            </w:r>
          </w:p>
        </w:tc>
        <w:tc>
          <w:tcPr>
            <w:tcW w:w="2265" w:type="dxa"/>
          </w:tcPr>
          <w:p w14:paraId="622AD3D5" w14:textId="77777777" w:rsidR="00352F0C" w:rsidRPr="00A352A4" w:rsidRDefault="00352F0C" w:rsidP="004410EA">
            <w:pPr>
              <w:rPr>
                <w:b/>
              </w:rPr>
            </w:pPr>
            <w:r w:rsidRPr="00A352A4">
              <w:rPr>
                <w:b/>
              </w:rPr>
              <w:t>Rationale</w:t>
            </w:r>
          </w:p>
        </w:tc>
      </w:tr>
      <w:tr w:rsidR="00352F0C" w:rsidRPr="00A352A4" w14:paraId="3C259894" w14:textId="77777777" w:rsidTr="004410EA">
        <w:tc>
          <w:tcPr>
            <w:tcW w:w="1370" w:type="dxa"/>
          </w:tcPr>
          <w:p w14:paraId="428F5D61" w14:textId="77777777" w:rsidR="00352F0C" w:rsidRPr="00A352A4" w:rsidRDefault="00352F0C" w:rsidP="004410EA">
            <w:r w:rsidRPr="00A352A4">
              <w:t>Zoletil pig mix</w:t>
            </w:r>
          </w:p>
        </w:tc>
        <w:tc>
          <w:tcPr>
            <w:tcW w:w="1482" w:type="dxa"/>
          </w:tcPr>
          <w:p w14:paraId="10FE3658" w14:textId="77777777" w:rsidR="00352F0C" w:rsidRPr="00A352A4" w:rsidRDefault="00352F0C" w:rsidP="004410EA">
            <w:r w:rsidRPr="00A352A4">
              <w:t>Unit for experimental medicine, Copenhagen University</w:t>
            </w:r>
          </w:p>
        </w:tc>
        <w:tc>
          <w:tcPr>
            <w:tcW w:w="2382" w:type="dxa"/>
          </w:tcPr>
          <w:p w14:paraId="03779B39" w14:textId="77777777" w:rsidR="00352F0C" w:rsidRPr="00A352A4" w:rsidRDefault="00352F0C" w:rsidP="004410EA">
            <w:r w:rsidRPr="00A352A4">
              <w:t>Solution for injection,</w:t>
            </w:r>
            <w:r w:rsidRPr="00A352A4">
              <w:br/>
              <w:t xml:space="preserve">250 mg dry tiletamin+zolazepam, 6.5 ml xylazine 20 mg/ml, 1.25 ml ketamine 100 mg/ml, 2.5 ml butorphanol 10 </w:t>
            </w:r>
            <w:r w:rsidRPr="00A352A4">
              <w:lastRenderedPageBreak/>
              <w:t>mg/ml, and 2 ml methadone 10 mg/ml</w:t>
            </w:r>
          </w:p>
        </w:tc>
        <w:tc>
          <w:tcPr>
            <w:tcW w:w="1504" w:type="dxa"/>
          </w:tcPr>
          <w:p w14:paraId="1E8A979A" w14:textId="77777777" w:rsidR="00352F0C" w:rsidRPr="00A352A4" w:rsidRDefault="00352F0C" w:rsidP="004410EA">
            <w:r w:rsidRPr="00A352A4">
              <w:lastRenderedPageBreak/>
              <w:t>0.1 ml/kg, IM</w:t>
            </w:r>
          </w:p>
        </w:tc>
        <w:tc>
          <w:tcPr>
            <w:tcW w:w="2265" w:type="dxa"/>
          </w:tcPr>
          <w:p w14:paraId="45E6A3C5" w14:textId="77777777" w:rsidR="00352F0C" w:rsidRPr="00A352A4" w:rsidRDefault="00352F0C" w:rsidP="004410EA">
            <w:r w:rsidRPr="00A352A4">
              <w:t xml:space="preserve">Used for </w:t>
            </w:r>
            <w:r>
              <w:t>pre-</w:t>
            </w:r>
            <w:proofErr w:type="spellStart"/>
            <w:r>
              <w:t>anaesthesia</w:t>
            </w:r>
            <w:proofErr w:type="spellEnd"/>
            <w:r>
              <w:t xml:space="preserve"> </w:t>
            </w:r>
            <w:r w:rsidRPr="00A352A4">
              <w:t>of the pigs.</w:t>
            </w:r>
          </w:p>
        </w:tc>
      </w:tr>
      <w:tr w:rsidR="00352F0C" w:rsidRPr="00A352A4" w14:paraId="0B14FCE2" w14:textId="77777777" w:rsidTr="004410EA">
        <w:tc>
          <w:tcPr>
            <w:tcW w:w="1370" w:type="dxa"/>
          </w:tcPr>
          <w:p w14:paraId="095B41B5" w14:textId="77777777" w:rsidR="00352F0C" w:rsidRPr="00A352A4" w:rsidRDefault="00352F0C" w:rsidP="004410EA">
            <w:proofErr w:type="spellStart"/>
            <w:r w:rsidRPr="00A352A4">
              <w:t>Gentacoll</w:t>
            </w:r>
            <w:proofErr w:type="spellEnd"/>
            <w:r w:rsidRPr="00A352A4">
              <w:t>® patches</w:t>
            </w:r>
          </w:p>
        </w:tc>
        <w:tc>
          <w:tcPr>
            <w:tcW w:w="1482" w:type="dxa"/>
          </w:tcPr>
          <w:p w14:paraId="0CF46B5D" w14:textId="77777777" w:rsidR="00352F0C" w:rsidRPr="00A352A4" w:rsidRDefault="00352F0C" w:rsidP="004410EA">
            <w:r w:rsidRPr="00A352A4">
              <w:t xml:space="preserve">Swedish Orphan </w:t>
            </w:r>
            <w:proofErr w:type="spellStart"/>
            <w:r w:rsidRPr="00A352A4">
              <w:t>Biovitrum</w:t>
            </w:r>
            <w:proofErr w:type="spellEnd"/>
          </w:p>
        </w:tc>
        <w:tc>
          <w:tcPr>
            <w:tcW w:w="2382" w:type="dxa"/>
          </w:tcPr>
          <w:p w14:paraId="17C78184" w14:textId="77777777" w:rsidR="00352F0C" w:rsidRPr="00A352A4" w:rsidRDefault="00352F0C" w:rsidP="004410EA">
            <w:r w:rsidRPr="00A352A4">
              <w:t>32.5 mg gentamycin in 5x5 cm patch</w:t>
            </w:r>
          </w:p>
        </w:tc>
        <w:tc>
          <w:tcPr>
            <w:tcW w:w="1504" w:type="dxa"/>
          </w:tcPr>
          <w:p w14:paraId="5BC0574E" w14:textId="77777777" w:rsidR="00352F0C" w:rsidRPr="00A352A4" w:rsidRDefault="00352F0C" w:rsidP="004410EA">
            <w:r w:rsidRPr="00A352A4">
              <w:t>32.5 mg in implantation pocket.</w:t>
            </w:r>
          </w:p>
        </w:tc>
        <w:tc>
          <w:tcPr>
            <w:tcW w:w="2265" w:type="dxa"/>
          </w:tcPr>
          <w:p w14:paraId="7CE22792" w14:textId="77777777" w:rsidR="00352F0C" w:rsidRPr="00A352A4" w:rsidRDefault="00352F0C" w:rsidP="004410EA">
            <w:r w:rsidRPr="00A352A4">
              <w:t>Broad-spectrum antibiotic to avoid infection in the implantation pocket.</w:t>
            </w:r>
          </w:p>
        </w:tc>
      </w:tr>
      <w:tr w:rsidR="00352F0C" w:rsidRPr="00A352A4" w14:paraId="20384074" w14:textId="77777777" w:rsidTr="004410EA">
        <w:tc>
          <w:tcPr>
            <w:tcW w:w="1370" w:type="dxa"/>
          </w:tcPr>
          <w:p w14:paraId="3F3632DB" w14:textId="77777777" w:rsidR="00352F0C" w:rsidRPr="00A352A4" w:rsidRDefault="00352F0C" w:rsidP="004410EA">
            <w:proofErr w:type="spellStart"/>
            <w:r w:rsidRPr="00A352A4">
              <w:t>Propolipid</w:t>
            </w:r>
            <w:proofErr w:type="spellEnd"/>
          </w:p>
        </w:tc>
        <w:tc>
          <w:tcPr>
            <w:tcW w:w="1482" w:type="dxa"/>
          </w:tcPr>
          <w:p w14:paraId="1D49E3B6" w14:textId="77777777" w:rsidR="00352F0C" w:rsidRPr="00A352A4" w:rsidRDefault="00352F0C" w:rsidP="004410EA">
            <w:r w:rsidRPr="00A352A4">
              <w:t xml:space="preserve">Fresenius </w:t>
            </w:r>
            <w:proofErr w:type="spellStart"/>
            <w:r w:rsidRPr="00A352A4">
              <w:t>Kabi</w:t>
            </w:r>
            <w:proofErr w:type="spellEnd"/>
          </w:p>
        </w:tc>
        <w:tc>
          <w:tcPr>
            <w:tcW w:w="2382" w:type="dxa"/>
          </w:tcPr>
          <w:p w14:paraId="36B18307" w14:textId="77777777" w:rsidR="00352F0C" w:rsidRPr="00A352A4" w:rsidRDefault="00352F0C" w:rsidP="004410EA">
            <w:pPr>
              <w:rPr>
                <w:highlight w:val="yellow"/>
              </w:rPr>
            </w:pPr>
            <w:r w:rsidRPr="00A352A4">
              <w:t>Liquid for infusion, emulsion of 10 mg/ml propofol.</w:t>
            </w:r>
          </w:p>
        </w:tc>
        <w:tc>
          <w:tcPr>
            <w:tcW w:w="1504" w:type="dxa"/>
          </w:tcPr>
          <w:p w14:paraId="52FC6913" w14:textId="77777777" w:rsidR="00352F0C" w:rsidRPr="00A352A4" w:rsidRDefault="00352F0C" w:rsidP="004410EA">
            <w:r w:rsidRPr="00A352A4">
              <w:t>15 mg/kg/h, IV</w:t>
            </w:r>
          </w:p>
        </w:tc>
        <w:tc>
          <w:tcPr>
            <w:tcW w:w="2265" w:type="dxa"/>
          </w:tcPr>
          <w:p w14:paraId="3857ED52" w14:textId="77777777" w:rsidR="00352F0C" w:rsidRPr="00A352A4" w:rsidRDefault="00352F0C" w:rsidP="004410EA">
            <w:proofErr w:type="spellStart"/>
            <w:r w:rsidRPr="00A352A4">
              <w:t>Anaesthetic</w:t>
            </w:r>
            <w:proofErr w:type="spellEnd"/>
            <w:r w:rsidRPr="00A352A4">
              <w:t xml:space="preserve"> agent</w:t>
            </w:r>
          </w:p>
        </w:tc>
      </w:tr>
      <w:tr w:rsidR="00352F0C" w:rsidRPr="00A352A4" w14:paraId="6A2E98E5" w14:textId="77777777" w:rsidTr="004410EA">
        <w:tc>
          <w:tcPr>
            <w:tcW w:w="1370" w:type="dxa"/>
          </w:tcPr>
          <w:p w14:paraId="290D5791" w14:textId="77777777" w:rsidR="00352F0C" w:rsidRPr="00A352A4" w:rsidRDefault="00352F0C" w:rsidP="004410EA">
            <w:r w:rsidRPr="00A352A4">
              <w:t>Fentanyl</w:t>
            </w:r>
          </w:p>
        </w:tc>
        <w:tc>
          <w:tcPr>
            <w:tcW w:w="1482" w:type="dxa"/>
          </w:tcPr>
          <w:p w14:paraId="7FE51CB4" w14:textId="77777777" w:rsidR="00352F0C" w:rsidRPr="00A352A4" w:rsidRDefault="00352F0C" w:rsidP="004410EA">
            <w:r w:rsidRPr="00A352A4">
              <w:t xml:space="preserve">“B. Braun”, </w:t>
            </w:r>
          </w:p>
          <w:p w14:paraId="138B2D17" w14:textId="77777777" w:rsidR="00352F0C" w:rsidRPr="00A352A4" w:rsidRDefault="00352F0C" w:rsidP="004410EA">
            <w:r w:rsidRPr="00A352A4">
              <w:t>“2Care4”, or “Sandoz”</w:t>
            </w:r>
          </w:p>
        </w:tc>
        <w:tc>
          <w:tcPr>
            <w:tcW w:w="2382" w:type="dxa"/>
          </w:tcPr>
          <w:p w14:paraId="5D4D7D08" w14:textId="77777777" w:rsidR="00352F0C" w:rsidRPr="00A352A4" w:rsidRDefault="00352F0C" w:rsidP="004410EA">
            <w:r w:rsidRPr="00A352A4">
              <w:t>Solution for injection, 50 µg/ml</w:t>
            </w:r>
          </w:p>
        </w:tc>
        <w:tc>
          <w:tcPr>
            <w:tcW w:w="1504" w:type="dxa"/>
          </w:tcPr>
          <w:p w14:paraId="00C28629" w14:textId="77777777" w:rsidR="00352F0C" w:rsidRPr="00A352A4" w:rsidRDefault="00352F0C" w:rsidP="004410EA">
            <w:r>
              <w:t>5</w:t>
            </w:r>
            <w:r w:rsidRPr="00A352A4">
              <w:t xml:space="preserve"> µg/kg/h</w:t>
            </w:r>
          </w:p>
        </w:tc>
        <w:tc>
          <w:tcPr>
            <w:tcW w:w="2265" w:type="dxa"/>
          </w:tcPr>
          <w:p w14:paraId="41A175BD" w14:textId="77777777" w:rsidR="00352F0C" w:rsidRPr="00A352A4" w:rsidRDefault="00352F0C" w:rsidP="004410EA">
            <w:r w:rsidRPr="00A352A4">
              <w:t xml:space="preserve">Opioid. </w:t>
            </w:r>
            <w:proofErr w:type="spellStart"/>
            <w:r w:rsidRPr="00A352A4">
              <w:t>Anaesthetic</w:t>
            </w:r>
            <w:proofErr w:type="spellEnd"/>
            <w:r w:rsidRPr="00A352A4">
              <w:t xml:space="preserve"> and analgesic agent.</w:t>
            </w:r>
          </w:p>
        </w:tc>
      </w:tr>
      <w:tr w:rsidR="00352F0C" w:rsidRPr="00A352A4" w14:paraId="19DD60C2" w14:textId="77777777" w:rsidTr="004410EA">
        <w:tc>
          <w:tcPr>
            <w:tcW w:w="1370" w:type="dxa"/>
          </w:tcPr>
          <w:p w14:paraId="18AC6834" w14:textId="77777777" w:rsidR="00352F0C" w:rsidRPr="00A352A4" w:rsidRDefault="00352F0C" w:rsidP="004410EA">
            <w:proofErr w:type="spellStart"/>
            <w:r w:rsidRPr="00A352A4">
              <w:t>Norostrep</w:t>
            </w:r>
            <w:proofErr w:type="spellEnd"/>
            <w:r w:rsidRPr="00A352A4">
              <w:t xml:space="preserve"> Vet.</w:t>
            </w:r>
          </w:p>
        </w:tc>
        <w:tc>
          <w:tcPr>
            <w:tcW w:w="1482" w:type="dxa"/>
          </w:tcPr>
          <w:p w14:paraId="292652A8" w14:textId="77777777" w:rsidR="00352F0C" w:rsidRPr="005F58A3" w:rsidRDefault="00352F0C" w:rsidP="004410EA">
            <w:proofErr w:type="spellStart"/>
            <w:r w:rsidRPr="005F58A3">
              <w:t>ScanVet</w:t>
            </w:r>
            <w:proofErr w:type="spellEnd"/>
            <w:r w:rsidRPr="005F58A3">
              <w:t xml:space="preserve"> Animal Health A/S, </w:t>
            </w:r>
            <w:proofErr w:type="spellStart"/>
            <w:r w:rsidRPr="005F58A3">
              <w:t>Fredensborg</w:t>
            </w:r>
            <w:proofErr w:type="spellEnd"/>
          </w:p>
        </w:tc>
        <w:tc>
          <w:tcPr>
            <w:tcW w:w="2382" w:type="dxa"/>
          </w:tcPr>
          <w:p w14:paraId="3E3DC09C" w14:textId="77777777" w:rsidR="00352F0C" w:rsidRPr="005F58A3" w:rsidRDefault="00352F0C" w:rsidP="004410EA">
            <w:r w:rsidRPr="005F58A3">
              <w:t>Liquid for infusion, emulsion of 200.000 IU (200 mg)/ml.</w:t>
            </w:r>
          </w:p>
          <w:p w14:paraId="621308BF" w14:textId="77777777" w:rsidR="00352F0C" w:rsidRPr="005F58A3" w:rsidRDefault="00352F0C" w:rsidP="004410EA"/>
          <w:p w14:paraId="0F436CB1" w14:textId="77777777" w:rsidR="00352F0C" w:rsidRPr="005F58A3" w:rsidRDefault="00352F0C" w:rsidP="004410EA"/>
        </w:tc>
        <w:tc>
          <w:tcPr>
            <w:tcW w:w="1504" w:type="dxa"/>
          </w:tcPr>
          <w:p w14:paraId="28AD8BF5" w14:textId="77777777" w:rsidR="00352F0C" w:rsidRPr="005F58A3" w:rsidRDefault="00352F0C" w:rsidP="004410EA">
            <w:r w:rsidRPr="005F58A3">
              <w:t>2 ml on the pacemaker just before implantation.</w:t>
            </w:r>
          </w:p>
        </w:tc>
        <w:tc>
          <w:tcPr>
            <w:tcW w:w="2265" w:type="dxa"/>
          </w:tcPr>
          <w:p w14:paraId="24DEFEB0" w14:textId="77777777" w:rsidR="00352F0C" w:rsidRPr="005F58A3" w:rsidRDefault="00352F0C" w:rsidP="004410EA">
            <w:r w:rsidRPr="005F58A3">
              <w:t>Antibiotic for penicillin- and dihydrostreptomycin-vulnerable bacteria.</w:t>
            </w:r>
          </w:p>
        </w:tc>
      </w:tr>
      <w:tr w:rsidR="00352F0C" w:rsidRPr="00A352A4" w14:paraId="32B06B91" w14:textId="77777777" w:rsidTr="004410EA">
        <w:tc>
          <w:tcPr>
            <w:tcW w:w="1370" w:type="dxa"/>
          </w:tcPr>
          <w:p w14:paraId="5CD5BC81" w14:textId="77777777" w:rsidR="00352F0C" w:rsidRPr="00A352A4" w:rsidRDefault="00352F0C" w:rsidP="004410EA">
            <w:proofErr w:type="spellStart"/>
            <w:r w:rsidRPr="00A352A4">
              <w:t>Curamox</w:t>
            </w:r>
            <w:proofErr w:type="spellEnd"/>
            <w:r w:rsidRPr="00A352A4">
              <w:t xml:space="preserve"> </w:t>
            </w:r>
            <w:proofErr w:type="spellStart"/>
            <w:r w:rsidRPr="00A352A4">
              <w:t>prolongatum</w:t>
            </w:r>
            <w:proofErr w:type="spellEnd"/>
            <w:r w:rsidRPr="00A352A4">
              <w:t xml:space="preserve"> Vet.</w:t>
            </w:r>
          </w:p>
        </w:tc>
        <w:tc>
          <w:tcPr>
            <w:tcW w:w="1482" w:type="dxa"/>
          </w:tcPr>
          <w:p w14:paraId="0EAD8C64" w14:textId="77777777" w:rsidR="00352F0C" w:rsidRPr="00A352A4" w:rsidRDefault="00352F0C" w:rsidP="004410EA">
            <w:r w:rsidRPr="00A352A4">
              <w:rPr>
                <w:spacing w:val="-3"/>
              </w:rPr>
              <w:t>Boehringer Ingelheim</w:t>
            </w:r>
          </w:p>
        </w:tc>
        <w:tc>
          <w:tcPr>
            <w:tcW w:w="2382" w:type="dxa"/>
          </w:tcPr>
          <w:p w14:paraId="32EF7E8B" w14:textId="77777777" w:rsidR="00352F0C" w:rsidRPr="00A352A4" w:rsidRDefault="00352F0C" w:rsidP="004410EA">
            <w:r w:rsidRPr="00A352A4">
              <w:t>Liquid for infusion, emulsion of 150mg amoxicillin/ml</w:t>
            </w:r>
          </w:p>
          <w:p w14:paraId="28D66666" w14:textId="77777777" w:rsidR="00352F0C" w:rsidRPr="00A352A4" w:rsidRDefault="00352F0C" w:rsidP="004410EA"/>
        </w:tc>
        <w:tc>
          <w:tcPr>
            <w:tcW w:w="1504" w:type="dxa"/>
          </w:tcPr>
          <w:p w14:paraId="442330F8" w14:textId="77777777" w:rsidR="00352F0C" w:rsidRPr="00A352A4" w:rsidRDefault="00352F0C" w:rsidP="004410EA">
            <w:r w:rsidRPr="00A352A4">
              <w:t>15 mg/kg, IM</w:t>
            </w:r>
          </w:p>
        </w:tc>
        <w:tc>
          <w:tcPr>
            <w:tcW w:w="2265" w:type="dxa"/>
          </w:tcPr>
          <w:p w14:paraId="151A72BD" w14:textId="77777777" w:rsidR="00352F0C" w:rsidRPr="00A352A4" w:rsidRDefault="00352F0C" w:rsidP="004410EA">
            <w:r w:rsidRPr="00A352A4">
              <w:t>Broad-spectrum antibiotic for amoxicillin-vulnerable bacteria with prolonged effect (&gt;48 h)</w:t>
            </w:r>
          </w:p>
        </w:tc>
      </w:tr>
      <w:tr w:rsidR="00352F0C" w:rsidRPr="00A352A4" w14:paraId="305AB310" w14:textId="77777777" w:rsidTr="004410EA">
        <w:tc>
          <w:tcPr>
            <w:tcW w:w="1370" w:type="dxa"/>
          </w:tcPr>
          <w:p w14:paraId="351B6847" w14:textId="77777777" w:rsidR="00352F0C" w:rsidRPr="00A352A4" w:rsidRDefault="00352F0C" w:rsidP="004410EA">
            <w:r w:rsidRPr="00A352A4">
              <w:t xml:space="preserve">Metacam </w:t>
            </w:r>
          </w:p>
        </w:tc>
        <w:tc>
          <w:tcPr>
            <w:tcW w:w="1482" w:type="dxa"/>
          </w:tcPr>
          <w:p w14:paraId="777C3405" w14:textId="77777777" w:rsidR="00352F0C" w:rsidRPr="00A352A4" w:rsidRDefault="00352F0C" w:rsidP="004410EA">
            <w:r w:rsidRPr="00A352A4">
              <w:rPr>
                <w:spacing w:val="-3"/>
              </w:rPr>
              <w:t>Boehringer Ingelheim</w:t>
            </w:r>
          </w:p>
        </w:tc>
        <w:tc>
          <w:tcPr>
            <w:tcW w:w="2382" w:type="dxa"/>
          </w:tcPr>
          <w:p w14:paraId="72E4A7EA" w14:textId="77777777" w:rsidR="00352F0C" w:rsidRPr="00A352A4" w:rsidRDefault="00352F0C" w:rsidP="004410EA">
            <w:r w:rsidRPr="00A352A4">
              <w:t>15 mg meloxicam/ml</w:t>
            </w:r>
          </w:p>
        </w:tc>
        <w:tc>
          <w:tcPr>
            <w:tcW w:w="1504" w:type="dxa"/>
          </w:tcPr>
          <w:p w14:paraId="490A9ED7" w14:textId="77777777" w:rsidR="00352F0C" w:rsidRPr="00A352A4" w:rsidRDefault="00352F0C" w:rsidP="004410EA">
            <w:r w:rsidRPr="00A352A4">
              <w:t>Oral suspension</w:t>
            </w:r>
          </w:p>
          <w:p w14:paraId="377C680F" w14:textId="77777777" w:rsidR="00352F0C" w:rsidRPr="00A352A4" w:rsidRDefault="00352F0C" w:rsidP="004410EA">
            <w:r w:rsidRPr="00A352A4">
              <w:t>0.5 mg/kg PO daily for three days after implantation</w:t>
            </w:r>
          </w:p>
        </w:tc>
        <w:tc>
          <w:tcPr>
            <w:tcW w:w="2265" w:type="dxa"/>
          </w:tcPr>
          <w:p w14:paraId="3AB0EC01" w14:textId="77777777" w:rsidR="00352F0C" w:rsidRPr="00A352A4" w:rsidRDefault="00352F0C" w:rsidP="004410EA">
            <w:pPr>
              <w:rPr>
                <w:lang w:val="en-GB"/>
              </w:rPr>
            </w:pPr>
            <w:r w:rsidRPr="00A352A4">
              <w:rPr>
                <w:lang w:val="en-GB"/>
              </w:rPr>
              <w:t>NSAID for post operational pain.</w:t>
            </w:r>
          </w:p>
        </w:tc>
      </w:tr>
      <w:tr w:rsidR="00352F0C" w:rsidRPr="00A352A4" w14:paraId="2CBA167B" w14:textId="77777777" w:rsidTr="004410EA">
        <w:tc>
          <w:tcPr>
            <w:tcW w:w="1370" w:type="dxa"/>
          </w:tcPr>
          <w:p w14:paraId="22943858" w14:textId="77777777" w:rsidR="00352F0C" w:rsidRPr="00A352A4" w:rsidRDefault="00352F0C" w:rsidP="004410EA">
            <w:pPr>
              <w:rPr>
                <w:lang w:val="en-GB"/>
              </w:rPr>
            </w:pPr>
            <w:proofErr w:type="spellStart"/>
            <w:r w:rsidRPr="00A352A4">
              <w:rPr>
                <w:lang w:val="en-GB"/>
              </w:rPr>
              <w:t>Clamoxyl</w:t>
            </w:r>
            <w:proofErr w:type="spellEnd"/>
            <w:r w:rsidRPr="00A352A4">
              <w:rPr>
                <w:lang w:val="en-GB"/>
              </w:rPr>
              <w:t xml:space="preserve"> Vet.</w:t>
            </w:r>
          </w:p>
        </w:tc>
        <w:tc>
          <w:tcPr>
            <w:tcW w:w="1482" w:type="dxa"/>
          </w:tcPr>
          <w:p w14:paraId="2B423F0B" w14:textId="77777777" w:rsidR="00352F0C" w:rsidRPr="00A352A4" w:rsidRDefault="00352F0C" w:rsidP="004410EA">
            <w:pPr>
              <w:rPr>
                <w:lang w:val="en-GB"/>
              </w:rPr>
            </w:pPr>
            <w:r w:rsidRPr="00A352A4">
              <w:rPr>
                <w:lang w:val="en-GB"/>
              </w:rPr>
              <w:t>Orion Pharma Animal Health A/S</w:t>
            </w:r>
          </w:p>
        </w:tc>
        <w:tc>
          <w:tcPr>
            <w:tcW w:w="2382" w:type="dxa"/>
          </w:tcPr>
          <w:p w14:paraId="27794FE1" w14:textId="77777777" w:rsidR="00352F0C" w:rsidRPr="00A352A4" w:rsidRDefault="00352F0C" w:rsidP="004410EA">
            <w:pPr>
              <w:rPr>
                <w:lang w:val="en-GB"/>
              </w:rPr>
            </w:pPr>
            <w:r w:rsidRPr="00A352A4">
              <w:rPr>
                <w:lang w:val="en-GB"/>
              </w:rPr>
              <w:t>510 mg amoxicillin/g</w:t>
            </w:r>
          </w:p>
        </w:tc>
        <w:tc>
          <w:tcPr>
            <w:tcW w:w="1504" w:type="dxa"/>
          </w:tcPr>
          <w:p w14:paraId="73FA3E21" w14:textId="77777777" w:rsidR="00352F0C" w:rsidRPr="00A352A4" w:rsidRDefault="00352F0C" w:rsidP="004410EA">
            <w:pPr>
              <w:rPr>
                <w:lang w:val="en-GB"/>
              </w:rPr>
            </w:pPr>
            <w:r w:rsidRPr="00A352A4">
              <w:rPr>
                <w:lang w:val="en-GB"/>
              </w:rPr>
              <w:t>Powder for oral solution 40 mg/kg PO daily for 5 days after implantation</w:t>
            </w:r>
          </w:p>
        </w:tc>
        <w:tc>
          <w:tcPr>
            <w:tcW w:w="2265" w:type="dxa"/>
          </w:tcPr>
          <w:p w14:paraId="622E7E8F" w14:textId="77777777" w:rsidR="00352F0C" w:rsidRPr="00A352A4" w:rsidRDefault="00352F0C" w:rsidP="004410EA">
            <w:pPr>
              <w:rPr>
                <w:lang w:val="en-GB"/>
              </w:rPr>
            </w:pPr>
            <w:r w:rsidRPr="00A352A4">
              <w:t>Broad-spectrum antibiotic for amoxicillin-vulnerable bacteria.</w:t>
            </w:r>
          </w:p>
        </w:tc>
      </w:tr>
    </w:tbl>
    <w:p w14:paraId="79FD410D" w14:textId="77777777" w:rsidR="00352F0C" w:rsidRPr="00A352A4" w:rsidRDefault="00352F0C" w:rsidP="00352F0C"/>
    <w:p w14:paraId="03B57DCC" w14:textId="77777777" w:rsidR="00352F0C" w:rsidRPr="00A352A4" w:rsidRDefault="00352F0C" w:rsidP="00352F0C">
      <w:r w:rsidRPr="00A352A4">
        <w:t xml:space="preserve">All </w:t>
      </w:r>
      <w:r>
        <w:t xml:space="preserve">drugs </w:t>
      </w:r>
      <w:r w:rsidRPr="00A352A4">
        <w:t xml:space="preserve">used in this </w:t>
      </w:r>
      <w:r>
        <w:t>study</w:t>
      </w:r>
      <w:r w:rsidRPr="00A352A4">
        <w:t xml:space="preserve"> are commercially available and sourced from the open market within the European Union. The zoletil pig mix is not a marketed combination and was prepared by the Unit for Experimental Med</w:t>
      </w:r>
      <w:bookmarkStart w:id="3" w:name="_Toc472415996"/>
      <w:r>
        <w:t>icine at Copenhagen University.</w:t>
      </w:r>
    </w:p>
    <w:p w14:paraId="64A7A824" w14:textId="4613295B" w:rsidR="00352F0C" w:rsidRPr="00A352A4" w:rsidRDefault="00352F0C" w:rsidP="00352F0C">
      <w:pPr>
        <w:pStyle w:val="Caption"/>
        <w:keepNext/>
      </w:pPr>
      <w:bookmarkStart w:id="4" w:name="_Ref20226713"/>
      <w:r w:rsidRPr="00A352A4">
        <w:t xml:space="preserve">Table </w:t>
      </w:r>
      <w:bookmarkEnd w:id="4"/>
      <w:r w:rsidR="0044758B">
        <w:t>3</w:t>
      </w:r>
      <w:r w:rsidRPr="00A352A4">
        <w:t>:</w:t>
      </w:r>
      <w:r w:rsidRPr="00A352A4">
        <w:tab/>
        <w:t>Software</w:t>
      </w:r>
      <w:bookmarkEnd w:id="3"/>
    </w:p>
    <w:tbl>
      <w:tblPr>
        <w:tblStyle w:val="TableGrid"/>
        <w:tblW w:w="0" w:type="auto"/>
        <w:tblLook w:val="04A0" w:firstRow="1" w:lastRow="0" w:firstColumn="1" w:lastColumn="0" w:noHBand="0" w:noVBand="1"/>
      </w:tblPr>
      <w:tblGrid>
        <w:gridCol w:w="3001"/>
        <w:gridCol w:w="3001"/>
        <w:gridCol w:w="3001"/>
      </w:tblGrid>
      <w:tr w:rsidR="00352F0C" w:rsidRPr="00A352A4" w14:paraId="382FD76D" w14:textId="77777777" w:rsidTr="004410EA">
        <w:tc>
          <w:tcPr>
            <w:tcW w:w="3001" w:type="dxa"/>
          </w:tcPr>
          <w:p w14:paraId="0EEA4D4A" w14:textId="77777777" w:rsidR="00352F0C" w:rsidRPr="00A352A4" w:rsidRDefault="00352F0C" w:rsidP="004410EA">
            <w:pPr>
              <w:rPr>
                <w:b/>
              </w:rPr>
            </w:pPr>
            <w:r w:rsidRPr="00A352A4">
              <w:rPr>
                <w:b/>
              </w:rPr>
              <w:t>Software</w:t>
            </w:r>
          </w:p>
        </w:tc>
        <w:tc>
          <w:tcPr>
            <w:tcW w:w="3001" w:type="dxa"/>
          </w:tcPr>
          <w:p w14:paraId="4DA3CC0D" w14:textId="77777777" w:rsidR="00352F0C" w:rsidRPr="00A352A4" w:rsidRDefault="00352F0C" w:rsidP="004410EA">
            <w:pPr>
              <w:rPr>
                <w:b/>
              </w:rPr>
            </w:pPr>
            <w:r w:rsidRPr="00A352A4">
              <w:rPr>
                <w:b/>
              </w:rPr>
              <w:t>Supplier</w:t>
            </w:r>
          </w:p>
        </w:tc>
        <w:tc>
          <w:tcPr>
            <w:tcW w:w="3001" w:type="dxa"/>
          </w:tcPr>
          <w:p w14:paraId="1FD7E318" w14:textId="77777777" w:rsidR="00352F0C" w:rsidRPr="00A352A4" w:rsidRDefault="00352F0C" w:rsidP="004410EA">
            <w:pPr>
              <w:rPr>
                <w:b/>
              </w:rPr>
            </w:pPr>
            <w:r w:rsidRPr="00A352A4">
              <w:rPr>
                <w:b/>
              </w:rPr>
              <w:t>Rationale</w:t>
            </w:r>
          </w:p>
        </w:tc>
      </w:tr>
      <w:tr w:rsidR="00352F0C" w:rsidRPr="00A352A4" w14:paraId="63BEEE25" w14:textId="77777777" w:rsidTr="004410EA">
        <w:tc>
          <w:tcPr>
            <w:tcW w:w="3001" w:type="dxa"/>
          </w:tcPr>
          <w:p w14:paraId="1E6843EC" w14:textId="77777777" w:rsidR="00352F0C" w:rsidRPr="00A352A4" w:rsidRDefault="00352F0C" w:rsidP="004410EA">
            <w:r w:rsidRPr="00A352A4">
              <w:t>GraphPad Prism 8.2.0</w:t>
            </w:r>
          </w:p>
        </w:tc>
        <w:tc>
          <w:tcPr>
            <w:tcW w:w="3001" w:type="dxa"/>
          </w:tcPr>
          <w:p w14:paraId="2102679D" w14:textId="77777777" w:rsidR="00352F0C" w:rsidRPr="00A352A4" w:rsidRDefault="00352F0C" w:rsidP="004410EA">
            <w:r w:rsidRPr="00A352A4">
              <w:t>GraphPad Software, Inc.</w:t>
            </w:r>
          </w:p>
        </w:tc>
        <w:tc>
          <w:tcPr>
            <w:tcW w:w="3001" w:type="dxa"/>
          </w:tcPr>
          <w:p w14:paraId="744DB252" w14:textId="77777777" w:rsidR="00352F0C" w:rsidRPr="00A352A4" w:rsidRDefault="00352F0C" w:rsidP="004410EA">
            <w:r w:rsidRPr="00A352A4">
              <w:t xml:space="preserve">Software for simple statistical analyses and for graphical </w:t>
            </w:r>
            <w:r w:rsidRPr="00A352A4">
              <w:lastRenderedPageBreak/>
              <w:t>representations of data.</w:t>
            </w:r>
          </w:p>
        </w:tc>
      </w:tr>
      <w:tr w:rsidR="00352F0C" w:rsidRPr="00A352A4" w14:paraId="306F647D" w14:textId="77777777" w:rsidTr="004410EA">
        <w:tc>
          <w:tcPr>
            <w:tcW w:w="3001" w:type="dxa"/>
          </w:tcPr>
          <w:p w14:paraId="2EC2F31C" w14:textId="77777777" w:rsidR="00352F0C" w:rsidRPr="00A352A4" w:rsidRDefault="00352F0C" w:rsidP="004410EA">
            <w:proofErr w:type="spellStart"/>
            <w:r w:rsidRPr="00A352A4">
              <w:lastRenderedPageBreak/>
              <w:t>LabChart</w:t>
            </w:r>
            <w:proofErr w:type="spellEnd"/>
            <w:r w:rsidRPr="00A352A4">
              <w:t xml:space="preserve"> 7.3.7.</w:t>
            </w:r>
          </w:p>
        </w:tc>
        <w:tc>
          <w:tcPr>
            <w:tcW w:w="3001" w:type="dxa"/>
          </w:tcPr>
          <w:p w14:paraId="07F541B5" w14:textId="77777777" w:rsidR="00352F0C" w:rsidRPr="00A352A4" w:rsidRDefault="00352F0C" w:rsidP="004410EA">
            <w:proofErr w:type="spellStart"/>
            <w:r w:rsidRPr="00A352A4">
              <w:t>ADInstruments</w:t>
            </w:r>
            <w:proofErr w:type="spellEnd"/>
          </w:p>
        </w:tc>
        <w:tc>
          <w:tcPr>
            <w:tcW w:w="3001" w:type="dxa"/>
          </w:tcPr>
          <w:p w14:paraId="66E669A2" w14:textId="77777777" w:rsidR="00352F0C" w:rsidRPr="00A352A4" w:rsidRDefault="00352F0C" w:rsidP="004410EA">
            <w:r w:rsidRPr="00A352A4">
              <w:t>A platform for multiple recording devices to work together, allowing the acquisition of biological signals from multiple sources simultaneously. Allows for semi-automated analyses of ECGs.</w:t>
            </w:r>
          </w:p>
        </w:tc>
      </w:tr>
      <w:tr w:rsidR="00352F0C" w:rsidRPr="00A352A4" w14:paraId="3B102FDD" w14:textId="77777777" w:rsidTr="004410EA">
        <w:tc>
          <w:tcPr>
            <w:tcW w:w="3001" w:type="dxa"/>
          </w:tcPr>
          <w:p w14:paraId="3C6ED3D2" w14:textId="77777777" w:rsidR="00352F0C" w:rsidRPr="00A352A4" w:rsidRDefault="00352F0C" w:rsidP="004410EA">
            <w:r w:rsidRPr="00A352A4">
              <w:t>Televet ECG software 6.0.0</w:t>
            </w:r>
          </w:p>
        </w:tc>
        <w:tc>
          <w:tcPr>
            <w:tcW w:w="3001" w:type="dxa"/>
          </w:tcPr>
          <w:p w14:paraId="02C0F2EA" w14:textId="77777777" w:rsidR="00352F0C" w:rsidRPr="00A352A4" w:rsidRDefault="00352F0C" w:rsidP="004410EA">
            <w:r w:rsidRPr="00A352A4">
              <w:t>Engel Engineering Services GmbH, Germany</w:t>
            </w:r>
          </w:p>
        </w:tc>
        <w:tc>
          <w:tcPr>
            <w:tcW w:w="3001" w:type="dxa"/>
          </w:tcPr>
          <w:p w14:paraId="3F33A365" w14:textId="77777777" w:rsidR="00352F0C" w:rsidRPr="00A352A4" w:rsidRDefault="00352F0C" w:rsidP="004410EA">
            <w:r w:rsidRPr="00A352A4">
              <w:t>Works with the Televet100 Holter monitor for acquisition of ECGs from conscious pigs.</w:t>
            </w:r>
          </w:p>
        </w:tc>
      </w:tr>
      <w:tr w:rsidR="00352F0C" w:rsidRPr="00A352A4" w14:paraId="0207EDC6" w14:textId="77777777" w:rsidTr="004410EA">
        <w:tc>
          <w:tcPr>
            <w:tcW w:w="3001" w:type="dxa"/>
          </w:tcPr>
          <w:p w14:paraId="7708F76A" w14:textId="77777777" w:rsidR="00352F0C" w:rsidRPr="00A352A4" w:rsidRDefault="00352F0C" w:rsidP="004410EA">
            <w:proofErr w:type="spellStart"/>
            <w:r>
              <w:t>EchoPAC</w:t>
            </w:r>
            <w:proofErr w:type="spellEnd"/>
            <w:r>
              <w:t xml:space="preserve"> software </w:t>
            </w:r>
          </w:p>
        </w:tc>
        <w:tc>
          <w:tcPr>
            <w:tcW w:w="3001" w:type="dxa"/>
          </w:tcPr>
          <w:p w14:paraId="2E089E50" w14:textId="77777777" w:rsidR="00352F0C" w:rsidRPr="00A352A4" w:rsidRDefault="00352F0C" w:rsidP="004410EA">
            <w:r>
              <w:t>GE healthcare, USA</w:t>
            </w:r>
          </w:p>
        </w:tc>
        <w:tc>
          <w:tcPr>
            <w:tcW w:w="3001" w:type="dxa"/>
          </w:tcPr>
          <w:p w14:paraId="1BAE1FD5" w14:textId="77777777" w:rsidR="00352F0C" w:rsidRPr="00A352A4" w:rsidRDefault="00352F0C" w:rsidP="004410EA">
            <w:r>
              <w:t>Software for echocardiographic images analyses</w:t>
            </w:r>
          </w:p>
        </w:tc>
      </w:tr>
    </w:tbl>
    <w:p w14:paraId="05396BAC" w14:textId="77777777" w:rsidR="00352F0C" w:rsidRDefault="00352F0C" w:rsidP="00352F0C">
      <w:pPr>
        <w:rPr>
          <w:rFonts w:cs="Times New Roman"/>
          <w:b/>
          <w:szCs w:val="20"/>
        </w:rPr>
      </w:pPr>
      <w:r w:rsidRPr="00E311D2">
        <w:rPr>
          <w:rFonts w:cs="Times New Roman"/>
          <w:szCs w:val="20"/>
        </w:rPr>
        <w:br/>
      </w:r>
    </w:p>
    <w:p w14:paraId="06E45572" w14:textId="77777777" w:rsidR="00352F0C" w:rsidRPr="00E311D2" w:rsidRDefault="00352F0C" w:rsidP="0044758B">
      <w:pPr>
        <w:pStyle w:val="Heading2"/>
      </w:pPr>
      <w:r w:rsidRPr="00E311D2">
        <w:t>Post-operative treatment</w:t>
      </w:r>
    </w:p>
    <w:p w14:paraId="00AEA41D" w14:textId="77777777" w:rsidR="00352F0C" w:rsidRPr="00E311D2" w:rsidRDefault="00352F0C" w:rsidP="00352F0C">
      <w:pPr>
        <w:rPr>
          <w:rFonts w:cs="Times New Roman"/>
          <w:szCs w:val="20"/>
        </w:rPr>
      </w:pPr>
      <w:r w:rsidRPr="00E311D2">
        <w:rPr>
          <w:rFonts w:cs="Times New Roman"/>
          <w:szCs w:val="20"/>
        </w:rPr>
        <w:t>Postoperative analgesia was accomplished by administration of Meloxicam (Metacam, Boehringer Ingelheim, Germany) 0.5 mg/kg orally (PO) once daily for post-operatory pain. Amoxicillin (</w:t>
      </w:r>
      <w:proofErr w:type="spellStart"/>
      <w:r w:rsidRPr="00E311D2">
        <w:rPr>
          <w:rFonts w:cs="Times New Roman"/>
          <w:szCs w:val="20"/>
        </w:rPr>
        <w:t>Clamoxyl</w:t>
      </w:r>
      <w:proofErr w:type="spellEnd"/>
      <w:r w:rsidRPr="00E311D2">
        <w:rPr>
          <w:rFonts w:cs="Times New Roman"/>
          <w:szCs w:val="20"/>
        </w:rPr>
        <w:t xml:space="preserve"> vet 510 mg/g, </w:t>
      </w:r>
      <w:r w:rsidRPr="00E311D2">
        <w:rPr>
          <w:rFonts w:cs="Times New Roman"/>
          <w:szCs w:val="20"/>
          <w:lang w:val="en-GB"/>
        </w:rPr>
        <w:t>Orion Pharma Animal Health A/S, Copenhagen, DK</w:t>
      </w:r>
      <w:proofErr w:type="gramStart"/>
      <w:r w:rsidRPr="00E311D2">
        <w:rPr>
          <w:rFonts w:cs="Times New Roman"/>
          <w:szCs w:val="20"/>
          <w:lang w:val="en-GB"/>
        </w:rPr>
        <w:t>) ,</w:t>
      </w:r>
      <w:proofErr w:type="gramEnd"/>
      <w:r w:rsidRPr="00E311D2">
        <w:rPr>
          <w:rFonts w:cs="Times New Roman"/>
          <w:szCs w:val="20"/>
        </w:rPr>
        <w:t xml:space="preserve"> p</w:t>
      </w:r>
      <w:proofErr w:type="spellStart"/>
      <w:r w:rsidRPr="00E311D2">
        <w:rPr>
          <w:rFonts w:cs="Times New Roman"/>
          <w:szCs w:val="20"/>
          <w:lang w:val="en-GB"/>
        </w:rPr>
        <w:t>owder</w:t>
      </w:r>
      <w:proofErr w:type="spellEnd"/>
      <w:r w:rsidRPr="00E311D2">
        <w:rPr>
          <w:rFonts w:cs="Times New Roman"/>
          <w:szCs w:val="20"/>
          <w:lang w:val="en-GB"/>
        </w:rPr>
        <w:t xml:space="preserve"> for oral solution, 40 mg/kg PO daily was given for 5 days after implantation</w:t>
      </w:r>
      <w:r w:rsidRPr="00E311D2">
        <w:rPr>
          <w:rFonts w:cs="Times New Roman"/>
          <w:szCs w:val="20"/>
        </w:rPr>
        <w:t xml:space="preserve"> to lower the risk of postoperative infections.</w:t>
      </w:r>
    </w:p>
    <w:p w14:paraId="46DAAF79" w14:textId="77777777" w:rsidR="00352F0C" w:rsidRDefault="00352F0C" w:rsidP="00352F0C">
      <w:pPr>
        <w:spacing w:line="480" w:lineRule="auto"/>
        <w:rPr>
          <w:rFonts w:ascii="Times New Roman" w:hAnsi="Times New Roman" w:cs="Times New Roman"/>
          <w:sz w:val="20"/>
          <w:szCs w:val="20"/>
        </w:rPr>
      </w:pPr>
    </w:p>
    <w:p w14:paraId="73F31016" w14:textId="7BE1FAC1" w:rsidR="0044758B" w:rsidRDefault="0044758B" w:rsidP="0044758B">
      <w:pPr>
        <w:pStyle w:val="Caption"/>
        <w:keepNext/>
      </w:pPr>
      <w:r>
        <w:t>Table 4:</w:t>
      </w:r>
      <w:r>
        <w:tab/>
        <w:t>Cardioplegic solution</w:t>
      </w:r>
    </w:p>
    <w:tbl>
      <w:tblPr>
        <w:tblStyle w:val="TableGrid"/>
        <w:tblW w:w="0" w:type="auto"/>
        <w:tblLook w:val="04A0" w:firstRow="1" w:lastRow="0" w:firstColumn="1" w:lastColumn="0" w:noHBand="0" w:noVBand="1"/>
      </w:tblPr>
      <w:tblGrid>
        <w:gridCol w:w="4923"/>
        <w:gridCol w:w="4931"/>
      </w:tblGrid>
      <w:tr w:rsidR="00352F0C" w:rsidRPr="00A333FE" w14:paraId="5DFD1060" w14:textId="77777777" w:rsidTr="004410EA">
        <w:trPr>
          <w:trHeight w:val="340"/>
        </w:trPr>
        <w:tc>
          <w:tcPr>
            <w:tcW w:w="4923" w:type="dxa"/>
            <w:vAlign w:val="center"/>
          </w:tcPr>
          <w:p w14:paraId="36DF0EED" w14:textId="3017648D" w:rsidR="00352F0C" w:rsidRPr="00E311D2" w:rsidRDefault="0044758B" w:rsidP="004410EA">
            <w:pPr>
              <w:jc w:val="center"/>
              <w:rPr>
                <w:b/>
                <w:szCs w:val="20"/>
              </w:rPr>
            </w:pPr>
            <w:r>
              <w:rPr>
                <w:b/>
                <w:szCs w:val="20"/>
              </w:rPr>
              <w:t>Final</w:t>
            </w:r>
            <w:r w:rsidR="00352F0C" w:rsidRPr="00E311D2">
              <w:rPr>
                <w:b/>
                <w:szCs w:val="20"/>
              </w:rPr>
              <w:t xml:space="preserve"> Solution</w:t>
            </w:r>
          </w:p>
        </w:tc>
        <w:tc>
          <w:tcPr>
            <w:tcW w:w="4931" w:type="dxa"/>
            <w:vAlign w:val="center"/>
          </w:tcPr>
          <w:p w14:paraId="264C73A4" w14:textId="77777777" w:rsidR="00352F0C" w:rsidRPr="00E311D2" w:rsidRDefault="00352F0C" w:rsidP="004410EA">
            <w:pPr>
              <w:jc w:val="center"/>
              <w:rPr>
                <w:b/>
                <w:szCs w:val="20"/>
              </w:rPr>
            </w:pPr>
            <w:r w:rsidRPr="00E311D2">
              <w:rPr>
                <w:b/>
                <w:szCs w:val="20"/>
              </w:rPr>
              <w:t>Total Volume – 2L</w:t>
            </w:r>
          </w:p>
        </w:tc>
      </w:tr>
      <w:tr w:rsidR="00352F0C" w:rsidRPr="00A333FE" w14:paraId="02E1282A" w14:textId="77777777" w:rsidTr="004410EA">
        <w:trPr>
          <w:trHeight w:val="340"/>
        </w:trPr>
        <w:tc>
          <w:tcPr>
            <w:tcW w:w="4923" w:type="dxa"/>
            <w:vAlign w:val="center"/>
          </w:tcPr>
          <w:p w14:paraId="506A1CBF" w14:textId="77777777" w:rsidR="00352F0C" w:rsidRPr="00E311D2" w:rsidRDefault="00352F0C" w:rsidP="004410EA">
            <w:pPr>
              <w:jc w:val="center"/>
              <w:rPr>
                <w:szCs w:val="20"/>
              </w:rPr>
            </w:pPr>
            <w:r w:rsidRPr="00E311D2">
              <w:rPr>
                <w:szCs w:val="20"/>
              </w:rPr>
              <w:t>20x Stock</w:t>
            </w:r>
          </w:p>
        </w:tc>
        <w:tc>
          <w:tcPr>
            <w:tcW w:w="4931" w:type="dxa"/>
            <w:vAlign w:val="center"/>
          </w:tcPr>
          <w:p w14:paraId="11DDBE7B" w14:textId="77777777" w:rsidR="00352F0C" w:rsidRPr="00E311D2" w:rsidRDefault="00352F0C" w:rsidP="004410EA">
            <w:pPr>
              <w:jc w:val="center"/>
              <w:rPr>
                <w:szCs w:val="20"/>
              </w:rPr>
            </w:pPr>
            <w:r w:rsidRPr="00E311D2">
              <w:rPr>
                <w:szCs w:val="20"/>
              </w:rPr>
              <w:t>100mL</w:t>
            </w:r>
          </w:p>
        </w:tc>
      </w:tr>
      <w:tr w:rsidR="00352F0C" w:rsidRPr="00A333FE" w14:paraId="51BE2367" w14:textId="77777777" w:rsidTr="004410EA">
        <w:trPr>
          <w:trHeight w:val="340"/>
        </w:trPr>
        <w:tc>
          <w:tcPr>
            <w:tcW w:w="4923" w:type="dxa"/>
            <w:vAlign w:val="center"/>
          </w:tcPr>
          <w:p w14:paraId="12CE7E92" w14:textId="77777777" w:rsidR="00352F0C" w:rsidRPr="00E311D2" w:rsidRDefault="00352F0C" w:rsidP="004410EA">
            <w:pPr>
              <w:jc w:val="center"/>
              <w:rPr>
                <w:szCs w:val="20"/>
                <w:vertAlign w:val="subscript"/>
              </w:rPr>
            </w:pPr>
            <w:r w:rsidRPr="00E311D2">
              <w:rPr>
                <w:szCs w:val="20"/>
              </w:rPr>
              <w:t>NaHCO</w:t>
            </w:r>
            <w:r w:rsidRPr="00E311D2">
              <w:rPr>
                <w:szCs w:val="20"/>
                <w:vertAlign w:val="subscript"/>
              </w:rPr>
              <w:t>3</w:t>
            </w:r>
          </w:p>
        </w:tc>
        <w:tc>
          <w:tcPr>
            <w:tcW w:w="4931" w:type="dxa"/>
            <w:vAlign w:val="center"/>
          </w:tcPr>
          <w:p w14:paraId="16DA5A12" w14:textId="77777777" w:rsidR="00352F0C" w:rsidRPr="00E311D2" w:rsidRDefault="00352F0C" w:rsidP="004410EA">
            <w:pPr>
              <w:jc w:val="center"/>
              <w:rPr>
                <w:szCs w:val="20"/>
              </w:rPr>
            </w:pPr>
            <w:r w:rsidRPr="00E311D2">
              <w:rPr>
                <w:szCs w:val="20"/>
              </w:rPr>
              <w:t>10mL</w:t>
            </w:r>
          </w:p>
        </w:tc>
      </w:tr>
      <w:tr w:rsidR="00352F0C" w:rsidRPr="00A333FE" w14:paraId="6242727F" w14:textId="77777777" w:rsidTr="004410EA">
        <w:trPr>
          <w:trHeight w:val="340"/>
        </w:trPr>
        <w:tc>
          <w:tcPr>
            <w:tcW w:w="4923" w:type="dxa"/>
            <w:vAlign w:val="center"/>
          </w:tcPr>
          <w:p w14:paraId="06610F79" w14:textId="77777777" w:rsidR="00352F0C" w:rsidRPr="00E311D2" w:rsidRDefault="00352F0C" w:rsidP="004410EA">
            <w:pPr>
              <w:jc w:val="center"/>
              <w:rPr>
                <w:szCs w:val="20"/>
              </w:rPr>
            </w:pPr>
            <w:proofErr w:type="spellStart"/>
            <w:r w:rsidRPr="00E311D2">
              <w:rPr>
                <w:szCs w:val="20"/>
              </w:rPr>
              <w:t>MiliQ</w:t>
            </w:r>
            <w:proofErr w:type="spellEnd"/>
            <w:r w:rsidRPr="00E311D2">
              <w:rPr>
                <w:szCs w:val="20"/>
              </w:rPr>
              <w:t xml:space="preserve"> H</w:t>
            </w:r>
            <w:r w:rsidRPr="00E311D2">
              <w:rPr>
                <w:szCs w:val="20"/>
                <w:vertAlign w:val="subscript"/>
              </w:rPr>
              <w:t>2</w:t>
            </w:r>
            <w:r w:rsidRPr="00E311D2">
              <w:rPr>
                <w:szCs w:val="20"/>
              </w:rPr>
              <w:t>O</w:t>
            </w:r>
          </w:p>
        </w:tc>
        <w:tc>
          <w:tcPr>
            <w:tcW w:w="4931" w:type="dxa"/>
            <w:vAlign w:val="center"/>
          </w:tcPr>
          <w:p w14:paraId="549B3B65" w14:textId="77777777" w:rsidR="00352F0C" w:rsidRPr="00E311D2" w:rsidRDefault="00352F0C" w:rsidP="004410EA">
            <w:pPr>
              <w:jc w:val="center"/>
              <w:rPr>
                <w:szCs w:val="20"/>
              </w:rPr>
            </w:pPr>
            <w:r w:rsidRPr="00E311D2">
              <w:rPr>
                <w:szCs w:val="20"/>
              </w:rPr>
              <w:t>Up to 2000ml</w:t>
            </w:r>
          </w:p>
        </w:tc>
      </w:tr>
    </w:tbl>
    <w:p w14:paraId="2A2F660D" w14:textId="77777777" w:rsidR="00352F0C" w:rsidRPr="00E311D2" w:rsidRDefault="00352F0C" w:rsidP="00352F0C">
      <w:pPr>
        <w:rPr>
          <w:rFonts w:cs="Times New Roman"/>
          <w:b/>
          <w:szCs w:val="20"/>
        </w:rPr>
      </w:pPr>
    </w:p>
    <w:p w14:paraId="4923523F" w14:textId="464C279A" w:rsidR="0044758B" w:rsidRDefault="0044758B" w:rsidP="0044758B">
      <w:pPr>
        <w:pStyle w:val="Caption"/>
        <w:keepNext/>
      </w:pPr>
      <w:r>
        <w:t>Table 5:</w:t>
      </w:r>
      <w:r>
        <w:tab/>
      </w:r>
      <w:r w:rsidRPr="0044758B">
        <w:t>Cardioplegic stock solution (x20)</w:t>
      </w:r>
    </w:p>
    <w:tbl>
      <w:tblPr>
        <w:tblStyle w:val="TableGrid"/>
        <w:tblW w:w="0" w:type="auto"/>
        <w:tblLook w:val="04A0" w:firstRow="1" w:lastRow="0" w:firstColumn="1" w:lastColumn="0" w:noHBand="0" w:noVBand="1"/>
      </w:tblPr>
      <w:tblGrid>
        <w:gridCol w:w="4923"/>
        <w:gridCol w:w="4931"/>
      </w:tblGrid>
      <w:tr w:rsidR="00352F0C" w:rsidRPr="00A333FE" w14:paraId="076A9016" w14:textId="77777777" w:rsidTr="004410EA">
        <w:trPr>
          <w:trHeight w:val="340"/>
        </w:trPr>
        <w:tc>
          <w:tcPr>
            <w:tcW w:w="4923" w:type="dxa"/>
            <w:vAlign w:val="center"/>
          </w:tcPr>
          <w:p w14:paraId="594CB81D" w14:textId="77777777" w:rsidR="00352F0C" w:rsidRPr="00E311D2" w:rsidRDefault="00352F0C" w:rsidP="004410EA">
            <w:pPr>
              <w:jc w:val="center"/>
              <w:rPr>
                <w:b/>
                <w:szCs w:val="20"/>
              </w:rPr>
            </w:pPr>
            <w:r w:rsidRPr="00E311D2">
              <w:rPr>
                <w:b/>
                <w:szCs w:val="20"/>
              </w:rPr>
              <w:t>Stock Solution</w:t>
            </w:r>
          </w:p>
        </w:tc>
        <w:tc>
          <w:tcPr>
            <w:tcW w:w="4931" w:type="dxa"/>
            <w:vAlign w:val="center"/>
          </w:tcPr>
          <w:p w14:paraId="6F400E1E" w14:textId="77777777" w:rsidR="00352F0C" w:rsidRPr="00E311D2" w:rsidRDefault="00352F0C" w:rsidP="004410EA">
            <w:pPr>
              <w:jc w:val="center"/>
              <w:rPr>
                <w:b/>
                <w:szCs w:val="20"/>
              </w:rPr>
            </w:pPr>
            <w:r w:rsidRPr="00E311D2">
              <w:rPr>
                <w:b/>
                <w:szCs w:val="20"/>
              </w:rPr>
              <w:t>Total Volume – 2L</w:t>
            </w:r>
          </w:p>
        </w:tc>
      </w:tr>
      <w:tr w:rsidR="00352F0C" w:rsidRPr="00A333FE" w14:paraId="7F337785" w14:textId="77777777" w:rsidTr="004410EA">
        <w:trPr>
          <w:trHeight w:val="340"/>
        </w:trPr>
        <w:tc>
          <w:tcPr>
            <w:tcW w:w="4923" w:type="dxa"/>
            <w:vAlign w:val="center"/>
          </w:tcPr>
          <w:p w14:paraId="1E2640C9" w14:textId="77777777" w:rsidR="00352F0C" w:rsidRPr="00E311D2" w:rsidRDefault="00352F0C" w:rsidP="004410EA">
            <w:pPr>
              <w:jc w:val="center"/>
              <w:rPr>
                <w:szCs w:val="20"/>
              </w:rPr>
            </w:pPr>
            <w:r w:rsidRPr="00E311D2">
              <w:rPr>
                <w:szCs w:val="20"/>
              </w:rPr>
              <w:t>KCl (2M)</w:t>
            </w:r>
          </w:p>
        </w:tc>
        <w:tc>
          <w:tcPr>
            <w:tcW w:w="4931" w:type="dxa"/>
            <w:vAlign w:val="center"/>
          </w:tcPr>
          <w:p w14:paraId="3C90199D" w14:textId="77777777" w:rsidR="00352F0C" w:rsidRPr="00E311D2" w:rsidRDefault="00352F0C" w:rsidP="004410EA">
            <w:pPr>
              <w:jc w:val="center"/>
              <w:rPr>
                <w:szCs w:val="20"/>
              </w:rPr>
            </w:pPr>
            <w:r w:rsidRPr="00E311D2">
              <w:rPr>
                <w:szCs w:val="20"/>
              </w:rPr>
              <w:t>320mL (320mM)</w:t>
            </w:r>
          </w:p>
        </w:tc>
      </w:tr>
      <w:tr w:rsidR="00352F0C" w:rsidRPr="00A333FE" w14:paraId="76746D82" w14:textId="77777777" w:rsidTr="004410EA">
        <w:trPr>
          <w:trHeight w:val="340"/>
        </w:trPr>
        <w:tc>
          <w:tcPr>
            <w:tcW w:w="4923" w:type="dxa"/>
            <w:vAlign w:val="center"/>
          </w:tcPr>
          <w:p w14:paraId="747D2133" w14:textId="77777777" w:rsidR="00352F0C" w:rsidRPr="00E311D2" w:rsidRDefault="00352F0C" w:rsidP="004410EA">
            <w:pPr>
              <w:jc w:val="center"/>
              <w:rPr>
                <w:szCs w:val="20"/>
              </w:rPr>
            </w:pPr>
            <w:r w:rsidRPr="00E311D2">
              <w:rPr>
                <w:szCs w:val="20"/>
              </w:rPr>
              <w:t>NaCl (4M)</w:t>
            </w:r>
          </w:p>
        </w:tc>
        <w:tc>
          <w:tcPr>
            <w:tcW w:w="4931" w:type="dxa"/>
            <w:vAlign w:val="center"/>
          </w:tcPr>
          <w:p w14:paraId="7F6F9357" w14:textId="77777777" w:rsidR="00352F0C" w:rsidRPr="00E311D2" w:rsidRDefault="00352F0C" w:rsidP="004410EA">
            <w:pPr>
              <w:jc w:val="center"/>
              <w:rPr>
                <w:szCs w:val="20"/>
              </w:rPr>
            </w:pPr>
            <w:r w:rsidRPr="00E311D2">
              <w:rPr>
                <w:szCs w:val="20"/>
              </w:rPr>
              <w:t>1100mL (2200mM)</w:t>
            </w:r>
          </w:p>
        </w:tc>
      </w:tr>
      <w:tr w:rsidR="00352F0C" w:rsidRPr="00A333FE" w14:paraId="2A5DA88F" w14:textId="77777777" w:rsidTr="004410EA">
        <w:trPr>
          <w:trHeight w:val="340"/>
        </w:trPr>
        <w:tc>
          <w:tcPr>
            <w:tcW w:w="4923" w:type="dxa"/>
            <w:vAlign w:val="center"/>
          </w:tcPr>
          <w:p w14:paraId="6B9A0CA2" w14:textId="77777777" w:rsidR="00352F0C" w:rsidRPr="00E311D2" w:rsidRDefault="00352F0C" w:rsidP="004410EA">
            <w:pPr>
              <w:jc w:val="center"/>
              <w:rPr>
                <w:szCs w:val="20"/>
              </w:rPr>
            </w:pPr>
            <w:r w:rsidRPr="00E311D2">
              <w:rPr>
                <w:szCs w:val="20"/>
              </w:rPr>
              <w:t>CaCl</w:t>
            </w:r>
            <w:r w:rsidRPr="00E311D2">
              <w:rPr>
                <w:szCs w:val="20"/>
                <w:vertAlign w:val="subscript"/>
              </w:rPr>
              <w:t>2</w:t>
            </w:r>
            <w:r w:rsidRPr="00E311D2">
              <w:rPr>
                <w:szCs w:val="20"/>
              </w:rPr>
              <w:t xml:space="preserve"> (1M)</w:t>
            </w:r>
          </w:p>
        </w:tc>
        <w:tc>
          <w:tcPr>
            <w:tcW w:w="4931" w:type="dxa"/>
            <w:vAlign w:val="center"/>
          </w:tcPr>
          <w:p w14:paraId="0FE39F29" w14:textId="77777777" w:rsidR="00352F0C" w:rsidRPr="00E311D2" w:rsidRDefault="00352F0C" w:rsidP="004410EA">
            <w:pPr>
              <w:jc w:val="center"/>
              <w:rPr>
                <w:szCs w:val="20"/>
              </w:rPr>
            </w:pPr>
            <w:r w:rsidRPr="00E311D2">
              <w:rPr>
                <w:szCs w:val="20"/>
              </w:rPr>
              <w:t>48mL (24mM)</w:t>
            </w:r>
          </w:p>
        </w:tc>
      </w:tr>
      <w:tr w:rsidR="00352F0C" w:rsidRPr="00A333FE" w14:paraId="1327A025" w14:textId="77777777" w:rsidTr="004410EA">
        <w:trPr>
          <w:trHeight w:val="340"/>
        </w:trPr>
        <w:tc>
          <w:tcPr>
            <w:tcW w:w="4923" w:type="dxa"/>
            <w:vAlign w:val="center"/>
          </w:tcPr>
          <w:p w14:paraId="6618466C" w14:textId="77777777" w:rsidR="00352F0C" w:rsidRPr="00E311D2" w:rsidRDefault="00352F0C" w:rsidP="004410EA">
            <w:pPr>
              <w:jc w:val="center"/>
              <w:rPr>
                <w:szCs w:val="20"/>
              </w:rPr>
            </w:pPr>
            <w:r w:rsidRPr="00E311D2">
              <w:rPr>
                <w:szCs w:val="20"/>
              </w:rPr>
              <w:t>MgCl</w:t>
            </w:r>
            <w:r w:rsidRPr="00E311D2">
              <w:rPr>
                <w:szCs w:val="20"/>
                <w:vertAlign w:val="subscript"/>
              </w:rPr>
              <w:t>2</w:t>
            </w:r>
            <w:r w:rsidRPr="00E311D2">
              <w:rPr>
                <w:szCs w:val="20"/>
              </w:rPr>
              <w:t xml:space="preserve"> (0,1M)</w:t>
            </w:r>
          </w:p>
        </w:tc>
        <w:tc>
          <w:tcPr>
            <w:tcW w:w="4931" w:type="dxa"/>
            <w:vAlign w:val="center"/>
          </w:tcPr>
          <w:p w14:paraId="4C527A38" w14:textId="77777777" w:rsidR="00352F0C" w:rsidRPr="00E311D2" w:rsidRDefault="00352F0C" w:rsidP="004410EA">
            <w:pPr>
              <w:jc w:val="center"/>
              <w:rPr>
                <w:szCs w:val="20"/>
              </w:rPr>
            </w:pPr>
            <w:r w:rsidRPr="00E311D2">
              <w:rPr>
                <w:szCs w:val="20"/>
              </w:rPr>
              <w:t>640mL (320mM)</w:t>
            </w:r>
          </w:p>
        </w:tc>
      </w:tr>
      <w:tr w:rsidR="00352F0C" w:rsidRPr="00A333FE" w14:paraId="67D37FDB" w14:textId="77777777" w:rsidTr="004410EA">
        <w:trPr>
          <w:trHeight w:val="340"/>
        </w:trPr>
        <w:tc>
          <w:tcPr>
            <w:tcW w:w="4923" w:type="dxa"/>
            <w:vAlign w:val="center"/>
          </w:tcPr>
          <w:p w14:paraId="72377132" w14:textId="77777777" w:rsidR="00352F0C" w:rsidRPr="00E311D2" w:rsidRDefault="00352F0C" w:rsidP="004410EA">
            <w:pPr>
              <w:jc w:val="center"/>
              <w:rPr>
                <w:szCs w:val="20"/>
              </w:rPr>
            </w:pPr>
            <w:proofErr w:type="spellStart"/>
            <w:r w:rsidRPr="00E311D2">
              <w:rPr>
                <w:szCs w:val="20"/>
              </w:rPr>
              <w:t>MiliQ</w:t>
            </w:r>
            <w:proofErr w:type="spellEnd"/>
            <w:r w:rsidRPr="00E311D2">
              <w:rPr>
                <w:szCs w:val="20"/>
              </w:rPr>
              <w:t xml:space="preserve"> H</w:t>
            </w:r>
            <w:r w:rsidRPr="00E311D2">
              <w:rPr>
                <w:szCs w:val="20"/>
                <w:vertAlign w:val="subscript"/>
              </w:rPr>
              <w:t>2</w:t>
            </w:r>
            <w:r w:rsidRPr="00E311D2">
              <w:rPr>
                <w:szCs w:val="20"/>
              </w:rPr>
              <w:t>O</w:t>
            </w:r>
          </w:p>
        </w:tc>
        <w:tc>
          <w:tcPr>
            <w:tcW w:w="4931" w:type="dxa"/>
            <w:vAlign w:val="center"/>
          </w:tcPr>
          <w:p w14:paraId="53FE8F7D" w14:textId="77777777" w:rsidR="00352F0C" w:rsidRPr="00E311D2" w:rsidRDefault="00352F0C" w:rsidP="004410EA">
            <w:pPr>
              <w:jc w:val="center"/>
              <w:rPr>
                <w:szCs w:val="20"/>
              </w:rPr>
            </w:pPr>
            <w:r w:rsidRPr="00E311D2">
              <w:rPr>
                <w:szCs w:val="20"/>
              </w:rPr>
              <w:t>Up to 2000ml</w:t>
            </w:r>
          </w:p>
        </w:tc>
      </w:tr>
    </w:tbl>
    <w:p w14:paraId="37DCDF68" w14:textId="77777777" w:rsidR="00352F0C" w:rsidRPr="00F1467C" w:rsidRDefault="00352F0C" w:rsidP="00352F0C">
      <w:pPr>
        <w:rPr>
          <w:rFonts w:ascii="Times New Roman" w:hAnsi="Times New Roman" w:cs="Times New Roman"/>
          <w:sz w:val="20"/>
          <w:szCs w:val="20"/>
        </w:rPr>
      </w:pPr>
    </w:p>
    <w:p w14:paraId="2F73735F" w14:textId="77777777" w:rsidR="00352F0C" w:rsidRDefault="00352F0C" w:rsidP="00352F0C">
      <w:pPr>
        <w:rPr>
          <w:rFonts w:cs="Times New Roman"/>
          <w:b/>
          <w:color w:val="4F81BD" w:themeColor="accent1"/>
          <w:sz w:val="18"/>
          <w:szCs w:val="18"/>
        </w:rPr>
      </w:pPr>
    </w:p>
    <w:p w14:paraId="7B1DCE23" w14:textId="77777777" w:rsidR="00352F0C" w:rsidRDefault="00352F0C" w:rsidP="00352F0C">
      <w:pPr>
        <w:rPr>
          <w:rFonts w:cs="Times New Roman"/>
          <w:b/>
          <w:color w:val="4F81BD" w:themeColor="accent1"/>
          <w:sz w:val="18"/>
          <w:szCs w:val="18"/>
        </w:rPr>
      </w:pPr>
    </w:p>
    <w:p w14:paraId="417A119F" w14:textId="77777777" w:rsidR="00352F0C" w:rsidRDefault="00352F0C" w:rsidP="00352F0C">
      <w:pPr>
        <w:rPr>
          <w:rFonts w:cs="Times New Roman"/>
          <w:b/>
          <w:color w:val="4F81BD" w:themeColor="accent1"/>
          <w:sz w:val="18"/>
          <w:szCs w:val="18"/>
        </w:rPr>
      </w:pPr>
    </w:p>
    <w:p w14:paraId="0302D2D0" w14:textId="77777777" w:rsidR="00352F0C" w:rsidRDefault="00352F0C" w:rsidP="00352F0C">
      <w:pPr>
        <w:rPr>
          <w:rFonts w:cs="Times New Roman"/>
          <w:b/>
          <w:color w:val="4F81BD" w:themeColor="accent1"/>
          <w:sz w:val="18"/>
          <w:szCs w:val="18"/>
        </w:rPr>
      </w:pPr>
    </w:p>
    <w:p w14:paraId="6625A851" w14:textId="77777777" w:rsidR="00352F0C" w:rsidRPr="00A333FE" w:rsidRDefault="00352F0C" w:rsidP="00352F0C">
      <w:pPr>
        <w:rPr>
          <w:rFonts w:eastAsia="Times New Roman" w:cs="Arial"/>
          <w:b/>
          <w:bCs/>
          <w:color w:val="4F81BD" w:themeColor="accent1"/>
          <w:sz w:val="18"/>
          <w:szCs w:val="18"/>
        </w:rPr>
      </w:pPr>
      <w:r w:rsidRPr="00A333FE">
        <w:rPr>
          <w:rFonts w:cs="Times New Roman"/>
          <w:b/>
          <w:color w:val="4F81BD" w:themeColor="accent1"/>
          <w:sz w:val="18"/>
          <w:szCs w:val="18"/>
        </w:rPr>
        <w:t>Table 6: overview of detailed inclusion/exclusion of the pig population in the procedures described in</w:t>
      </w:r>
      <w:r>
        <w:rPr>
          <w:rFonts w:cs="Times New Roman"/>
          <w:b/>
          <w:color w:val="4F81BD" w:themeColor="accent1"/>
          <w:sz w:val="18"/>
          <w:szCs w:val="18"/>
        </w:rPr>
        <w:t xml:space="preserve"> the</w:t>
      </w:r>
      <w:r w:rsidRPr="00A333FE">
        <w:rPr>
          <w:rFonts w:cs="Times New Roman"/>
          <w:b/>
          <w:color w:val="4F81BD" w:themeColor="accent1"/>
          <w:sz w:val="18"/>
          <w:szCs w:val="18"/>
        </w:rPr>
        <w:t xml:space="preserve"> manuscript</w:t>
      </w:r>
    </w:p>
    <w:tbl>
      <w:tblPr>
        <w:tblStyle w:val="MediumList1-Accent1"/>
        <w:tblW w:w="5000" w:type="pct"/>
        <w:tblLayout w:type="fixed"/>
        <w:tblLook w:val="04A0" w:firstRow="1" w:lastRow="0" w:firstColumn="1" w:lastColumn="0" w:noHBand="0" w:noVBand="1"/>
      </w:tblPr>
      <w:tblGrid>
        <w:gridCol w:w="1385"/>
        <w:gridCol w:w="1276"/>
        <w:gridCol w:w="1416"/>
        <w:gridCol w:w="1135"/>
        <w:gridCol w:w="1133"/>
        <w:gridCol w:w="1062"/>
        <w:gridCol w:w="1408"/>
        <w:gridCol w:w="1373"/>
      </w:tblGrid>
      <w:tr w:rsidR="00352F0C" w:rsidRPr="00A333FE" w14:paraId="1CE845F2" w14:textId="77777777" w:rsidTr="004410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DB71094" w14:textId="77777777" w:rsidR="00352F0C" w:rsidRPr="00A333FE" w:rsidRDefault="00352F0C" w:rsidP="004410EA">
            <w:pPr>
              <w:rPr>
                <w:rFonts w:asciiTheme="minorHAnsi" w:eastAsia="Times New Roman" w:hAnsiTheme="minorHAnsi" w:cs="Arial"/>
                <w:bCs w:val="0"/>
                <w:color w:val="auto"/>
                <w:sz w:val="16"/>
                <w:szCs w:val="16"/>
              </w:rPr>
            </w:pPr>
            <w:r w:rsidRPr="00A333FE">
              <w:rPr>
                <w:rFonts w:eastAsia="Times New Roman" w:cs="Arial"/>
                <w:sz w:val="16"/>
                <w:szCs w:val="16"/>
              </w:rPr>
              <w:t>Pig ID</w:t>
            </w:r>
          </w:p>
        </w:tc>
        <w:tc>
          <w:tcPr>
            <w:tcW w:w="626" w:type="pct"/>
            <w:noWrap/>
            <w:hideMark/>
          </w:tcPr>
          <w:p w14:paraId="0303DFDA"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Experimental group</w:t>
            </w:r>
          </w:p>
        </w:tc>
        <w:tc>
          <w:tcPr>
            <w:tcW w:w="695" w:type="pct"/>
            <w:noWrap/>
            <w:hideMark/>
          </w:tcPr>
          <w:p w14:paraId="46AF58C1"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Completed the study</w:t>
            </w:r>
          </w:p>
        </w:tc>
        <w:tc>
          <w:tcPr>
            <w:tcW w:w="557" w:type="pct"/>
            <w:noWrap/>
            <w:hideMark/>
          </w:tcPr>
          <w:p w14:paraId="4FECC48C"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Echo at implant</w:t>
            </w:r>
          </w:p>
        </w:tc>
        <w:tc>
          <w:tcPr>
            <w:tcW w:w="556" w:type="pct"/>
            <w:noWrap/>
            <w:hideMark/>
          </w:tcPr>
          <w:p w14:paraId="493D16EF"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Echo at follow-up</w:t>
            </w:r>
          </w:p>
        </w:tc>
        <w:tc>
          <w:tcPr>
            <w:tcW w:w="521" w:type="pct"/>
            <w:noWrap/>
            <w:hideMark/>
          </w:tcPr>
          <w:p w14:paraId="47A5B421"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Heart Weight/BW</w:t>
            </w:r>
          </w:p>
        </w:tc>
        <w:tc>
          <w:tcPr>
            <w:tcW w:w="691" w:type="pct"/>
            <w:noWrap/>
            <w:hideMark/>
          </w:tcPr>
          <w:p w14:paraId="3AFC1FA5"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Immunohistochemistry</w:t>
            </w:r>
          </w:p>
        </w:tc>
        <w:tc>
          <w:tcPr>
            <w:tcW w:w="674" w:type="pct"/>
            <w:noWrap/>
            <w:hideMark/>
          </w:tcPr>
          <w:p w14:paraId="7556C59E" w14:textId="77777777" w:rsidR="00352F0C" w:rsidRPr="00A333FE" w:rsidRDefault="00352F0C" w:rsidP="00441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auto"/>
                <w:sz w:val="16"/>
                <w:szCs w:val="16"/>
              </w:rPr>
            </w:pPr>
            <w:r w:rsidRPr="00A333FE">
              <w:rPr>
                <w:rFonts w:eastAsia="Times New Roman" w:cs="Arial"/>
                <w:b/>
                <w:bCs/>
                <w:sz w:val="16"/>
                <w:szCs w:val="16"/>
              </w:rPr>
              <w:t>Picrosirius red staining</w:t>
            </w:r>
          </w:p>
        </w:tc>
      </w:tr>
      <w:tr w:rsidR="00352F0C" w:rsidRPr="00A333FE" w14:paraId="39B5C52B"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tcPr>
          <w:p w14:paraId="15D01F05" w14:textId="77777777" w:rsidR="00352F0C" w:rsidRPr="00A333FE" w:rsidRDefault="00352F0C" w:rsidP="004410EA">
            <w:pPr>
              <w:rPr>
                <w:rFonts w:eastAsia="Times New Roman" w:cs="Times New Roman"/>
                <w:color w:val="auto"/>
                <w:highlight w:val="red"/>
              </w:rPr>
            </w:pPr>
            <w:r w:rsidRPr="00A333FE">
              <w:rPr>
                <w:rFonts w:eastAsia="Times New Roman" w:cs="Times New Roman"/>
                <w:highlight w:val="red"/>
              </w:rPr>
              <w:t>274</w:t>
            </w:r>
          </w:p>
        </w:tc>
        <w:tc>
          <w:tcPr>
            <w:tcW w:w="626" w:type="pct"/>
            <w:noWrap/>
          </w:tcPr>
          <w:p w14:paraId="6C42CEF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A-TP</w:t>
            </w:r>
          </w:p>
        </w:tc>
        <w:tc>
          <w:tcPr>
            <w:tcW w:w="695" w:type="pct"/>
            <w:noWrap/>
          </w:tcPr>
          <w:p w14:paraId="5A09E25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c>
          <w:tcPr>
            <w:tcW w:w="557" w:type="pct"/>
            <w:noWrap/>
          </w:tcPr>
          <w:p w14:paraId="483E22D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c>
          <w:tcPr>
            <w:tcW w:w="556" w:type="pct"/>
            <w:noWrap/>
          </w:tcPr>
          <w:p w14:paraId="12CC55A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c>
          <w:tcPr>
            <w:tcW w:w="521" w:type="pct"/>
            <w:noWrap/>
          </w:tcPr>
          <w:p w14:paraId="43FE813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c>
          <w:tcPr>
            <w:tcW w:w="691" w:type="pct"/>
            <w:noWrap/>
          </w:tcPr>
          <w:p w14:paraId="15B018D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c>
          <w:tcPr>
            <w:tcW w:w="674" w:type="pct"/>
            <w:noWrap/>
          </w:tcPr>
          <w:p w14:paraId="1FB68FC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red"/>
              </w:rPr>
            </w:pPr>
            <w:r w:rsidRPr="00A333FE">
              <w:rPr>
                <w:rFonts w:eastAsia="Times New Roman" w:cs="Times New Roman"/>
                <w:highlight w:val="red"/>
              </w:rPr>
              <w:t>NO</w:t>
            </w:r>
          </w:p>
        </w:tc>
      </w:tr>
      <w:tr w:rsidR="00352F0C" w:rsidRPr="00A333FE" w14:paraId="15D18187"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D59C53C"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275 </w:t>
            </w:r>
          </w:p>
        </w:tc>
        <w:tc>
          <w:tcPr>
            <w:tcW w:w="626" w:type="pct"/>
            <w:noWrap/>
            <w:hideMark/>
          </w:tcPr>
          <w:p w14:paraId="47F054A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69EB896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0C039B0D"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015FF8A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59D2B14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02E6BFE4"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695C526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4EE9F73D"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162CF31" w14:textId="77777777" w:rsidR="00352F0C" w:rsidRPr="00A333FE" w:rsidRDefault="00352F0C" w:rsidP="004410EA">
            <w:pPr>
              <w:rPr>
                <w:rFonts w:eastAsia="Times New Roman" w:cs="Times New Roman"/>
                <w:color w:val="000000"/>
                <w:highlight w:val="cyan"/>
              </w:rPr>
            </w:pPr>
            <w:r w:rsidRPr="00A333FE">
              <w:rPr>
                <w:rFonts w:eastAsia="Times New Roman" w:cs="Times New Roman"/>
                <w:color w:val="000000"/>
                <w:highlight w:val="cyan"/>
              </w:rPr>
              <w:t>281</w:t>
            </w:r>
          </w:p>
        </w:tc>
        <w:tc>
          <w:tcPr>
            <w:tcW w:w="626" w:type="pct"/>
            <w:noWrap/>
            <w:hideMark/>
          </w:tcPr>
          <w:p w14:paraId="66B358A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A-TP</w:t>
            </w:r>
          </w:p>
        </w:tc>
        <w:tc>
          <w:tcPr>
            <w:tcW w:w="695" w:type="pct"/>
            <w:noWrap/>
            <w:hideMark/>
          </w:tcPr>
          <w:p w14:paraId="095CCDF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557" w:type="pct"/>
            <w:noWrap/>
            <w:hideMark/>
          </w:tcPr>
          <w:p w14:paraId="4855772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556" w:type="pct"/>
            <w:noWrap/>
            <w:hideMark/>
          </w:tcPr>
          <w:p w14:paraId="11C8325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521" w:type="pct"/>
            <w:noWrap/>
            <w:hideMark/>
          </w:tcPr>
          <w:p w14:paraId="4840D98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691" w:type="pct"/>
            <w:noWrap/>
            <w:hideMark/>
          </w:tcPr>
          <w:p w14:paraId="7AE6BFC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674" w:type="pct"/>
            <w:noWrap/>
            <w:hideMark/>
          </w:tcPr>
          <w:p w14:paraId="0159038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r>
      <w:tr w:rsidR="00352F0C" w:rsidRPr="00A333FE" w14:paraId="30D1C00E"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0BEAFCA" w14:textId="77777777" w:rsidR="00352F0C" w:rsidRPr="00A333FE" w:rsidRDefault="00352F0C" w:rsidP="004410EA">
            <w:pPr>
              <w:rPr>
                <w:rFonts w:eastAsia="Times New Roman" w:cs="Times New Roman"/>
                <w:color w:val="000000"/>
                <w:highlight w:val="red"/>
              </w:rPr>
            </w:pPr>
            <w:r w:rsidRPr="00A333FE">
              <w:rPr>
                <w:rFonts w:eastAsia="Times New Roman" w:cs="Times New Roman"/>
                <w:color w:val="000000"/>
                <w:highlight w:val="red"/>
              </w:rPr>
              <w:t xml:space="preserve">105 </w:t>
            </w:r>
          </w:p>
        </w:tc>
        <w:tc>
          <w:tcPr>
            <w:tcW w:w="626" w:type="pct"/>
            <w:tcBorders>
              <w:bottom w:val="nil"/>
            </w:tcBorders>
            <w:noWrap/>
            <w:hideMark/>
          </w:tcPr>
          <w:p w14:paraId="2E6A820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A-TP</w:t>
            </w:r>
          </w:p>
        </w:tc>
        <w:tc>
          <w:tcPr>
            <w:tcW w:w="695" w:type="pct"/>
            <w:tcBorders>
              <w:bottom w:val="nil"/>
            </w:tcBorders>
            <w:noWrap/>
            <w:hideMark/>
          </w:tcPr>
          <w:p w14:paraId="470BB98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57" w:type="pct"/>
            <w:tcBorders>
              <w:bottom w:val="nil"/>
            </w:tcBorders>
            <w:noWrap/>
            <w:hideMark/>
          </w:tcPr>
          <w:p w14:paraId="27D9A46F"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56" w:type="pct"/>
            <w:tcBorders>
              <w:bottom w:val="nil"/>
            </w:tcBorders>
            <w:noWrap/>
            <w:hideMark/>
          </w:tcPr>
          <w:p w14:paraId="6386087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21" w:type="pct"/>
            <w:tcBorders>
              <w:bottom w:val="nil"/>
            </w:tcBorders>
            <w:noWrap/>
            <w:hideMark/>
          </w:tcPr>
          <w:p w14:paraId="27FEDA4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691" w:type="pct"/>
            <w:tcBorders>
              <w:bottom w:val="nil"/>
            </w:tcBorders>
            <w:noWrap/>
            <w:hideMark/>
          </w:tcPr>
          <w:p w14:paraId="7707A51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674" w:type="pct"/>
            <w:tcBorders>
              <w:bottom w:val="nil"/>
            </w:tcBorders>
            <w:noWrap/>
            <w:hideMark/>
          </w:tcPr>
          <w:p w14:paraId="7B56178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r>
      <w:tr w:rsidR="00352F0C" w:rsidRPr="00A333FE" w14:paraId="4BE23309"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tcPr>
          <w:p w14:paraId="79C1B877" w14:textId="77777777" w:rsidR="00352F0C" w:rsidRPr="00A333FE" w:rsidRDefault="00352F0C" w:rsidP="004410EA">
            <w:r w:rsidRPr="00A333FE">
              <w:rPr>
                <w:highlight w:val="red"/>
              </w:rPr>
              <w:t>319</w:t>
            </w:r>
            <w:r w:rsidRPr="00A333FE">
              <w:t xml:space="preserve"> </w:t>
            </w:r>
          </w:p>
        </w:tc>
        <w:tc>
          <w:tcPr>
            <w:tcW w:w="626" w:type="pct"/>
            <w:tcBorders>
              <w:top w:val="nil"/>
              <w:bottom w:val="nil"/>
            </w:tcBorders>
            <w:noWrap/>
          </w:tcPr>
          <w:p w14:paraId="17CEB63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A-TP</w:t>
            </w:r>
          </w:p>
        </w:tc>
        <w:tc>
          <w:tcPr>
            <w:tcW w:w="695" w:type="pct"/>
            <w:tcBorders>
              <w:top w:val="nil"/>
              <w:bottom w:val="nil"/>
            </w:tcBorders>
            <w:noWrap/>
          </w:tcPr>
          <w:p w14:paraId="70309DD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c>
          <w:tcPr>
            <w:tcW w:w="557" w:type="pct"/>
            <w:tcBorders>
              <w:top w:val="nil"/>
              <w:bottom w:val="nil"/>
            </w:tcBorders>
            <w:noWrap/>
          </w:tcPr>
          <w:p w14:paraId="1425113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c>
          <w:tcPr>
            <w:tcW w:w="556" w:type="pct"/>
            <w:tcBorders>
              <w:top w:val="nil"/>
              <w:bottom w:val="nil"/>
            </w:tcBorders>
            <w:noWrap/>
          </w:tcPr>
          <w:p w14:paraId="6D12FEA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c>
          <w:tcPr>
            <w:tcW w:w="521" w:type="pct"/>
            <w:tcBorders>
              <w:top w:val="nil"/>
              <w:bottom w:val="nil"/>
            </w:tcBorders>
            <w:noWrap/>
          </w:tcPr>
          <w:p w14:paraId="0CBFBD3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c>
          <w:tcPr>
            <w:tcW w:w="691" w:type="pct"/>
            <w:tcBorders>
              <w:top w:val="nil"/>
              <w:bottom w:val="nil"/>
            </w:tcBorders>
            <w:noWrap/>
          </w:tcPr>
          <w:p w14:paraId="32CB70C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c>
          <w:tcPr>
            <w:tcW w:w="674" w:type="pct"/>
            <w:tcBorders>
              <w:top w:val="nil"/>
              <w:bottom w:val="nil"/>
            </w:tcBorders>
            <w:noWrap/>
          </w:tcPr>
          <w:p w14:paraId="41B15A4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highlight w:val="red"/>
              </w:rPr>
            </w:pPr>
            <w:r w:rsidRPr="00A333FE">
              <w:rPr>
                <w:highlight w:val="red"/>
              </w:rPr>
              <w:t>NO</w:t>
            </w:r>
          </w:p>
        </w:tc>
      </w:tr>
      <w:tr w:rsidR="00352F0C" w:rsidRPr="00A333FE" w14:paraId="353FFCA6"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3FCCABCC" w14:textId="77777777" w:rsidR="00352F0C" w:rsidRPr="00A333FE" w:rsidRDefault="00352F0C" w:rsidP="004410EA">
            <w:pPr>
              <w:rPr>
                <w:rFonts w:eastAsia="Times New Roman" w:cs="Times New Roman"/>
                <w:color w:val="000000"/>
                <w:highlight w:val="cyan"/>
              </w:rPr>
            </w:pPr>
            <w:r w:rsidRPr="00A333FE">
              <w:rPr>
                <w:rFonts w:eastAsia="Times New Roman" w:cs="Times New Roman"/>
                <w:color w:val="000000"/>
                <w:highlight w:val="cyan"/>
              </w:rPr>
              <w:t xml:space="preserve">381 </w:t>
            </w:r>
          </w:p>
        </w:tc>
        <w:tc>
          <w:tcPr>
            <w:tcW w:w="626" w:type="pct"/>
            <w:tcBorders>
              <w:top w:val="nil"/>
            </w:tcBorders>
            <w:noWrap/>
            <w:hideMark/>
          </w:tcPr>
          <w:p w14:paraId="29E78E8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A-TP</w:t>
            </w:r>
          </w:p>
        </w:tc>
        <w:tc>
          <w:tcPr>
            <w:tcW w:w="695" w:type="pct"/>
            <w:tcBorders>
              <w:top w:val="nil"/>
            </w:tcBorders>
            <w:noWrap/>
            <w:hideMark/>
          </w:tcPr>
          <w:p w14:paraId="335457BE"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557" w:type="pct"/>
            <w:tcBorders>
              <w:top w:val="nil"/>
            </w:tcBorders>
            <w:noWrap/>
            <w:hideMark/>
          </w:tcPr>
          <w:p w14:paraId="45B6E76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556" w:type="pct"/>
            <w:tcBorders>
              <w:top w:val="nil"/>
            </w:tcBorders>
            <w:noWrap/>
            <w:hideMark/>
          </w:tcPr>
          <w:p w14:paraId="14D8D415"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NO</w:t>
            </w:r>
          </w:p>
        </w:tc>
        <w:tc>
          <w:tcPr>
            <w:tcW w:w="521" w:type="pct"/>
            <w:tcBorders>
              <w:top w:val="nil"/>
            </w:tcBorders>
            <w:noWrap/>
            <w:hideMark/>
          </w:tcPr>
          <w:p w14:paraId="5D4CE5C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691" w:type="pct"/>
            <w:tcBorders>
              <w:top w:val="nil"/>
            </w:tcBorders>
            <w:noWrap/>
            <w:hideMark/>
          </w:tcPr>
          <w:p w14:paraId="6A18977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674" w:type="pct"/>
            <w:tcBorders>
              <w:top w:val="nil"/>
            </w:tcBorders>
            <w:noWrap/>
            <w:hideMark/>
          </w:tcPr>
          <w:p w14:paraId="4C781164"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r>
      <w:tr w:rsidR="00352F0C" w:rsidRPr="00A333FE" w14:paraId="0CD44B92"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2CC458B" w14:textId="77777777" w:rsidR="00352F0C" w:rsidRPr="00A333FE" w:rsidRDefault="00352F0C" w:rsidP="004410EA">
            <w:pPr>
              <w:rPr>
                <w:rFonts w:eastAsia="Times New Roman" w:cs="Times New Roman"/>
                <w:color w:val="000000"/>
                <w:highlight w:val="cyan"/>
              </w:rPr>
            </w:pPr>
            <w:r w:rsidRPr="00A333FE">
              <w:rPr>
                <w:rFonts w:eastAsia="Times New Roman" w:cs="Times New Roman"/>
                <w:color w:val="000000"/>
                <w:highlight w:val="cyan"/>
              </w:rPr>
              <w:t xml:space="preserve">382 </w:t>
            </w:r>
          </w:p>
        </w:tc>
        <w:tc>
          <w:tcPr>
            <w:tcW w:w="626" w:type="pct"/>
            <w:noWrap/>
            <w:hideMark/>
          </w:tcPr>
          <w:p w14:paraId="2194CC2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A-TP</w:t>
            </w:r>
          </w:p>
        </w:tc>
        <w:tc>
          <w:tcPr>
            <w:tcW w:w="695" w:type="pct"/>
            <w:noWrap/>
            <w:hideMark/>
          </w:tcPr>
          <w:p w14:paraId="6468A1F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557" w:type="pct"/>
            <w:noWrap/>
            <w:hideMark/>
          </w:tcPr>
          <w:p w14:paraId="1D19C07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556" w:type="pct"/>
            <w:noWrap/>
            <w:hideMark/>
          </w:tcPr>
          <w:p w14:paraId="7FF88EBB"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521" w:type="pct"/>
            <w:noWrap/>
            <w:hideMark/>
          </w:tcPr>
          <w:p w14:paraId="7D889A69"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691" w:type="pct"/>
            <w:noWrap/>
            <w:hideMark/>
          </w:tcPr>
          <w:p w14:paraId="7C989F5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c>
          <w:tcPr>
            <w:tcW w:w="674" w:type="pct"/>
            <w:noWrap/>
            <w:hideMark/>
          </w:tcPr>
          <w:p w14:paraId="062677F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cyan"/>
              </w:rPr>
            </w:pPr>
            <w:r w:rsidRPr="00A333FE">
              <w:rPr>
                <w:rFonts w:eastAsia="Times New Roman" w:cs="Times New Roman"/>
                <w:color w:val="000000"/>
                <w:highlight w:val="cyan"/>
              </w:rPr>
              <w:t>YES</w:t>
            </w:r>
          </w:p>
        </w:tc>
      </w:tr>
      <w:tr w:rsidR="00352F0C" w:rsidRPr="00A333FE" w14:paraId="396EAF3E"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763CC8C"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283 </w:t>
            </w:r>
          </w:p>
        </w:tc>
        <w:tc>
          <w:tcPr>
            <w:tcW w:w="626" w:type="pct"/>
            <w:noWrap/>
            <w:hideMark/>
          </w:tcPr>
          <w:p w14:paraId="5AAAECA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6A459BAE"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0B725A5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3CFFDC2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3EAD67E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1D7821C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24B4716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34402316"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645B3EA"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303 </w:t>
            </w:r>
          </w:p>
        </w:tc>
        <w:tc>
          <w:tcPr>
            <w:tcW w:w="626" w:type="pct"/>
            <w:noWrap/>
            <w:hideMark/>
          </w:tcPr>
          <w:p w14:paraId="1B140269"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69AD26E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2BB0F1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4D3EB9A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7A64FC6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0F33F93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57ECD8A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3541EBEC"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B8EC11C"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304 </w:t>
            </w:r>
          </w:p>
        </w:tc>
        <w:tc>
          <w:tcPr>
            <w:tcW w:w="626" w:type="pct"/>
            <w:noWrap/>
            <w:hideMark/>
          </w:tcPr>
          <w:p w14:paraId="4E9318E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7C2F259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7C108BD"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0379053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54C9DE8E"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5F6BC3AD"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443EB8B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7A1C1CB3"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3D049E97"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380 </w:t>
            </w:r>
          </w:p>
        </w:tc>
        <w:tc>
          <w:tcPr>
            <w:tcW w:w="626" w:type="pct"/>
            <w:noWrap/>
            <w:hideMark/>
          </w:tcPr>
          <w:p w14:paraId="7544E93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6FB48F9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7CF58A2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72C2664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26DA260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19F1C6F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6B6AC53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6D5D3C49"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38603E1"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406 </w:t>
            </w:r>
          </w:p>
        </w:tc>
        <w:tc>
          <w:tcPr>
            <w:tcW w:w="626" w:type="pct"/>
            <w:noWrap/>
            <w:hideMark/>
          </w:tcPr>
          <w:p w14:paraId="674F842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708E064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1394263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358AE40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2C5A7E1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26A31B6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5A5E43D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3E6D60EB"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CDEAAAA"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146 </w:t>
            </w:r>
          </w:p>
        </w:tc>
        <w:tc>
          <w:tcPr>
            <w:tcW w:w="626" w:type="pct"/>
            <w:noWrap/>
            <w:hideMark/>
          </w:tcPr>
          <w:p w14:paraId="7546163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1CCE5F39"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427C64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74EE70F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7A700E5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37E3076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1B9F041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7054D1A4"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52BDA70"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147 </w:t>
            </w:r>
          </w:p>
        </w:tc>
        <w:tc>
          <w:tcPr>
            <w:tcW w:w="626" w:type="pct"/>
            <w:noWrap/>
            <w:hideMark/>
          </w:tcPr>
          <w:p w14:paraId="7E679D9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A-TP</w:t>
            </w:r>
          </w:p>
        </w:tc>
        <w:tc>
          <w:tcPr>
            <w:tcW w:w="695" w:type="pct"/>
            <w:noWrap/>
            <w:hideMark/>
          </w:tcPr>
          <w:p w14:paraId="68160F8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15DE41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7A04157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09B8E255"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14CF97D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7B00FF7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59B3A004"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0FB6BF4"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2 </w:t>
            </w:r>
          </w:p>
        </w:tc>
        <w:tc>
          <w:tcPr>
            <w:tcW w:w="626" w:type="pct"/>
            <w:noWrap/>
            <w:hideMark/>
          </w:tcPr>
          <w:p w14:paraId="48692E5B"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0624342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5F25C7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2DD325D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185E86D0"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7D66A2C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657F24C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012D5BB3"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B0EA799"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8 </w:t>
            </w:r>
          </w:p>
        </w:tc>
        <w:tc>
          <w:tcPr>
            <w:tcW w:w="626" w:type="pct"/>
            <w:noWrap/>
            <w:hideMark/>
          </w:tcPr>
          <w:p w14:paraId="5C4072DF"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2F83AA2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69229B0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6FA1B8E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2A40391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7CDAC48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6FB1559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2F9F8805"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4238D69" w14:textId="77777777" w:rsidR="00352F0C" w:rsidRPr="00A333FE" w:rsidRDefault="00352F0C" w:rsidP="004410EA">
            <w:pPr>
              <w:rPr>
                <w:rFonts w:eastAsia="Times New Roman" w:cs="Times New Roman"/>
                <w:color w:val="000000"/>
                <w:highlight w:val="yellow"/>
              </w:rPr>
            </w:pPr>
            <w:r w:rsidRPr="00A333FE">
              <w:rPr>
                <w:rFonts w:eastAsia="Times New Roman" w:cs="Times New Roman"/>
                <w:color w:val="000000"/>
                <w:highlight w:val="yellow"/>
              </w:rPr>
              <w:t xml:space="preserve">407 </w:t>
            </w:r>
          </w:p>
        </w:tc>
        <w:tc>
          <w:tcPr>
            <w:tcW w:w="626" w:type="pct"/>
            <w:noWrap/>
            <w:hideMark/>
          </w:tcPr>
          <w:p w14:paraId="22F4D58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 xml:space="preserve">SHAM </w:t>
            </w:r>
          </w:p>
        </w:tc>
        <w:tc>
          <w:tcPr>
            <w:tcW w:w="695" w:type="pct"/>
            <w:noWrap/>
            <w:hideMark/>
          </w:tcPr>
          <w:p w14:paraId="25AF8B6F"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YES</w:t>
            </w:r>
          </w:p>
        </w:tc>
        <w:tc>
          <w:tcPr>
            <w:tcW w:w="557" w:type="pct"/>
            <w:noWrap/>
            <w:hideMark/>
          </w:tcPr>
          <w:p w14:paraId="5A84E56F"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NO</w:t>
            </w:r>
          </w:p>
        </w:tc>
        <w:tc>
          <w:tcPr>
            <w:tcW w:w="556" w:type="pct"/>
            <w:noWrap/>
            <w:hideMark/>
          </w:tcPr>
          <w:p w14:paraId="3762B16F"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NO</w:t>
            </w:r>
          </w:p>
        </w:tc>
        <w:tc>
          <w:tcPr>
            <w:tcW w:w="521" w:type="pct"/>
            <w:noWrap/>
            <w:hideMark/>
          </w:tcPr>
          <w:p w14:paraId="603DCE8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NO</w:t>
            </w:r>
          </w:p>
        </w:tc>
        <w:tc>
          <w:tcPr>
            <w:tcW w:w="691" w:type="pct"/>
            <w:noWrap/>
            <w:hideMark/>
          </w:tcPr>
          <w:p w14:paraId="3E2A189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NO</w:t>
            </w:r>
          </w:p>
        </w:tc>
        <w:tc>
          <w:tcPr>
            <w:tcW w:w="674" w:type="pct"/>
            <w:noWrap/>
            <w:hideMark/>
          </w:tcPr>
          <w:p w14:paraId="6FFF48F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yellow"/>
              </w:rPr>
            </w:pPr>
            <w:r w:rsidRPr="00A333FE">
              <w:rPr>
                <w:rFonts w:eastAsia="Times New Roman" w:cs="Times New Roman"/>
                <w:color w:val="000000"/>
                <w:highlight w:val="yellow"/>
              </w:rPr>
              <w:t>NO</w:t>
            </w:r>
          </w:p>
        </w:tc>
      </w:tr>
      <w:tr w:rsidR="00352F0C" w:rsidRPr="00A333FE" w14:paraId="01332897"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632028F" w14:textId="77777777" w:rsidR="00352F0C" w:rsidRPr="00A333FE" w:rsidRDefault="00352F0C" w:rsidP="004410EA">
            <w:pPr>
              <w:rPr>
                <w:rFonts w:eastAsia="Times New Roman" w:cs="Times New Roman"/>
                <w:color w:val="000000"/>
                <w:highlight w:val="red"/>
              </w:rPr>
            </w:pPr>
            <w:r w:rsidRPr="00A333FE">
              <w:rPr>
                <w:rFonts w:eastAsia="Times New Roman" w:cs="Times New Roman"/>
                <w:color w:val="000000"/>
                <w:highlight w:val="red"/>
              </w:rPr>
              <w:t>1(17)</w:t>
            </w:r>
          </w:p>
        </w:tc>
        <w:tc>
          <w:tcPr>
            <w:tcW w:w="626" w:type="pct"/>
            <w:noWrap/>
            <w:hideMark/>
          </w:tcPr>
          <w:p w14:paraId="1798DA2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 xml:space="preserve">SHAM </w:t>
            </w:r>
          </w:p>
        </w:tc>
        <w:tc>
          <w:tcPr>
            <w:tcW w:w="695" w:type="pct"/>
            <w:noWrap/>
            <w:hideMark/>
          </w:tcPr>
          <w:p w14:paraId="5DF5D87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57" w:type="pct"/>
            <w:noWrap/>
            <w:hideMark/>
          </w:tcPr>
          <w:p w14:paraId="3B7E465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56" w:type="pct"/>
            <w:noWrap/>
            <w:hideMark/>
          </w:tcPr>
          <w:p w14:paraId="765C594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521" w:type="pct"/>
            <w:noWrap/>
            <w:hideMark/>
          </w:tcPr>
          <w:p w14:paraId="4FDA006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691" w:type="pct"/>
            <w:noWrap/>
            <w:hideMark/>
          </w:tcPr>
          <w:p w14:paraId="794EB3A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c>
          <w:tcPr>
            <w:tcW w:w="674" w:type="pct"/>
            <w:noWrap/>
            <w:hideMark/>
          </w:tcPr>
          <w:p w14:paraId="5B4F030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highlight w:val="red"/>
              </w:rPr>
              <w:t>NO</w:t>
            </w:r>
          </w:p>
        </w:tc>
      </w:tr>
      <w:tr w:rsidR="00352F0C" w:rsidRPr="00A333FE" w14:paraId="3C02ED9E"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2A8D990" w14:textId="77777777" w:rsidR="00352F0C" w:rsidRPr="00A333FE" w:rsidRDefault="00352F0C" w:rsidP="004410EA">
            <w:pPr>
              <w:rPr>
                <w:rFonts w:eastAsia="Times New Roman" w:cs="Times New Roman"/>
                <w:color w:val="000000"/>
                <w:highlight w:val="red"/>
              </w:rPr>
            </w:pPr>
            <w:r w:rsidRPr="00A333FE">
              <w:rPr>
                <w:rFonts w:eastAsia="Times New Roman" w:cs="Times New Roman"/>
                <w:color w:val="000000"/>
              </w:rPr>
              <w:t xml:space="preserve">141 </w:t>
            </w:r>
          </w:p>
        </w:tc>
        <w:tc>
          <w:tcPr>
            <w:tcW w:w="626" w:type="pct"/>
            <w:noWrap/>
            <w:hideMark/>
          </w:tcPr>
          <w:p w14:paraId="42AF1F5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 xml:space="preserve">SHAM </w:t>
            </w:r>
          </w:p>
        </w:tc>
        <w:tc>
          <w:tcPr>
            <w:tcW w:w="695" w:type="pct"/>
            <w:noWrap/>
            <w:hideMark/>
          </w:tcPr>
          <w:p w14:paraId="53520A29"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c>
          <w:tcPr>
            <w:tcW w:w="557" w:type="pct"/>
            <w:noWrap/>
            <w:hideMark/>
          </w:tcPr>
          <w:p w14:paraId="0D5C95DF"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c>
          <w:tcPr>
            <w:tcW w:w="556" w:type="pct"/>
            <w:noWrap/>
            <w:hideMark/>
          </w:tcPr>
          <w:p w14:paraId="33EE50B9"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c>
          <w:tcPr>
            <w:tcW w:w="521" w:type="pct"/>
            <w:noWrap/>
            <w:hideMark/>
          </w:tcPr>
          <w:p w14:paraId="589B9256"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c>
          <w:tcPr>
            <w:tcW w:w="691" w:type="pct"/>
            <w:noWrap/>
            <w:hideMark/>
          </w:tcPr>
          <w:p w14:paraId="6349D1D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c>
          <w:tcPr>
            <w:tcW w:w="674" w:type="pct"/>
            <w:noWrap/>
            <w:hideMark/>
          </w:tcPr>
          <w:p w14:paraId="22052FA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highlight w:val="red"/>
              </w:rPr>
            </w:pPr>
            <w:r w:rsidRPr="00A333FE">
              <w:rPr>
                <w:rFonts w:eastAsia="Times New Roman" w:cs="Times New Roman"/>
                <w:color w:val="000000"/>
              </w:rPr>
              <w:t>YES</w:t>
            </w:r>
          </w:p>
        </w:tc>
      </w:tr>
      <w:tr w:rsidR="00352F0C" w:rsidRPr="00A333FE" w14:paraId="4E821BE3"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762A435"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142 </w:t>
            </w:r>
          </w:p>
        </w:tc>
        <w:tc>
          <w:tcPr>
            <w:tcW w:w="626" w:type="pct"/>
            <w:noWrap/>
            <w:hideMark/>
          </w:tcPr>
          <w:p w14:paraId="7E426EF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55A851F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355D9FB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63C401C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7185C74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343BA6C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6F7AA11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020F2D61"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074A01D"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153 </w:t>
            </w:r>
          </w:p>
        </w:tc>
        <w:tc>
          <w:tcPr>
            <w:tcW w:w="626" w:type="pct"/>
            <w:noWrap/>
            <w:hideMark/>
          </w:tcPr>
          <w:p w14:paraId="452F71C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482C688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6AB22A2D"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5008F03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01F44F17"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148AE86B"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30031A2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36F5CA63"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B4C823C"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189 </w:t>
            </w:r>
          </w:p>
        </w:tc>
        <w:tc>
          <w:tcPr>
            <w:tcW w:w="626" w:type="pct"/>
            <w:noWrap/>
            <w:hideMark/>
          </w:tcPr>
          <w:p w14:paraId="612D00C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1683BFFE"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576923C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778D6A9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073F2E0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1DD47551"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7AA56A8E"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04E7E9B2"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E621B19"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190 </w:t>
            </w:r>
          </w:p>
        </w:tc>
        <w:tc>
          <w:tcPr>
            <w:tcW w:w="626" w:type="pct"/>
            <w:noWrap/>
            <w:hideMark/>
          </w:tcPr>
          <w:p w14:paraId="64B64D7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40C6E80F"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29C15DC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7A370BA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2CC6211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47F138A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0C17B78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64F72F91"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FFD019E"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191 </w:t>
            </w:r>
          </w:p>
        </w:tc>
        <w:tc>
          <w:tcPr>
            <w:tcW w:w="626" w:type="pct"/>
            <w:noWrap/>
            <w:hideMark/>
          </w:tcPr>
          <w:p w14:paraId="3833EDD4"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3B37B947"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63CBBBC5"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19EF72C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1211DEBC"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529A818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74" w:type="pct"/>
            <w:noWrap/>
            <w:hideMark/>
          </w:tcPr>
          <w:p w14:paraId="0C66F5FA"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r>
      <w:tr w:rsidR="00352F0C" w:rsidRPr="00A333FE" w14:paraId="3847E31A"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9E8ACE8"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1(18) </w:t>
            </w:r>
          </w:p>
        </w:tc>
        <w:tc>
          <w:tcPr>
            <w:tcW w:w="626" w:type="pct"/>
            <w:noWrap/>
            <w:hideMark/>
          </w:tcPr>
          <w:p w14:paraId="6E3E3B50"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64764FC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29DFEF9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0EF773B0"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461DD5C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019EAE3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3F8DA6E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3932416E"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38E027D3"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33 </w:t>
            </w:r>
          </w:p>
        </w:tc>
        <w:tc>
          <w:tcPr>
            <w:tcW w:w="626" w:type="pct"/>
            <w:noWrap/>
            <w:hideMark/>
          </w:tcPr>
          <w:p w14:paraId="0A649928"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50543C4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4A99DBE4"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0B95A115"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065161A6"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7B1BC790"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73C3CA3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16C63882"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804E683"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34 </w:t>
            </w:r>
          </w:p>
        </w:tc>
        <w:tc>
          <w:tcPr>
            <w:tcW w:w="626" w:type="pct"/>
            <w:noWrap/>
            <w:hideMark/>
          </w:tcPr>
          <w:p w14:paraId="4F0C095A"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1BCFB2C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0A09C05B"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556" w:type="pct"/>
            <w:noWrap/>
            <w:hideMark/>
          </w:tcPr>
          <w:p w14:paraId="33250A8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2F126C2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70CB34E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3EBA93D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785A29FC" w14:textId="77777777" w:rsidTr="004410EA">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D729CCE"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 xml:space="preserve">99 </w:t>
            </w:r>
          </w:p>
        </w:tc>
        <w:tc>
          <w:tcPr>
            <w:tcW w:w="626" w:type="pct"/>
            <w:noWrap/>
            <w:hideMark/>
          </w:tcPr>
          <w:p w14:paraId="40F672E9"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 xml:space="preserve">SHAM </w:t>
            </w:r>
          </w:p>
        </w:tc>
        <w:tc>
          <w:tcPr>
            <w:tcW w:w="695" w:type="pct"/>
            <w:noWrap/>
            <w:hideMark/>
          </w:tcPr>
          <w:p w14:paraId="49A339F3"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7" w:type="pct"/>
            <w:noWrap/>
            <w:hideMark/>
          </w:tcPr>
          <w:p w14:paraId="15F2E8EF"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56" w:type="pct"/>
            <w:noWrap/>
            <w:hideMark/>
          </w:tcPr>
          <w:p w14:paraId="22DEE182"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521" w:type="pct"/>
            <w:noWrap/>
            <w:hideMark/>
          </w:tcPr>
          <w:p w14:paraId="5B7DF30B"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YES</w:t>
            </w:r>
          </w:p>
        </w:tc>
        <w:tc>
          <w:tcPr>
            <w:tcW w:w="691" w:type="pct"/>
            <w:noWrap/>
            <w:hideMark/>
          </w:tcPr>
          <w:p w14:paraId="09E1DD64"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c>
          <w:tcPr>
            <w:tcW w:w="674" w:type="pct"/>
            <w:noWrap/>
            <w:hideMark/>
          </w:tcPr>
          <w:p w14:paraId="38F70A7D" w14:textId="77777777" w:rsidR="00352F0C" w:rsidRPr="00A333FE" w:rsidRDefault="00352F0C" w:rsidP="004410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NO</w:t>
            </w:r>
          </w:p>
        </w:tc>
      </w:tr>
      <w:tr w:rsidR="00352F0C" w:rsidRPr="00A333FE" w14:paraId="71E1FB11" w14:textId="77777777" w:rsidTr="004410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36099AD0" w14:textId="77777777" w:rsidR="00352F0C" w:rsidRPr="00A333FE" w:rsidRDefault="00352F0C" w:rsidP="004410EA">
            <w:pPr>
              <w:rPr>
                <w:rFonts w:eastAsia="Times New Roman" w:cs="Times New Roman"/>
                <w:color w:val="000000"/>
              </w:rPr>
            </w:pPr>
            <w:r w:rsidRPr="00A333FE">
              <w:rPr>
                <w:rFonts w:eastAsia="Times New Roman" w:cs="Times New Roman"/>
                <w:color w:val="000000"/>
              </w:rPr>
              <w:t>Number of pigs (n)</w:t>
            </w:r>
          </w:p>
        </w:tc>
        <w:tc>
          <w:tcPr>
            <w:tcW w:w="626" w:type="pct"/>
            <w:noWrap/>
            <w:hideMark/>
          </w:tcPr>
          <w:p w14:paraId="2984F78E"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14 A-TP</w:t>
            </w:r>
          </w:p>
          <w:p w14:paraId="6D19BBD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14 SHAM</w:t>
            </w:r>
          </w:p>
        </w:tc>
        <w:tc>
          <w:tcPr>
            <w:tcW w:w="695" w:type="pct"/>
            <w:noWrap/>
            <w:hideMark/>
          </w:tcPr>
          <w:p w14:paraId="0F47AB8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10 A-TP</w:t>
            </w:r>
          </w:p>
          <w:p w14:paraId="4B8C2918"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13 SHAM</w:t>
            </w:r>
          </w:p>
        </w:tc>
        <w:tc>
          <w:tcPr>
            <w:tcW w:w="557" w:type="pct"/>
            <w:noWrap/>
            <w:hideMark/>
          </w:tcPr>
          <w:p w14:paraId="5B11496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8 A-TP</w:t>
            </w:r>
          </w:p>
          <w:p w14:paraId="41399310"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7 SHAM</w:t>
            </w:r>
          </w:p>
        </w:tc>
        <w:tc>
          <w:tcPr>
            <w:tcW w:w="556" w:type="pct"/>
            <w:noWrap/>
            <w:hideMark/>
          </w:tcPr>
          <w:p w14:paraId="58CBB1D1"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9 A-TP</w:t>
            </w:r>
          </w:p>
          <w:p w14:paraId="1971731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13 SHAM</w:t>
            </w:r>
          </w:p>
        </w:tc>
        <w:tc>
          <w:tcPr>
            <w:tcW w:w="521" w:type="pct"/>
            <w:noWrap/>
            <w:hideMark/>
          </w:tcPr>
          <w:p w14:paraId="305852B4"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11 A-TP</w:t>
            </w:r>
          </w:p>
          <w:p w14:paraId="4769A313"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12 SHAM</w:t>
            </w:r>
          </w:p>
        </w:tc>
        <w:tc>
          <w:tcPr>
            <w:tcW w:w="691" w:type="pct"/>
            <w:noWrap/>
            <w:hideMark/>
          </w:tcPr>
          <w:p w14:paraId="3AA1E805"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5 A-TP</w:t>
            </w:r>
          </w:p>
          <w:p w14:paraId="704ED2AB"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8 SHAM</w:t>
            </w:r>
          </w:p>
        </w:tc>
        <w:tc>
          <w:tcPr>
            <w:tcW w:w="674" w:type="pct"/>
            <w:noWrap/>
            <w:hideMark/>
          </w:tcPr>
          <w:p w14:paraId="1AF4D592"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9 A-TP</w:t>
            </w:r>
          </w:p>
          <w:p w14:paraId="3DB207CC" w14:textId="77777777" w:rsidR="00352F0C" w:rsidRPr="00A333FE" w:rsidRDefault="00352F0C" w:rsidP="004410E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333FE">
              <w:rPr>
                <w:rFonts w:eastAsia="Times New Roman" w:cs="Times New Roman"/>
                <w:color w:val="000000"/>
              </w:rPr>
              <w:t>8 SHAM</w:t>
            </w:r>
          </w:p>
        </w:tc>
      </w:tr>
    </w:tbl>
    <w:p w14:paraId="0569B2D7" w14:textId="4BE75C17" w:rsidR="00352F0C" w:rsidRPr="00E311D2" w:rsidRDefault="00352F0C" w:rsidP="00352F0C">
      <w:pPr>
        <w:spacing w:line="240" w:lineRule="auto"/>
        <w:rPr>
          <w:rFonts w:cs="Times New Roman"/>
          <w:sz w:val="18"/>
          <w:szCs w:val="18"/>
        </w:rPr>
      </w:pPr>
      <w:r w:rsidRPr="00E311D2">
        <w:rPr>
          <w:rFonts w:cs="Times New Roman"/>
          <w:sz w:val="18"/>
          <w:szCs w:val="18"/>
        </w:rPr>
        <w:lastRenderedPageBreak/>
        <w:t xml:space="preserve">Pigs marked in </w:t>
      </w:r>
      <w:r w:rsidRPr="00E311D2">
        <w:rPr>
          <w:rFonts w:cs="Times New Roman"/>
          <w:sz w:val="18"/>
          <w:szCs w:val="18"/>
          <w:highlight w:val="red"/>
        </w:rPr>
        <w:t>red</w:t>
      </w:r>
      <w:r w:rsidRPr="00E311D2">
        <w:rPr>
          <w:rFonts w:cs="Times New Roman"/>
          <w:sz w:val="18"/>
          <w:szCs w:val="18"/>
        </w:rPr>
        <w:t xml:space="preserve"> did not complete the study and were not included in the manuscript. Pig #407 marked in </w:t>
      </w:r>
      <w:r w:rsidRPr="00E311D2">
        <w:rPr>
          <w:rFonts w:cs="Times New Roman"/>
          <w:sz w:val="18"/>
          <w:szCs w:val="18"/>
          <w:highlight w:val="yellow"/>
        </w:rPr>
        <w:t>yellow</w:t>
      </w:r>
      <w:r w:rsidRPr="00E311D2">
        <w:rPr>
          <w:rFonts w:cs="Times New Roman"/>
          <w:sz w:val="18"/>
          <w:szCs w:val="18"/>
        </w:rPr>
        <w:t xml:space="preserve"> did complete the study but was not included in the statistical analyses. Pigs marked in </w:t>
      </w:r>
      <w:r w:rsidRPr="00E311D2">
        <w:rPr>
          <w:rFonts w:cs="Times New Roman"/>
          <w:sz w:val="18"/>
          <w:szCs w:val="18"/>
          <w:highlight w:val="cyan"/>
        </w:rPr>
        <w:t>light blue</w:t>
      </w:r>
      <w:r w:rsidRPr="00E311D2">
        <w:rPr>
          <w:rFonts w:cs="Times New Roman"/>
          <w:sz w:val="18"/>
          <w:szCs w:val="18"/>
        </w:rPr>
        <w:t xml:space="preserve"> were either euthanized due to the presence of congestive cardio-respiratory clinical signs at the end of the study period (#281) either died during </w:t>
      </w:r>
      <w:proofErr w:type="spellStart"/>
      <w:r>
        <w:rPr>
          <w:rFonts w:cs="Times New Roman"/>
          <w:sz w:val="18"/>
          <w:szCs w:val="18"/>
        </w:rPr>
        <w:t>a</w:t>
      </w:r>
      <w:r w:rsidRPr="00E311D2">
        <w:rPr>
          <w:rFonts w:cs="Times New Roman"/>
          <w:sz w:val="18"/>
          <w:szCs w:val="18"/>
        </w:rPr>
        <w:t>naesthesia</w:t>
      </w:r>
      <w:proofErr w:type="spellEnd"/>
      <w:r w:rsidRPr="00E311D2">
        <w:rPr>
          <w:rFonts w:cs="Times New Roman"/>
          <w:sz w:val="18"/>
          <w:szCs w:val="18"/>
        </w:rPr>
        <w:t xml:space="preserve"> at the follow-up experiment (#381 and #382). Nevertheless, these pigs were included in the statistical analyses. NO = not included; YES = included</w:t>
      </w:r>
      <w:r w:rsidR="00C75CC4">
        <w:rPr>
          <w:rFonts w:cs="Times New Roman"/>
          <w:sz w:val="18"/>
          <w:szCs w:val="18"/>
        </w:rPr>
        <w:t>;</w:t>
      </w:r>
      <w:r w:rsidRPr="00E311D2">
        <w:rPr>
          <w:rFonts w:cs="Times New Roman"/>
          <w:sz w:val="18"/>
          <w:szCs w:val="18"/>
        </w:rPr>
        <w:t xml:space="preserve"> BW = body weight.</w:t>
      </w:r>
    </w:p>
    <w:p w14:paraId="42FE98BA" w14:textId="77777777" w:rsidR="00352F0C" w:rsidRDefault="00352F0C" w:rsidP="00352F0C">
      <w:pPr>
        <w:autoSpaceDE w:val="0"/>
        <w:autoSpaceDN w:val="0"/>
        <w:adjustRightInd w:val="0"/>
        <w:spacing w:after="0" w:line="480" w:lineRule="auto"/>
        <w:rPr>
          <w:rFonts w:ascii="Times New Roman" w:hAnsi="Times New Roman" w:cs="Times New Roman"/>
          <w:sz w:val="20"/>
          <w:szCs w:val="20"/>
        </w:rPr>
      </w:pPr>
    </w:p>
    <w:p w14:paraId="3C36015F" w14:textId="77777777" w:rsidR="00352F0C" w:rsidRDefault="00352F0C" w:rsidP="00352F0C">
      <w:pPr>
        <w:autoSpaceDE w:val="0"/>
        <w:autoSpaceDN w:val="0"/>
        <w:adjustRightInd w:val="0"/>
        <w:spacing w:after="0" w:line="480" w:lineRule="auto"/>
        <w:rPr>
          <w:rFonts w:ascii="Times New Roman" w:hAnsi="Times New Roman" w:cs="Times New Roman"/>
          <w:sz w:val="20"/>
          <w:szCs w:val="20"/>
        </w:rPr>
      </w:pPr>
    </w:p>
    <w:p w14:paraId="7EDF5F44" w14:textId="77777777" w:rsidR="00352F0C" w:rsidRDefault="00352F0C" w:rsidP="00352F0C">
      <w:pPr>
        <w:autoSpaceDE w:val="0"/>
        <w:autoSpaceDN w:val="0"/>
        <w:adjustRightInd w:val="0"/>
        <w:spacing w:after="0" w:line="480" w:lineRule="auto"/>
        <w:rPr>
          <w:rFonts w:cs="Times New Roman"/>
          <w:b/>
          <w:color w:val="4F81BD" w:themeColor="accent1"/>
          <w:sz w:val="20"/>
          <w:szCs w:val="20"/>
        </w:rPr>
      </w:pPr>
    </w:p>
    <w:p w14:paraId="5A56B806" w14:textId="78D0DAA9" w:rsidR="00352F0C" w:rsidRDefault="00352F0C" w:rsidP="00352F0C">
      <w:pPr>
        <w:autoSpaceDE w:val="0"/>
        <w:autoSpaceDN w:val="0"/>
        <w:adjustRightInd w:val="0"/>
        <w:spacing w:after="0" w:line="480" w:lineRule="auto"/>
        <w:rPr>
          <w:rFonts w:cs="Times New Roman"/>
          <w:b/>
          <w:color w:val="4F81BD" w:themeColor="accent1"/>
          <w:sz w:val="20"/>
          <w:szCs w:val="20"/>
        </w:rPr>
      </w:pPr>
      <w:r w:rsidRPr="00FA1B11">
        <w:rPr>
          <w:rFonts w:cs="Times New Roman"/>
          <w:b/>
          <w:color w:val="4F81BD" w:themeColor="accent1"/>
          <w:sz w:val="20"/>
          <w:szCs w:val="20"/>
        </w:rPr>
        <w:t xml:space="preserve">Table </w:t>
      </w:r>
      <w:r w:rsidR="0044758B">
        <w:rPr>
          <w:rFonts w:cs="Times New Roman"/>
          <w:b/>
          <w:color w:val="4F81BD" w:themeColor="accent1"/>
          <w:sz w:val="20"/>
          <w:szCs w:val="20"/>
        </w:rPr>
        <w:t>7:</w:t>
      </w:r>
      <w:r w:rsidR="0044758B">
        <w:rPr>
          <w:rFonts w:cs="Times New Roman"/>
          <w:b/>
          <w:color w:val="4F81BD" w:themeColor="accent1"/>
          <w:sz w:val="20"/>
          <w:szCs w:val="20"/>
        </w:rPr>
        <w:tab/>
        <w:t>S</w:t>
      </w:r>
      <w:r w:rsidRPr="00FA1B11">
        <w:rPr>
          <w:rFonts w:cs="Times New Roman"/>
          <w:b/>
          <w:color w:val="4F81BD" w:themeColor="accent1"/>
          <w:sz w:val="20"/>
          <w:szCs w:val="20"/>
        </w:rPr>
        <w:t>ystolic and diastolic myocardial function at baseline.</w:t>
      </w:r>
    </w:p>
    <w:tbl>
      <w:tblPr>
        <w:tblStyle w:val="TableGrid"/>
        <w:tblW w:w="0" w:type="auto"/>
        <w:tblLook w:val="04A0" w:firstRow="1" w:lastRow="0" w:firstColumn="1" w:lastColumn="0" w:noHBand="0" w:noVBand="1"/>
      </w:tblPr>
      <w:tblGrid>
        <w:gridCol w:w="2175"/>
        <w:gridCol w:w="1468"/>
        <w:gridCol w:w="1468"/>
        <w:gridCol w:w="880"/>
      </w:tblGrid>
      <w:tr w:rsidR="00352F0C" w:rsidRPr="00F1467C" w14:paraId="1B10A5B1" w14:textId="77777777" w:rsidTr="004410EA">
        <w:trPr>
          <w:trHeight w:val="283"/>
        </w:trPr>
        <w:tc>
          <w:tcPr>
            <w:tcW w:w="0" w:type="auto"/>
          </w:tcPr>
          <w:p w14:paraId="4BDEB5FD" w14:textId="77777777" w:rsidR="00352F0C" w:rsidRPr="00F1467C" w:rsidRDefault="00352F0C" w:rsidP="004410EA">
            <w:pPr>
              <w:rPr>
                <w:sz w:val="20"/>
                <w:szCs w:val="20"/>
              </w:rPr>
            </w:pPr>
          </w:p>
        </w:tc>
        <w:tc>
          <w:tcPr>
            <w:tcW w:w="0" w:type="auto"/>
            <w:hideMark/>
          </w:tcPr>
          <w:p w14:paraId="39F895C2" w14:textId="77777777" w:rsidR="00352F0C" w:rsidRPr="00F1467C" w:rsidRDefault="00352F0C" w:rsidP="004410EA">
            <w:pPr>
              <w:jc w:val="center"/>
              <w:rPr>
                <w:sz w:val="20"/>
                <w:szCs w:val="20"/>
              </w:rPr>
            </w:pPr>
            <w:r>
              <w:rPr>
                <w:sz w:val="20"/>
                <w:szCs w:val="20"/>
              </w:rPr>
              <w:t>SHAM</w:t>
            </w:r>
          </w:p>
          <w:p w14:paraId="10960E11" w14:textId="77777777" w:rsidR="00352F0C" w:rsidRPr="00F1467C" w:rsidRDefault="00352F0C" w:rsidP="004410EA">
            <w:pPr>
              <w:jc w:val="center"/>
              <w:rPr>
                <w:sz w:val="20"/>
                <w:szCs w:val="20"/>
              </w:rPr>
            </w:pPr>
            <w:r w:rsidRPr="00F1467C">
              <w:rPr>
                <w:sz w:val="20"/>
                <w:szCs w:val="20"/>
              </w:rPr>
              <w:t>at implantation</w:t>
            </w:r>
          </w:p>
          <w:p w14:paraId="67A66CCD" w14:textId="77777777" w:rsidR="00352F0C" w:rsidRPr="00F1467C" w:rsidRDefault="00352F0C" w:rsidP="004410EA">
            <w:pPr>
              <w:jc w:val="center"/>
              <w:rPr>
                <w:sz w:val="20"/>
                <w:szCs w:val="20"/>
              </w:rPr>
            </w:pPr>
            <w:r w:rsidRPr="00F1467C">
              <w:rPr>
                <w:i/>
                <w:sz w:val="20"/>
                <w:szCs w:val="20"/>
              </w:rPr>
              <w:t>n</w:t>
            </w:r>
            <w:r>
              <w:rPr>
                <w:sz w:val="20"/>
                <w:szCs w:val="20"/>
              </w:rPr>
              <w:t xml:space="preserve"> = 7</w:t>
            </w:r>
          </w:p>
        </w:tc>
        <w:tc>
          <w:tcPr>
            <w:tcW w:w="0" w:type="auto"/>
            <w:hideMark/>
          </w:tcPr>
          <w:p w14:paraId="76A8F160" w14:textId="77777777" w:rsidR="00352F0C" w:rsidRPr="00F1467C" w:rsidRDefault="00352F0C" w:rsidP="004410EA">
            <w:pPr>
              <w:jc w:val="center"/>
              <w:rPr>
                <w:sz w:val="20"/>
                <w:szCs w:val="20"/>
              </w:rPr>
            </w:pPr>
            <w:r w:rsidRPr="00F1467C">
              <w:rPr>
                <w:sz w:val="20"/>
                <w:szCs w:val="20"/>
              </w:rPr>
              <w:t>A-TP</w:t>
            </w:r>
          </w:p>
          <w:p w14:paraId="4A40E836" w14:textId="77777777" w:rsidR="00352F0C" w:rsidRPr="00F1467C" w:rsidRDefault="00352F0C" w:rsidP="004410EA">
            <w:pPr>
              <w:jc w:val="center"/>
              <w:rPr>
                <w:sz w:val="20"/>
                <w:szCs w:val="20"/>
              </w:rPr>
            </w:pPr>
            <w:r w:rsidRPr="00F1467C">
              <w:rPr>
                <w:sz w:val="20"/>
                <w:szCs w:val="20"/>
              </w:rPr>
              <w:t>at implantation</w:t>
            </w:r>
          </w:p>
          <w:p w14:paraId="37192EAB" w14:textId="77777777" w:rsidR="00352F0C" w:rsidRPr="00F1467C" w:rsidRDefault="00352F0C" w:rsidP="004410EA">
            <w:pPr>
              <w:jc w:val="center"/>
              <w:rPr>
                <w:sz w:val="20"/>
                <w:szCs w:val="20"/>
              </w:rPr>
            </w:pPr>
            <w:r w:rsidRPr="00F1467C">
              <w:rPr>
                <w:i/>
                <w:sz w:val="20"/>
                <w:szCs w:val="20"/>
              </w:rPr>
              <w:t>n</w:t>
            </w:r>
            <w:r>
              <w:rPr>
                <w:sz w:val="20"/>
                <w:szCs w:val="20"/>
              </w:rPr>
              <w:t xml:space="preserve"> = 8</w:t>
            </w:r>
          </w:p>
        </w:tc>
        <w:tc>
          <w:tcPr>
            <w:tcW w:w="0" w:type="auto"/>
            <w:hideMark/>
          </w:tcPr>
          <w:p w14:paraId="5C2021CC" w14:textId="77777777" w:rsidR="00352F0C" w:rsidRDefault="00352F0C" w:rsidP="004410EA">
            <w:pPr>
              <w:jc w:val="center"/>
              <w:rPr>
                <w:sz w:val="20"/>
                <w:szCs w:val="20"/>
              </w:rPr>
            </w:pPr>
          </w:p>
          <w:p w14:paraId="57BD7A7B" w14:textId="77777777" w:rsidR="00352F0C" w:rsidRPr="00F1467C" w:rsidRDefault="00352F0C" w:rsidP="004410EA">
            <w:pPr>
              <w:jc w:val="center"/>
              <w:rPr>
                <w:sz w:val="20"/>
                <w:szCs w:val="20"/>
              </w:rPr>
            </w:pPr>
            <w:r>
              <w:rPr>
                <w:sz w:val="20"/>
                <w:szCs w:val="20"/>
              </w:rPr>
              <w:t>P values</w:t>
            </w:r>
          </w:p>
        </w:tc>
      </w:tr>
      <w:tr w:rsidR="00352F0C" w:rsidRPr="0000171D" w14:paraId="6EF7403C" w14:textId="77777777" w:rsidTr="004410EA">
        <w:trPr>
          <w:trHeight w:val="283"/>
        </w:trPr>
        <w:tc>
          <w:tcPr>
            <w:tcW w:w="0" w:type="auto"/>
            <w:hideMark/>
          </w:tcPr>
          <w:p w14:paraId="68B12514" w14:textId="77777777" w:rsidR="00352F0C" w:rsidRPr="00F1467C" w:rsidRDefault="00352F0C" w:rsidP="004410EA">
            <w:pPr>
              <w:rPr>
                <w:sz w:val="20"/>
                <w:szCs w:val="20"/>
              </w:rPr>
            </w:pPr>
            <w:proofErr w:type="spellStart"/>
            <w:r w:rsidRPr="00F1467C">
              <w:rPr>
                <w:sz w:val="20"/>
                <w:szCs w:val="20"/>
              </w:rPr>
              <w:t>LVIDd</w:t>
            </w:r>
            <w:proofErr w:type="spellEnd"/>
            <w:r w:rsidRPr="00F1467C">
              <w:rPr>
                <w:sz w:val="20"/>
                <w:szCs w:val="20"/>
              </w:rPr>
              <w:t xml:space="preserve"> (mm)</w:t>
            </w:r>
          </w:p>
          <w:p w14:paraId="6EE86FCB" w14:textId="77777777" w:rsidR="00352F0C" w:rsidRPr="00F1467C" w:rsidRDefault="00352F0C" w:rsidP="004410EA">
            <w:pPr>
              <w:rPr>
                <w:sz w:val="20"/>
                <w:szCs w:val="20"/>
              </w:rPr>
            </w:pPr>
          </w:p>
        </w:tc>
        <w:tc>
          <w:tcPr>
            <w:tcW w:w="0" w:type="auto"/>
            <w:hideMark/>
          </w:tcPr>
          <w:p w14:paraId="66159E6D" w14:textId="77777777" w:rsidR="00352F0C" w:rsidRPr="00F1467C" w:rsidRDefault="00352F0C" w:rsidP="004410EA">
            <w:pPr>
              <w:jc w:val="center"/>
              <w:rPr>
                <w:sz w:val="20"/>
                <w:szCs w:val="20"/>
              </w:rPr>
            </w:pPr>
            <w:r w:rsidRPr="00F1467C">
              <w:rPr>
                <w:sz w:val="20"/>
                <w:szCs w:val="20"/>
              </w:rPr>
              <w:t>37</w:t>
            </w:r>
            <w:r>
              <w:rPr>
                <w:sz w:val="20"/>
                <w:szCs w:val="20"/>
              </w:rPr>
              <w:t>.7</w:t>
            </w:r>
            <w:r w:rsidRPr="00F1467C">
              <w:rPr>
                <w:sz w:val="20"/>
                <w:szCs w:val="20"/>
              </w:rPr>
              <w:t xml:space="preserve"> </w:t>
            </w:r>
            <w:r>
              <w:rPr>
                <w:sz w:val="20"/>
                <w:szCs w:val="20"/>
              </w:rPr>
              <w:t>± 2.5</w:t>
            </w:r>
          </w:p>
        </w:tc>
        <w:tc>
          <w:tcPr>
            <w:tcW w:w="0" w:type="auto"/>
            <w:hideMark/>
          </w:tcPr>
          <w:p w14:paraId="666BBA26" w14:textId="77777777" w:rsidR="00352F0C" w:rsidRPr="00F1467C" w:rsidRDefault="00352F0C" w:rsidP="004410EA">
            <w:pPr>
              <w:jc w:val="center"/>
              <w:rPr>
                <w:sz w:val="20"/>
                <w:szCs w:val="20"/>
                <w:vertAlign w:val="superscript"/>
              </w:rPr>
            </w:pPr>
            <w:r w:rsidRPr="00F1467C">
              <w:rPr>
                <w:sz w:val="20"/>
                <w:szCs w:val="20"/>
              </w:rPr>
              <w:t>36</w:t>
            </w:r>
            <w:r>
              <w:rPr>
                <w:sz w:val="20"/>
                <w:szCs w:val="20"/>
              </w:rPr>
              <w:t xml:space="preserve"> ± 1.6</w:t>
            </w:r>
            <w:r w:rsidRPr="00F1467C">
              <w:rPr>
                <w:sz w:val="20"/>
                <w:szCs w:val="20"/>
              </w:rPr>
              <w:t xml:space="preserve"> </w:t>
            </w:r>
          </w:p>
        </w:tc>
        <w:tc>
          <w:tcPr>
            <w:tcW w:w="0" w:type="auto"/>
            <w:hideMark/>
          </w:tcPr>
          <w:p w14:paraId="4DD13BFD" w14:textId="77777777" w:rsidR="00352F0C" w:rsidRPr="00F1467C" w:rsidRDefault="00352F0C" w:rsidP="004410EA">
            <w:pPr>
              <w:jc w:val="center"/>
              <w:rPr>
                <w:sz w:val="20"/>
                <w:szCs w:val="20"/>
              </w:rPr>
            </w:pPr>
            <w:r>
              <w:rPr>
                <w:sz w:val="20"/>
                <w:szCs w:val="20"/>
              </w:rPr>
              <w:t>≥0.999</w:t>
            </w:r>
          </w:p>
        </w:tc>
      </w:tr>
      <w:tr w:rsidR="00352F0C" w:rsidRPr="0000171D" w14:paraId="50CBC789" w14:textId="77777777" w:rsidTr="004410EA">
        <w:trPr>
          <w:trHeight w:val="283"/>
        </w:trPr>
        <w:tc>
          <w:tcPr>
            <w:tcW w:w="0" w:type="auto"/>
            <w:hideMark/>
          </w:tcPr>
          <w:p w14:paraId="1E682A25" w14:textId="77777777" w:rsidR="00352F0C" w:rsidRPr="00F1467C" w:rsidRDefault="00352F0C" w:rsidP="004410EA">
            <w:pPr>
              <w:rPr>
                <w:sz w:val="20"/>
                <w:szCs w:val="20"/>
              </w:rPr>
            </w:pPr>
            <w:r w:rsidRPr="00F1467C">
              <w:rPr>
                <w:sz w:val="20"/>
                <w:szCs w:val="20"/>
              </w:rPr>
              <w:t>LVIDs (mm)</w:t>
            </w:r>
          </w:p>
          <w:p w14:paraId="1D259A18" w14:textId="77777777" w:rsidR="00352F0C" w:rsidRPr="00F1467C" w:rsidRDefault="00352F0C" w:rsidP="004410EA">
            <w:pPr>
              <w:rPr>
                <w:sz w:val="20"/>
                <w:szCs w:val="20"/>
              </w:rPr>
            </w:pPr>
          </w:p>
        </w:tc>
        <w:tc>
          <w:tcPr>
            <w:tcW w:w="0" w:type="auto"/>
            <w:hideMark/>
          </w:tcPr>
          <w:p w14:paraId="46955D97" w14:textId="77777777" w:rsidR="00352F0C" w:rsidRPr="00F1467C" w:rsidRDefault="00352F0C" w:rsidP="004410EA">
            <w:pPr>
              <w:jc w:val="center"/>
              <w:rPr>
                <w:sz w:val="20"/>
                <w:szCs w:val="20"/>
              </w:rPr>
            </w:pPr>
            <w:r w:rsidRPr="00F1467C">
              <w:rPr>
                <w:sz w:val="20"/>
                <w:szCs w:val="20"/>
              </w:rPr>
              <w:t>23</w:t>
            </w:r>
            <w:r>
              <w:rPr>
                <w:sz w:val="20"/>
                <w:szCs w:val="20"/>
              </w:rPr>
              <w:t>.6</w:t>
            </w:r>
            <w:r w:rsidRPr="00F1467C">
              <w:rPr>
                <w:sz w:val="20"/>
                <w:szCs w:val="20"/>
              </w:rPr>
              <w:t xml:space="preserve"> </w:t>
            </w:r>
            <w:r>
              <w:rPr>
                <w:sz w:val="20"/>
                <w:szCs w:val="20"/>
              </w:rPr>
              <w:t>± 1.7</w:t>
            </w:r>
          </w:p>
        </w:tc>
        <w:tc>
          <w:tcPr>
            <w:tcW w:w="0" w:type="auto"/>
            <w:hideMark/>
          </w:tcPr>
          <w:p w14:paraId="6B343FA5" w14:textId="77777777" w:rsidR="00352F0C" w:rsidRPr="00F1467C" w:rsidRDefault="00352F0C" w:rsidP="004410EA">
            <w:pPr>
              <w:jc w:val="center"/>
              <w:rPr>
                <w:sz w:val="20"/>
                <w:szCs w:val="20"/>
              </w:rPr>
            </w:pPr>
            <w:r>
              <w:rPr>
                <w:sz w:val="20"/>
                <w:szCs w:val="20"/>
              </w:rPr>
              <w:t>22.1</w:t>
            </w:r>
            <w:r w:rsidRPr="00F1467C">
              <w:rPr>
                <w:sz w:val="20"/>
                <w:szCs w:val="20"/>
              </w:rPr>
              <w:t xml:space="preserve"> </w:t>
            </w:r>
            <w:r>
              <w:rPr>
                <w:sz w:val="20"/>
                <w:szCs w:val="20"/>
              </w:rPr>
              <w:t xml:space="preserve">± 1.1 </w:t>
            </w:r>
          </w:p>
        </w:tc>
        <w:tc>
          <w:tcPr>
            <w:tcW w:w="0" w:type="auto"/>
            <w:hideMark/>
          </w:tcPr>
          <w:p w14:paraId="4E7A9C52" w14:textId="77777777" w:rsidR="00352F0C" w:rsidRPr="00F1467C" w:rsidRDefault="00352F0C" w:rsidP="004410EA">
            <w:pPr>
              <w:jc w:val="center"/>
              <w:rPr>
                <w:sz w:val="20"/>
                <w:szCs w:val="20"/>
              </w:rPr>
            </w:pPr>
            <w:r>
              <w:rPr>
                <w:sz w:val="20"/>
                <w:szCs w:val="20"/>
              </w:rPr>
              <w:t>≥0.999</w:t>
            </w:r>
          </w:p>
        </w:tc>
      </w:tr>
      <w:tr w:rsidR="00352F0C" w:rsidRPr="0000171D" w14:paraId="4BCF2F3C" w14:textId="77777777" w:rsidTr="004410EA">
        <w:trPr>
          <w:trHeight w:val="283"/>
        </w:trPr>
        <w:tc>
          <w:tcPr>
            <w:tcW w:w="0" w:type="auto"/>
          </w:tcPr>
          <w:p w14:paraId="34B2B321" w14:textId="77777777" w:rsidR="00352F0C" w:rsidRPr="00F1467C" w:rsidRDefault="00352F0C" w:rsidP="004410EA">
            <w:pPr>
              <w:rPr>
                <w:sz w:val="20"/>
                <w:szCs w:val="20"/>
              </w:rPr>
            </w:pPr>
            <w:proofErr w:type="spellStart"/>
            <w:r>
              <w:rPr>
                <w:sz w:val="20"/>
                <w:szCs w:val="20"/>
              </w:rPr>
              <w:t>IVSd</w:t>
            </w:r>
            <w:proofErr w:type="spellEnd"/>
            <w:r>
              <w:rPr>
                <w:sz w:val="20"/>
                <w:szCs w:val="20"/>
              </w:rPr>
              <w:t xml:space="preserve"> (mm)</w:t>
            </w:r>
          </w:p>
        </w:tc>
        <w:tc>
          <w:tcPr>
            <w:tcW w:w="0" w:type="auto"/>
          </w:tcPr>
          <w:p w14:paraId="468EC318" w14:textId="77777777" w:rsidR="00352F0C" w:rsidRPr="00F1467C" w:rsidRDefault="00352F0C" w:rsidP="004410EA">
            <w:pPr>
              <w:jc w:val="center"/>
              <w:rPr>
                <w:sz w:val="20"/>
                <w:szCs w:val="20"/>
              </w:rPr>
            </w:pPr>
            <w:r>
              <w:rPr>
                <w:sz w:val="20"/>
                <w:szCs w:val="20"/>
              </w:rPr>
              <w:t>6.9 ± 0.6</w:t>
            </w:r>
          </w:p>
        </w:tc>
        <w:tc>
          <w:tcPr>
            <w:tcW w:w="0" w:type="auto"/>
          </w:tcPr>
          <w:p w14:paraId="6DDF3BD8" w14:textId="77777777" w:rsidR="00352F0C" w:rsidRDefault="00352F0C" w:rsidP="004410EA">
            <w:pPr>
              <w:jc w:val="center"/>
              <w:rPr>
                <w:sz w:val="20"/>
                <w:szCs w:val="20"/>
              </w:rPr>
            </w:pPr>
            <w:r>
              <w:rPr>
                <w:sz w:val="20"/>
                <w:szCs w:val="20"/>
              </w:rPr>
              <w:t xml:space="preserve">6.1 ± 0.3 </w:t>
            </w:r>
          </w:p>
        </w:tc>
        <w:tc>
          <w:tcPr>
            <w:tcW w:w="0" w:type="auto"/>
          </w:tcPr>
          <w:p w14:paraId="2807BC4A" w14:textId="77777777" w:rsidR="00352F0C" w:rsidRPr="00F1467C" w:rsidRDefault="00352F0C" w:rsidP="004410EA">
            <w:pPr>
              <w:jc w:val="center"/>
              <w:rPr>
                <w:sz w:val="20"/>
                <w:szCs w:val="20"/>
              </w:rPr>
            </w:pPr>
            <w:r>
              <w:rPr>
                <w:sz w:val="20"/>
                <w:szCs w:val="20"/>
              </w:rPr>
              <w:t>0.998</w:t>
            </w:r>
          </w:p>
        </w:tc>
      </w:tr>
      <w:tr w:rsidR="00352F0C" w:rsidRPr="0000171D" w14:paraId="13A5FD1E" w14:textId="77777777" w:rsidTr="004410EA">
        <w:trPr>
          <w:trHeight w:val="283"/>
        </w:trPr>
        <w:tc>
          <w:tcPr>
            <w:tcW w:w="0" w:type="auto"/>
          </w:tcPr>
          <w:p w14:paraId="6653EE28" w14:textId="77777777" w:rsidR="00352F0C" w:rsidRPr="00F1467C" w:rsidRDefault="00352F0C" w:rsidP="004410EA">
            <w:pPr>
              <w:rPr>
                <w:sz w:val="20"/>
                <w:szCs w:val="20"/>
              </w:rPr>
            </w:pPr>
            <w:r>
              <w:rPr>
                <w:sz w:val="20"/>
                <w:szCs w:val="20"/>
              </w:rPr>
              <w:t>IVSs (mm)</w:t>
            </w:r>
          </w:p>
        </w:tc>
        <w:tc>
          <w:tcPr>
            <w:tcW w:w="0" w:type="auto"/>
          </w:tcPr>
          <w:p w14:paraId="3CE45ACF" w14:textId="77777777" w:rsidR="00352F0C" w:rsidRPr="00F1467C" w:rsidRDefault="00352F0C" w:rsidP="004410EA">
            <w:pPr>
              <w:jc w:val="center"/>
              <w:rPr>
                <w:sz w:val="20"/>
                <w:szCs w:val="20"/>
              </w:rPr>
            </w:pPr>
            <w:r>
              <w:rPr>
                <w:sz w:val="20"/>
                <w:szCs w:val="20"/>
              </w:rPr>
              <w:t>8.9 ± 1</w:t>
            </w:r>
          </w:p>
        </w:tc>
        <w:tc>
          <w:tcPr>
            <w:tcW w:w="0" w:type="auto"/>
          </w:tcPr>
          <w:p w14:paraId="1F7C8EB8" w14:textId="77777777" w:rsidR="00352F0C" w:rsidRDefault="00352F0C" w:rsidP="004410EA">
            <w:pPr>
              <w:jc w:val="center"/>
              <w:rPr>
                <w:sz w:val="20"/>
                <w:szCs w:val="20"/>
              </w:rPr>
            </w:pPr>
            <w:r>
              <w:rPr>
                <w:sz w:val="20"/>
                <w:szCs w:val="20"/>
              </w:rPr>
              <w:t>8.6 ± 0.6</w:t>
            </w:r>
          </w:p>
        </w:tc>
        <w:tc>
          <w:tcPr>
            <w:tcW w:w="0" w:type="auto"/>
          </w:tcPr>
          <w:p w14:paraId="087BE251" w14:textId="77777777" w:rsidR="00352F0C" w:rsidRPr="00F1467C" w:rsidRDefault="00352F0C" w:rsidP="004410EA">
            <w:pPr>
              <w:jc w:val="center"/>
              <w:rPr>
                <w:sz w:val="20"/>
                <w:szCs w:val="20"/>
              </w:rPr>
            </w:pPr>
            <w:r>
              <w:rPr>
                <w:sz w:val="20"/>
                <w:szCs w:val="20"/>
              </w:rPr>
              <w:t>≥0.999</w:t>
            </w:r>
          </w:p>
        </w:tc>
      </w:tr>
      <w:tr w:rsidR="00352F0C" w:rsidRPr="0000171D" w14:paraId="6804389C" w14:textId="77777777" w:rsidTr="004410EA">
        <w:trPr>
          <w:trHeight w:val="283"/>
        </w:trPr>
        <w:tc>
          <w:tcPr>
            <w:tcW w:w="0" w:type="auto"/>
          </w:tcPr>
          <w:p w14:paraId="61EC2A82" w14:textId="77777777" w:rsidR="00352F0C" w:rsidRDefault="00352F0C" w:rsidP="004410EA">
            <w:pPr>
              <w:rPr>
                <w:sz w:val="20"/>
                <w:szCs w:val="20"/>
              </w:rPr>
            </w:pPr>
            <w:r>
              <w:rPr>
                <w:sz w:val="20"/>
                <w:szCs w:val="20"/>
              </w:rPr>
              <w:t>FS (%)</w:t>
            </w:r>
          </w:p>
        </w:tc>
        <w:tc>
          <w:tcPr>
            <w:tcW w:w="0" w:type="auto"/>
          </w:tcPr>
          <w:p w14:paraId="3C27A96C" w14:textId="77777777" w:rsidR="00352F0C" w:rsidRDefault="00352F0C" w:rsidP="004410EA">
            <w:pPr>
              <w:jc w:val="center"/>
              <w:rPr>
                <w:sz w:val="20"/>
                <w:szCs w:val="20"/>
              </w:rPr>
            </w:pPr>
            <w:r>
              <w:rPr>
                <w:sz w:val="20"/>
                <w:szCs w:val="20"/>
              </w:rPr>
              <w:t>37.3 ± 1.5</w:t>
            </w:r>
          </w:p>
        </w:tc>
        <w:tc>
          <w:tcPr>
            <w:tcW w:w="0" w:type="auto"/>
          </w:tcPr>
          <w:p w14:paraId="589B7929" w14:textId="77777777" w:rsidR="00352F0C" w:rsidRDefault="00352F0C" w:rsidP="004410EA">
            <w:pPr>
              <w:jc w:val="center"/>
              <w:rPr>
                <w:sz w:val="20"/>
                <w:szCs w:val="20"/>
              </w:rPr>
            </w:pPr>
            <w:r>
              <w:rPr>
                <w:sz w:val="20"/>
                <w:szCs w:val="20"/>
              </w:rPr>
              <w:t xml:space="preserve">43 ± 2 </w:t>
            </w:r>
          </w:p>
        </w:tc>
        <w:tc>
          <w:tcPr>
            <w:tcW w:w="0" w:type="auto"/>
          </w:tcPr>
          <w:p w14:paraId="5F840D6F" w14:textId="77777777" w:rsidR="00352F0C" w:rsidRDefault="00352F0C" w:rsidP="004410EA">
            <w:pPr>
              <w:jc w:val="center"/>
              <w:rPr>
                <w:sz w:val="20"/>
                <w:szCs w:val="20"/>
              </w:rPr>
            </w:pPr>
            <w:r>
              <w:rPr>
                <w:sz w:val="20"/>
                <w:szCs w:val="20"/>
              </w:rPr>
              <w:t>0.621</w:t>
            </w:r>
          </w:p>
        </w:tc>
      </w:tr>
      <w:tr w:rsidR="00352F0C" w:rsidRPr="005302B3" w14:paraId="73FAE073" w14:textId="77777777" w:rsidTr="004410EA">
        <w:trPr>
          <w:trHeight w:val="283"/>
        </w:trPr>
        <w:tc>
          <w:tcPr>
            <w:tcW w:w="0" w:type="auto"/>
            <w:hideMark/>
          </w:tcPr>
          <w:p w14:paraId="04FC97FC" w14:textId="77777777" w:rsidR="00352F0C" w:rsidRPr="00F1467C" w:rsidRDefault="00352F0C" w:rsidP="004410EA">
            <w:pPr>
              <w:rPr>
                <w:sz w:val="20"/>
                <w:szCs w:val="20"/>
              </w:rPr>
            </w:pPr>
            <w:r w:rsidRPr="00F1467C">
              <w:rPr>
                <w:sz w:val="20"/>
                <w:szCs w:val="20"/>
              </w:rPr>
              <w:t>LV end-</w:t>
            </w:r>
            <w:proofErr w:type="spellStart"/>
            <w:r w:rsidRPr="00F1467C">
              <w:rPr>
                <w:sz w:val="20"/>
                <w:szCs w:val="20"/>
              </w:rPr>
              <w:t>diast</w:t>
            </w:r>
            <w:proofErr w:type="spellEnd"/>
            <w:r w:rsidRPr="00F1467C">
              <w:rPr>
                <w:sz w:val="20"/>
                <w:szCs w:val="20"/>
              </w:rPr>
              <w:t>. Vol. (ml)</w:t>
            </w:r>
          </w:p>
          <w:p w14:paraId="695F53D2" w14:textId="77777777" w:rsidR="00352F0C" w:rsidRPr="00F1467C" w:rsidRDefault="00352F0C" w:rsidP="004410EA">
            <w:pPr>
              <w:rPr>
                <w:sz w:val="20"/>
                <w:szCs w:val="20"/>
              </w:rPr>
            </w:pPr>
          </w:p>
        </w:tc>
        <w:tc>
          <w:tcPr>
            <w:tcW w:w="0" w:type="auto"/>
            <w:hideMark/>
          </w:tcPr>
          <w:p w14:paraId="091F7EC0" w14:textId="77777777" w:rsidR="00352F0C" w:rsidRPr="00F1467C" w:rsidRDefault="00352F0C" w:rsidP="004410EA">
            <w:pPr>
              <w:jc w:val="center"/>
              <w:rPr>
                <w:sz w:val="20"/>
                <w:szCs w:val="20"/>
              </w:rPr>
            </w:pPr>
            <w:r>
              <w:rPr>
                <w:sz w:val="20"/>
                <w:szCs w:val="20"/>
              </w:rPr>
              <w:t>51.6 ± 4.9</w:t>
            </w:r>
          </w:p>
        </w:tc>
        <w:tc>
          <w:tcPr>
            <w:tcW w:w="0" w:type="auto"/>
            <w:hideMark/>
          </w:tcPr>
          <w:p w14:paraId="184E4EF7" w14:textId="77777777" w:rsidR="00352F0C" w:rsidRPr="001630DB" w:rsidRDefault="00352F0C" w:rsidP="004410EA">
            <w:pPr>
              <w:jc w:val="center"/>
              <w:rPr>
                <w:sz w:val="20"/>
                <w:szCs w:val="20"/>
                <w:highlight w:val="yellow"/>
                <w:vertAlign w:val="superscript"/>
              </w:rPr>
            </w:pPr>
            <w:r>
              <w:rPr>
                <w:sz w:val="20"/>
                <w:szCs w:val="20"/>
              </w:rPr>
              <w:t xml:space="preserve">51.3 ± 5.4 </w:t>
            </w:r>
            <w:r w:rsidRPr="001630DB">
              <w:rPr>
                <w:rFonts w:ascii="Cambria Math" w:hAnsi="Cambria Math" w:cs="Cambria Math"/>
                <w:sz w:val="20"/>
                <w:szCs w:val="20"/>
                <w:vertAlign w:val="superscript"/>
              </w:rPr>
              <w:t>7</w:t>
            </w:r>
          </w:p>
        </w:tc>
        <w:tc>
          <w:tcPr>
            <w:tcW w:w="0" w:type="auto"/>
            <w:hideMark/>
          </w:tcPr>
          <w:p w14:paraId="0F380A96" w14:textId="77777777" w:rsidR="00352F0C" w:rsidRPr="00F1467C" w:rsidRDefault="00352F0C" w:rsidP="004410EA">
            <w:pPr>
              <w:jc w:val="center"/>
              <w:rPr>
                <w:sz w:val="20"/>
                <w:szCs w:val="20"/>
                <w:highlight w:val="yellow"/>
              </w:rPr>
            </w:pPr>
            <w:r>
              <w:rPr>
                <w:sz w:val="20"/>
                <w:szCs w:val="20"/>
              </w:rPr>
              <w:t>≥0.999</w:t>
            </w:r>
          </w:p>
        </w:tc>
      </w:tr>
      <w:tr w:rsidR="00352F0C" w:rsidRPr="005302B3" w14:paraId="6C992776" w14:textId="77777777" w:rsidTr="004410EA">
        <w:trPr>
          <w:trHeight w:val="264"/>
        </w:trPr>
        <w:tc>
          <w:tcPr>
            <w:tcW w:w="0" w:type="auto"/>
            <w:hideMark/>
          </w:tcPr>
          <w:p w14:paraId="7A819250" w14:textId="77777777" w:rsidR="00352F0C" w:rsidRPr="003C3C65" w:rsidRDefault="00352F0C" w:rsidP="004410EA">
            <w:pPr>
              <w:spacing w:after="200" w:line="276" w:lineRule="auto"/>
              <w:rPr>
                <w:sz w:val="20"/>
                <w:szCs w:val="20"/>
                <w:lang w:val="da-DK"/>
              </w:rPr>
            </w:pPr>
            <w:r w:rsidRPr="003C3C65">
              <w:rPr>
                <w:sz w:val="20"/>
                <w:szCs w:val="20"/>
                <w:lang w:val="da-DK"/>
              </w:rPr>
              <w:t>LV end-syst. Vol. (ml)</w:t>
            </w:r>
          </w:p>
        </w:tc>
        <w:tc>
          <w:tcPr>
            <w:tcW w:w="0" w:type="auto"/>
            <w:hideMark/>
          </w:tcPr>
          <w:p w14:paraId="57D6EEB0" w14:textId="77777777" w:rsidR="00352F0C" w:rsidRPr="005302B3" w:rsidRDefault="00352F0C" w:rsidP="004410EA">
            <w:pPr>
              <w:jc w:val="center"/>
              <w:rPr>
                <w:sz w:val="20"/>
                <w:szCs w:val="20"/>
              </w:rPr>
            </w:pPr>
            <w:r>
              <w:rPr>
                <w:sz w:val="20"/>
                <w:szCs w:val="20"/>
              </w:rPr>
              <w:t>17.9</w:t>
            </w:r>
            <w:r w:rsidRPr="005302B3">
              <w:rPr>
                <w:sz w:val="20"/>
                <w:szCs w:val="20"/>
              </w:rPr>
              <w:t xml:space="preserve"> ± </w:t>
            </w:r>
            <w:r>
              <w:rPr>
                <w:sz w:val="20"/>
                <w:szCs w:val="20"/>
              </w:rPr>
              <w:t>2.5</w:t>
            </w:r>
          </w:p>
        </w:tc>
        <w:tc>
          <w:tcPr>
            <w:tcW w:w="0" w:type="auto"/>
            <w:hideMark/>
          </w:tcPr>
          <w:p w14:paraId="6B8FB7DE" w14:textId="77777777" w:rsidR="00352F0C" w:rsidRPr="005302B3" w:rsidRDefault="00352F0C" w:rsidP="004410EA">
            <w:pPr>
              <w:jc w:val="center"/>
              <w:rPr>
                <w:sz w:val="20"/>
                <w:szCs w:val="20"/>
                <w:vertAlign w:val="superscript"/>
              </w:rPr>
            </w:pPr>
            <w:r>
              <w:rPr>
                <w:sz w:val="20"/>
                <w:szCs w:val="20"/>
              </w:rPr>
              <w:t>17.4 ± 3</w:t>
            </w:r>
            <w:r w:rsidRPr="005302B3">
              <w:rPr>
                <w:sz w:val="20"/>
                <w:szCs w:val="20"/>
              </w:rPr>
              <w:t xml:space="preserve"> </w:t>
            </w:r>
            <w:r w:rsidRPr="005302B3">
              <w:rPr>
                <w:sz w:val="20"/>
                <w:szCs w:val="20"/>
                <w:vertAlign w:val="superscript"/>
              </w:rPr>
              <w:t>7</w:t>
            </w:r>
          </w:p>
        </w:tc>
        <w:tc>
          <w:tcPr>
            <w:tcW w:w="0" w:type="auto"/>
            <w:hideMark/>
          </w:tcPr>
          <w:p w14:paraId="038DA900" w14:textId="77777777" w:rsidR="00352F0C" w:rsidRPr="005302B3" w:rsidRDefault="00352F0C" w:rsidP="004410EA">
            <w:pPr>
              <w:jc w:val="center"/>
              <w:rPr>
                <w:sz w:val="20"/>
                <w:szCs w:val="20"/>
              </w:rPr>
            </w:pPr>
            <w:r w:rsidRPr="005302B3">
              <w:rPr>
                <w:sz w:val="20"/>
                <w:szCs w:val="20"/>
              </w:rPr>
              <w:t>≥0.999</w:t>
            </w:r>
          </w:p>
        </w:tc>
      </w:tr>
      <w:tr w:rsidR="00352F0C" w:rsidRPr="005302B3" w14:paraId="087FDB64" w14:textId="77777777" w:rsidTr="004410EA">
        <w:trPr>
          <w:trHeight w:val="283"/>
        </w:trPr>
        <w:tc>
          <w:tcPr>
            <w:tcW w:w="0" w:type="auto"/>
          </w:tcPr>
          <w:p w14:paraId="4A8BB820" w14:textId="77777777" w:rsidR="00352F0C" w:rsidRPr="005302B3" w:rsidRDefault="00352F0C" w:rsidP="004410EA">
            <w:pPr>
              <w:rPr>
                <w:sz w:val="20"/>
                <w:szCs w:val="20"/>
              </w:rPr>
            </w:pPr>
            <w:r w:rsidRPr="005302B3">
              <w:rPr>
                <w:sz w:val="20"/>
                <w:szCs w:val="20"/>
              </w:rPr>
              <w:t>EF (%)</w:t>
            </w:r>
          </w:p>
        </w:tc>
        <w:tc>
          <w:tcPr>
            <w:tcW w:w="0" w:type="auto"/>
          </w:tcPr>
          <w:p w14:paraId="6D2390F1" w14:textId="77777777" w:rsidR="00352F0C" w:rsidRPr="005302B3" w:rsidRDefault="00352F0C" w:rsidP="004410EA">
            <w:pPr>
              <w:jc w:val="center"/>
              <w:rPr>
                <w:sz w:val="20"/>
                <w:szCs w:val="20"/>
              </w:rPr>
            </w:pPr>
            <w:r>
              <w:rPr>
                <w:sz w:val="20"/>
                <w:szCs w:val="20"/>
              </w:rPr>
              <w:t>66.4 ± 2.3</w:t>
            </w:r>
          </w:p>
        </w:tc>
        <w:tc>
          <w:tcPr>
            <w:tcW w:w="0" w:type="auto"/>
          </w:tcPr>
          <w:p w14:paraId="087C6E48" w14:textId="77777777" w:rsidR="00352F0C" w:rsidRPr="005302B3" w:rsidRDefault="00352F0C" w:rsidP="004410EA">
            <w:pPr>
              <w:jc w:val="center"/>
              <w:rPr>
                <w:sz w:val="20"/>
                <w:szCs w:val="20"/>
              </w:rPr>
            </w:pPr>
            <w:r>
              <w:rPr>
                <w:sz w:val="20"/>
                <w:szCs w:val="20"/>
              </w:rPr>
              <w:t>66.3</w:t>
            </w:r>
            <w:r w:rsidRPr="005302B3">
              <w:rPr>
                <w:sz w:val="20"/>
                <w:szCs w:val="20"/>
              </w:rPr>
              <w:t xml:space="preserve"> ± 2 </w:t>
            </w:r>
            <w:r w:rsidRPr="005302B3">
              <w:rPr>
                <w:sz w:val="20"/>
                <w:szCs w:val="20"/>
                <w:vertAlign w:val="superscript"/>
              </w:rPr>
              <w:t>7</w:t>
            </w:r>
          </w:p>
        </w:tc>
        <w:tc>
          <w:tcPr>
            <w:tcW w:w="0" w:type="auto"/>
          </w:tcPr>
          <w:p w14:paraId="289F7608" w14:textId="77777777" w:rsidR="00352F0C" w:rsidRPr="005302B3" w:rsidRDefault="00352F0C" w:rsidP="004410EA">
            <w:pPr>
              <w:jc w:val="center"/>
              <w:rPr>
                <w:sz w:val="20"/>
                <w:szCs w:val="20"/>
              </w:rPr>
            </w:pPr>
            <w:r w:rsidRPr="005302B3">
              <w:rPr>
                <w:sz w:val="20"/>
                <w:szCs w:val="20"/>
              </w:rPr>
              <w:t>≥0.999</w:t>
            </w:r>
          </w:p>
        </w:tc>
      </w:tr>
      <w:tr w:rsidR="00352F0C" w:rsidRPr="00F1467C" w14:paraId="08A9453D" w14:textId="77777777" w:rsidTr="004410EA">
        <w:trPr>
          <w:trHeight w:val="283"/>
        </w:trPr>
        <w:tc>
          <w:tcPr>
            <w:tcW w:w="0" w:type="auto"/>
            <w:hideMark/>
          </w:tcPr>
          <w:p w14:paraId="2C102D92" w14:textId="77777777" w:rsidR="00352F0C" w:rsidRPr="00F1467C" w:rsidRDefault="00352F0C" w:rsidP="004410EA">
            <w:pPr>
              <w:rPr>
                <w:sz w:val="20"/>
                <w:szCs w:val="20"/>
              </w:rPr>
            </w:pPr>
            <w:r w:rsidRPr="00F1467C">
              <w:rPr>
                <w:sz w:val="20"/>
                <w:szCs w:val="20"/>
              </w:rPr>
              <w:t>LV end-</w:t>
            </w:r>
            <w:proofErr w:type="spellStart"/>
            <w:r w:rsidRPr="00F1467C">
              <w:rPr>
                <w:sz w:val="20"/>
                <w:szCs w:val="20"/>
              </w:rPr>
              <w:t>diast</w:t>
            </w:r>
            <w:proofErr w:type="spellEnd"/>
            <w:r w:rsidRPr="00F1467C">
              <w:rPr>
                <w:sz w:val="20"/>
                <w:szCs w:val="20"/>
              </w:rPr>
              <w:t>. Area (cm</w:t>
            </w:r>
            <w:r w:rsidRPr="00F1467C">
              <w:rPr>
                <w:sz w:val="20"/>
                <w:szCs w:val="20"/>
                <w:vertAlign w:val="superscript"/>
              </w:rPr>
              <w:t>2</w:t>
            </w:r>
            <w:r w:rsidRPr="00F1467C">
              <w:rPr>
                <w:sz w:val="20"/>
                <w:szCs w:val="20"/>
              </w:rPr>
              <w:t>)</w:t>
            </w:r>
          </w:p>
          <w:p w14:paraId="03B11442" w14:textId="77777777" w:rsidR="00352F0C" w:rsidRPr="00F1467C" w:rsidRDefault="00352F0C" w:rsidP="004410EA">
            <w:pPr>
              <w:rPr>
                <w:sz w:val="20"/>
                <w:szCs w:val="20"/>
              </w:rPr>
            </w:pPr>
          </w:p>
        </w:tc>
        <w:tc>
          <w:tcPr>
            <w:tcW w:w="0" w:type="auto"/>
            <w:hideMark/>
          </w:tcPr>
          <w:p w14:paraId="3B62CFC4" w14:textId="77777777" w:rsidR="00352F0C" w:rsidRPr="001630DB" w:rsidRDefault="00352F0C" w:rsidP="004410EA">
            <w:pPr>
              <w:jc w:val="center"/>
              <w:rPr>
                <w:sz w:val="20"/>
                <w:szCs w:val="20"/>
              </w:rPr>
            </w:pPr>
            <w:r w:rsidRPr="001630DB">
              <w:rPr>
                <w:sz w:val="20"/>
                <w:szCs w:val="20"/>
              </w:rPr>
              <w:t xml:space="preserve">10.8 </w:t>
            </w:r>
            <w:r>
              <w:rPr>
                <w:sz w:val="20"/>
                <w:szCs w:val="20"/>
              </w:rPr>
              <w:t>± 0.53</w:t>
            </w:r>
          </w:p>
        </w:tc>
        <w:tc>
          <w:tcPr>
            <w:tcW w:w="0" w:type="auto"/>
            <w:hideMark/>
          </w:tcPr>
          <w:p w14:paraId="58C956FC" w14:textId="77777777" w:rsidR="00352F0C" w:rsidRPr="001630DB" w:rsidRDefault="00352F0C" w:rsidP="004410EA">
            <w:pPr>
              <w:jc w:val="center"/>
              <w:rPr>
                <w:sz w:val="20"/>
                <w:szCs w:val="20"/>
              </w:rPr>
            </w:pPr>
            <w:r>
              <w:rPr>
                <w:sz w:val="20"/>
                <w:szCs w:val="20"/>
              </w:rPr>
              <w:t xml:space="preserve">11.91 ± 0.72 </w:t>
            </w:r>
            <w:r>
              <w:rPr>
                <w:sz w:val="20"/>
                <w:szCs w:val="20"/>
                <w:vertAlign w:val="superscript"/>
              </w:rPr>
              <w:t>7</w:t>
            </w:r>
          </w:p>
        </w:tc>
        <w:tc>
          <w:tcPr>
            <w:tcW w:w="0" w:type="auto"/>
            <w:hideMark/>
          </w:tcPr>
          <w:p w14:paraId="3F1AF802" w14:textId="77777777" w:rsidR="00352F0C" w:rsidRPr="001630DB" w:rsidRDefault="00352F0C" w:rsidP="004410EA">
            <w:pPr>
              <w:jc w:val="center"/>
              <w:rPr>
                <w:sz w:val="20"/>
                <w:szCs w:val="20"/>
                <w:highlight w:val="yellow"/>
              </w:rPr>
            </w:pPr>
            <w:r w:rsidRPr="005302B3">
              <w:rPr>
                <w:sz w:val="20"/>
                <w:szCs w:val="20"/>
              </w:rPr>
              <w:t>0.995</w:t>
            </w:r>
          </w:p>
        </w:tc>
      </w:tr>
      <w:tr w:rsidR="00352F0C" w:rsidRPr="00F1467C" w14:paraId="4D022C0B" w14:textId="77777777" w:rsidTr="004410EA">
        <w:trPr>
          <w:trHeight w:val="283"/>
        </w:trPr>
        <w:tc>
          <w:tcPr>
            <w:tcW w:w="0" w:type="auto"/>
            <w:hideMark/>
          </w:tcPr>
          <w:p w14:paraId="60D1E6D6" w14:textId="77777777" w:rsidR="00352F0C" w:rsidRPr="001630DB" w:rsidRDefault="00352F0C" w:rsidP="004410EA">
            <w:pPr>
              <w:rPr>
                <w:sz w:val="20"/>
                <w:szCs w:val="20"/>
              </w:rPr>
            </w:pPr>
            <w:r w:rsidRPr="001630DB">
              <w:rPr>
                <w:sz w:val="20"/>
                <w:szCs w:val="20"/>
              </w:rPr>
              <w:t>LV end-syst. Area (cm</w:t>
            </w:r>
            <w:r w:rsidRPr="001630DB">
              <w:rPr>
                <w:sz w:val="20"/>
                <w:szCs w:val="20"/>
                <w:vertAlign w:val="superscript"/>
              </w:rPr>
              <w:t>2</w:t>
            </w:r>
            <w:r w:rsidRPr="001630DB">
              <w:rPr>
                <w:sz w:val="20"/>
                <w:szCs w:val="20"/>
              </w:rPr>
              <w:t>)</w:t>
            </w:r>
          </w:p>
          <w:p w14:paraId="6F9189FD" w14:textId="77777777" w:rsidR="00352F0C" w:rsidRPr="001630DB" w:rsidRDefault="00352F0C" w:rsidP="004410EA">
            <w:pPr>
              <w:rPr>
                <w:sz w:val="20"/>
                <w:szCs w:val="20"/>
              </w:rPr>
            </w:pPr>
          </w:p>
        </w:tc>
        <w:tc>
          <w:tcPr>
            <w:tcW w:w="0" w:type="auto"/>
            <w:hideMark/>
          </w:tcPr>
          <w:p w14:paraId="3D679E7B" w14:textId="77777777" w:rsidR="00352F0C" w:rsidRPr="00F1467C" w:rsidRDefault="00352F0C" w:rsidP="004410EA">
            <w:pPr>
              <w:jc w:val="center"/>
              <w:rPr>
                <w:sz w:val="20"/>
                <w:szCs w:val="20"/>
                <w:vertAlign w:val="superscript"/>
              </w:rPr>
            </w:pPr>
            <w:r>
              <w:rPr>
                <w:sz w:val="20"/>
                <w:szCs w:val="20"/>
              </w:rPr>
              <w:t>4.5 ± 0.3</w:t>
            </w:r>
          </w:p>
        </w:tc>
        <w:tc>
          <w:tcPr>
            <w:tcW w:w="0" w:type="auto"/>
            <w:hideMark/>
          </w:tcPr>
          <w:p w14:paraId="4B3799FE" w14:textId="77777777" w:rsidR="00352F0C" w:rsidRPr="00F1467C" w:rsidRDefault="00352F0C" w:rsidP="004410EA">
            <w:pPr>
              <w:jc w:val="center"/>
              <w:rPr>
                <w:sz w:val="20"/>
                <w:szCs w:val="20"/>
              </w:rPr>
            </w:pPr>
            <w:r>
              <w:rPr>
                <w:sz w:val="20"/>
                <w:szCs w:val="20"/>
              </w:rPr>
              <w:t xml:space="preserve">4.6 ± 0.3 </w:t>
            </w:r>
            <w:r>
              <w:rPr>
                <w:sz w:val="20"/>
                <w:szCs w:val="20"/>
                <w:vertAlign w:val="superscript"/>
              </w:rPr>
              <w:t>7</w:t>
            </w:r>
          </w:p>
        </w:tc>
        <w:tc>
          <w:tcPr>
            <w:tcW w:w="0" w:type="auto"/>
            <w:hideMark/>
          </w:tcPr>
          <w:p w14:paraId="2F1B7FCA" w14:textId="77777777" w:rsidR="00352F0C" w:rsidRPr="00F1467C" w:rsidRDefault="00352F0C" w:rsidP="004410EA">
            <w:pPr>
              <w:jc w:val="center"/>
              <w:rPr>
                <w:sz w:val="20"/>
                <w:szCs w:val="20"/>
              </w:rPr>
            </w:pPr>
            <w:r>
              <w:rPr>
                <w:sz w:val="20"/>
                <w:szCs w:val="20"/>
              </w:rPr>
              <w:t>≥0.999</w:t>
            </w:r>
          </w:p>
        </w:tc>
      </w:tr>
      <w:tr w:rsidR="00352F0C" w:rsidRPr="00F1467C" w14:paraId="1695C378" w14:textId="77777777" w:rsidTr="004410EA">
        <w:trPr>
          <w:trHeight w:val="283"/>
        </w:trPr>
        <w:tc>
          <w:tcPr>
            <w:tcW w:w="0" w:type="auto"/>
          </w:tcPr>
          <w:p w14:paraId="67607CA8" w14:textId="77777777" w:rsidR="00352F0C" w:rsidRDefault="00352F0C" w:rsidP="004410EA">
            <w:pPr>
              <w:rPr>
                <w:sz w:val="20"/>
                <w:szCs w:val="20"/>
              </w:rPr>
            </w:pPr>
            <w:r>
              <w:rPr>
                <w:sz w:val="20"/>
                <w:szCs w:val="20"/>
              </w:rPr>
              <w:t>LVFAC (%)</w:t>
            </w:r>
          </w:p>
        </w:tc>
        <w:tc>
          <w:tcPr>
            <w:tcW w:w="0" w:type="auto"/>
          </w:tcPr>
          <w:p w14:paraId="7B9B30FD" w14:textId="77777777" w:rsidR="00352F0C" w:rsidRDefault="00352F0C" w:rsidP="004410EA">
            <w:pPr>
              <w:jc w:val="center"/>
              <w:rPr>
                <w:sz w:val="20"/>
                <w:szCs w:val="20"/>
              </w:rPr>
            </w:pPr>
            <w:r>
              <w:rPr>
                <w:sz w:val="20"/>
                <w:szCs w:val="20"/>
              </w:rPr>
              <w:t>57.9 ± 3</w:t>
            </w:r>
          </w:p>
        </w:tc>
        <w:tc>
          <w:tcPr>
            <w:tcW w:w="0" w:type="auto"/>
          </w:tcPr>
          <w:p w14:paraId="0BB352B3" w14:textId="77777777" w:rsidR="00352F0C" w:rsidRDefault="00352F0C" w:rsidP="004410EA">
            <w:pPr>
              <w:jc w:val="center"/>
              <w:rPr>
                <w:sz w:val="20"/>
                <w:szCs w:val="20"/>
              </w:rPr>
            </w:pPr>
            <w:r>
              <w:rPr>
                <w:sz w:val="20"/>
                <w:szCs w:val="20"/>
              </w:rPr>
              <w:t xml:space="preserve">61.6 ± 2 </w:t>
            </w:r>
            <w:r>
              <w:rPr>
                <w:sz w:val="20"/>
                <w:szCs w:val="20"/>
                <w:vertAlign w:val="superscript"/>
              </w:rPr>
              <w:t>7</w:t>
            </w:r>
            <w:r>
              <w:rPr>
                <w:sz w:val="20"/>
                <w:szCs w:val="20"/>
              </w:rPr>
              <w:t xml:space="preserve"> </w:t>
            </w:r>
          </w:p>
        </w:tc>
        <w:tc>
          <w:tcPr>
            <w:tcW w:w="0" w:type="auto"/>
          </w:tcPr>
          <w:p w14:paraId="79784902" w14:textId="77777777" w:rsidR="00352F0C" w:rsidRPr="00F1467C" w:rsidRDefault="00352F0C" w:rsidP="004410EA">
            <w:pPr>
              <w:jc w:val="center"/>
              <w:rPr>
                <w:sz w:val="20"/>
                <w:szCs w:val="20"/>
              </w:rPr>
            </w:pPr>
            <w:r>
              <w:rPr>
                <w:sz w:val="20"/>
                <w:szCs w:val="20"/>
              </w:rPr>
              <w:t>≥0.999</w:t>
            </w:r>
          </w:p>
        </w:tc>
      </w:tr>
      <w:tr w:rsidR="00352F0C" w:rsidRPr="00F1467C" w14:paraId="62275422" w14:textId="77777777" w:rsidTr="004410EA">
        <w:trPr>
          <w:trHeight w:val="283"/>
        </w:trPr>
        <w:tc>
          <w:tcPr>
            <w:tcW w:w="0" w:type="auto"/>
            <w:hideMark/>
          </w:tcPr>
          <w:p w14:paraId="0A78A23F" w14:textId="77777777" w:rsidR="00352F0C" w:rsidRPr="003C3C65" w:rsidRDefault="00352F0C" w:rsidP="004410EA">
            <w:pPr>
              <w:spacing w:after="200" w:line="276" w:lineRule="auto"/>
              <w:rPr>
                <w:sz w:val="20"/>
                <w:szCs w:val="20"/>
                <w:lang w:val="da-DK"/>
              </w:rPr>
            </w:pPr>
            <w:r w:rsidRPr="003C3C65">
              <w:rPr>
                <w:sz w:val="20"/>
                <w:szCs w:val="20"/>
                <w:lang w:val="da-DK"/>
              </w:rPr>
              <w:t>LA end-diast. Vol. (ml)</w:t>
            </w:r>
          </w:p>
        </w:tc>
        <w:tc>
          <w:tcPr>
            <w:tcW w:w="0" w:type="auto"/>
            <w:hideMark/>
          </w:tcPr>
          <w:p w14:paraId="50F50195" w14:textId="77777777" w:rsidR="00352F0C" w:rsidRPr="00F1467C" w:rsidRDefault="00352F0C" w:rsidP="004410EA">
            <w:pPr>
              <w:jc w:val="center"/>
              <w:rPr>
                <w:sz w:val="20"/>
                <w:szCs w:val="20"/>
              </w:rPr>
            </w:pPr>
            <w:r>
              <w:rPr>
                <w:sz w:val="20"/>
                <w:szCs w:val="20"/>
              </w:rPr>
              <w:t xml:space="preserve">11.3 ± 1.3 </w:t>
            </w:r>
            <w:r w:rsidRPr="00CE2A2B">
              <w:rPr>
                <w:sz w:val="20"/>
                <w:szCs w:val="20"/>
                <w:vertAlign w:val="superscript"/>
              </w:rPr>
              <w:t>6</w:t>
            </w:r>
          </w:p>
        </w:tc>
        <w:tc>
          <w:tcPr>
            <w:tcW w:w="0" w:type="auto"/>
            <w:hideMark/>
          </w:tcPr>
          <w:p w14:paraId="624AA1E5" w14:textId="77777777" w:rsidR="00352F0C" w:rsidRPr="00F1467C" w:rsidRDefault="00352F0C" w:rsidP="004410EA">
            <w:pPr>
              <w:jc w:val="center"/>
              <w:rPr>
                <w:sz w:val="20"/>
                <w:szCs w:val="20"/>
              </w:rPr>
            </w:pPr>
            <w:r>
              <w:rPr>
                <w:sz w:val="20"/>
                <w:szCs w:val="20"/>
              </w:rPr>
              <w:t xml:space="preserve">12.7 ± 0.7 </w:t>
            </w:r>
            <w:r>
              <w:rPr>
                <w:sz w:val="20"/>
                <w:szCs w:val="20"/>
                <w:vertAlign w:val="superscript"/>
              </w:rPr>
              <w:t>7</w:t>
            </w:r>
          </w:p>
        </w:tc>
        <w:tc>
          <w:tcPr>
            <w:tcW w:w="0" w:type="auto"/>
            <w:hideMark/>
          </w:tcPr>
          <w:p w14:paraId="6431B631" w14:textId="77777777" w:rsidR="00352F0C" w:rsidRPr="00F1467C" w:rsidRDefault="00352F0C" w:rsidP="004410EA">
            <w:pPr>
              <w:jc w:val="center"/>
              <w:rPr>
                <w:sz w:val="20"/>
                <w:szCs w:val="20"/>
              </w:rPr>
            </w:pPr>
            <w:r>
              <w:rPr>
                <w:sz w:val="20"/>
                <w:szCs w:val="20"/>
              </w:rPr>
              <w:t>≥0.999</w:t>
            </w:r>
          </w:p>
        </w:tc>
      </w:tr>
      <w:tr w:rsidR="00352F0C" w:rsidRPr="00F1467C" w14:paraId="57ACCE38" w14:textId="77777777" w:rsidTr="004410EA">
        <w:trPr>
          <w:trHeight w:val="283"/>
        </w:trPr>
        <w:tc>
          <w:tcPr>
            <w:tcW w:w="0" w:type="auto"/>
            <w:hideMark/>
          </w:tcPr>
          <w:p w14:paraId="19D3907E" w14:textId="77777777" w:rsidR="00352F0C" w:rsidRPr="003C3C65" w:rsidRDefault="00352F0C" w:rsidP="004410EA">
            <w:pPr>
              <w:spacing w:after="200" w:line="276" w:lineRule="auto"/>
              <w:rPr>
                <w:sz w:val="20"/>
                <w:szCs w:val="20"/>
                <w:lang w:val="da-DK"/>
              </w:rPr>
            </w:pPr>
            <w:r w:rsidRPr="003C3C65">
              <w:rPr>
                <w:sz w:val="20"/>
                <w:szCs w:val="20"/>
                <w:lang w:val="da-DK"/>
              </w:rPr>
              <w:t>LA end-syst. Vol. (ml)</w:t>
            </w:r>
          </w:p>
        </w:tc>
        <w:tc>
          <w:tcPr>
            <w:tcW w:w="0" w:type="auto"/>
            <w:hideMark/>
          </w:tcPr>
          <w:p w14:paraId="645AFA14" w14:textId="77777777" w:rsidR="00352F0C" w:rsidRPr="00F1467C" w:rsidRDefault="00352F0C" w:rsidP="004410EA">
            <w:pPr>
              <w:jc w:val="center"/>
              <w:rPr>
                <w:sz w:val="20"/>
                <w:szCs w:val="20"/>
              </w:rPr>
            </w:pPr>
            <w:r>
              <w:rPr>
                <w:sz w:val="20"/>
                <w:szCs w:val="20"/>
              </w:rPr>
              <w:t xml:space="preserve">5.3 ± 1.6 </w:t>
            </w:r>
            <w:r w:rsidRPr="00CE2A2B">
              <w:rPr>
                <w:sz w:val="20"/>
                <w:szCs w:val="20"/>
                <w:vertAlign w:val="superscript"/>
              </w:rPr>
              <w:t>6</w:t>
            </w:r>
          </w:p>
        </w:tc>
        <w:tc>
          <w:tcPr>
            <w:tcW w:w="0" w:type="auto"/>
            <w:hideMark/>
          </w:tcPr>
          <w:p w14:paraId="1138B5F9" w14:textId="77777777" w:rsidR="00352F0C" w:rsidRPr="00F1467C" w:rsidRDefault="00352F0C" w:rsidP="004410EA">
            <w:pPr>
              <w:jc w:val="center"/>
              <w:rPr>
                <w:sz w:val="20"/>
                <w:szCs w:val="20"/>
              </w:rPr>
            </w:pPr>
            <w:r>
              <w:rPr>
                <w:sz w:val="20"/>
                <w:szCs w:val="20"/>
              </w:rPr>
              <w:t xml:space="preserve">5.5 ± 0.5 </w:t>
            </w:r>
            <w:r>
              <w:rPr>
                <w:sz w:val="20"/>
                <w:szCs w:val="20"/>
                <w:vertAlign w:val="superscript"/>
              </w:rPr>
              <w:t>7</w:t>
            </w:r>
          </w:p>
        </w:tc>
        <w:tc>
          <w:tcPr>
            <w:tcW w:w="0" w:type="auto"/>
            <w:hideMark/>
          </w:tcPr>
          <w:p w14:paraId="47A9C9BA" w14:textId="77777777" w:rsidR="00352F0C" w:rsidRPr="00F1467C" w:rsidRDefault="00352F0C" w:rsidP="004410EA">
            <w:pPr>
              <w:jc w:val="center"/>
              <w:rPr>
                <w:sz w:val="20"/>
                <w:szCs w:val="20"/>
              </w:rPr>
            </w:pPr>
            <w:r>
              <w:rPr>
                <w:sz w:val="20"/>
                <w:szCs w:val="20"/>
              </w:rPr>
              <w:t>≥0.999</w:t>
            </w:r>
          </w:p>
        </w:tc>
      </w:tr>
      <w:tr w:rsidR="00352F0C" w:rsidRPr="00F1467C" w14:paraId="210E5118" w14:textId="77777777" w:rsidTr="004410EA">
        <w:trPr>
          <w:trHeight w:val="283"/>
        </w:trPr>
        <w:tc>
          <w:tcPr>
            <w:tcW w:w="0" w:type="auto"/>
            <w:hideMark/>
          </w:tcPr>
          <w:p w14:paraId="1B701888" w14:textId="77777777" w:rsidR="00352F0C" w:rsidRPr="00F1467C" w:rsidRDefault="00352F0C" w:rsidP="004410EA">
            <w:pPr>
              <w:rPr>
                <w:sz w:val="20"/>
                <w:szCs w:val="20"/>
              </w:rPr>
            </w:pPr>
            <w:r w:rsidRPr="00F1467C">
              <w:rPr>
                <w:sz w:val="20"/>
                <w:szCs w:val="20"/>
              </w:rPr>
              <w:t>LA area (cm</w:t>
            </w:r>
            <w:r w:rsidRPr="00F1467C">
              <w:rPr>
                <w:sz w:val="20"/>
                <w:szCs w:val="20"/>
                <w:vertAlign w:val="superscript"/>
              </w:rPr>
              <w:t>2</w:t>
            </w:r>
            <w:r w:rsidRPr="00F1467C">
              <w:rPr>
                <w:sz w:val="20"/>
                <w:szCs w:val="20"/>
              </w:rPr>
              <w:t>)</w:t>
            </w:r>
          </w:p>
          <w:p w14:paraId="3669D93F" w14:textId="77777777" w:rsidR="00352F0C" w:rsidRPr="00F1467C" w:rsidRDefault="00352F0C" w:rsidP="004410EA">
            <w:pPr>
              <w:rPr>
                <w:sz w:val="20"/>
                <w:szCs w:val="20"/>
              </w:rPr>
            </w:pPr>
          </w:p>
        </w:tc>
        <w:tc>
          <w:tcPr>
            <w:tcW w:w="0" w:type="auto"/>
            <w:hideMark/>
          </w:tcPr>
          <w:p w14:paraId="15C01670" w14:textId="77777777" w:rsidR="00352F0C" w:rsidRPr="00F1467C" w:rsidRDefault="00352F0C" w:rsidP="004410EA">
            <w:pPr>
              <w:jc w:val="center"/>
              <w:rPr>
                <w:sz w:val="20"/>
                <w:szCs w:val="20"/>
              </w:rPr>
            </w:pPr>
            <w:r>
              <w:rPr>
                <w:sz w:val="20"/>
                <w:szCs w:val="20"/>
              </w:rPr>
              <w:t xml:space="preserve">6 ± 0.6 </w:t>
            </w:r>
            <w:r w:rsidRPr="00CE2A2B">
              <w:rPr>
                <w:sz w:val="20"/>
                <w:szCs w:val="20"/>
                <w:vertAlign w:val="superscript"/>
              </w:rPr>
              <w:t>6</w:t>
            </w:r>
          </w:p>
        </w:tc>
        <w:tc>
          <w:tcPr>
            <w:tcW w:w="0" w:type="auto"/>
            <w:hideMark/>
          </w:tcPr>
          <w:p w14:paraId="05298448" w14:textId="77777777" w:rsidR="00352F0C" w:rsidRPr="00F1467C" w:rsidRDefault="00352F0C" w:rsidP="004410EA">
            <w:pPr>
              <w:jc w:val="center"/>
              <w:rPr>
                <w:sz w:val="20"/>
                <w:szCs w:val="20"/>
              </w:rPr>
            </w:pPr>
            <w:r>
              <w:rPr>
                <w:sz w:val="20"/>
                <w:szCs w:val="20"/>
              </w:rPr>
              <w:t xml:space="preserve">6.2 ± 0.4 </w:t>
            </w:r>
            <w:r>
              <w:rPr>
                <w:sz w:val="20"/>
                <w:szCs w:val="20"/>
                <w:vertAlign w:val="superscript"/>
              </w:rPr>
              <w:t>7</w:t>
            </w:r>
          </w:p>
        </w:tc>
        <w:tc>
          <w:tcPr>
            <w:tcW w:w="0" w:type="auto"/>
            <w:hideMark/>
          </w:tcPr>
          <w:p w14:paraId="24C47D79" w14:textId="77777777" w:rsidR="00352F0C" w:rsidRPr="00F1467C" w:rsidRDefault="00352F0C" w:rsidP="004410EA">
            <w:pPr>
              <w:jc w:val="center"/>
              <w:rPr>
                <w:sz w:val="20"/>
                <w:szCs w:val="20"/>
                <w:highlight w:val="yellow"/>
              </w:rPr>
            </w:pPr>
            <w:r>
              <w:rPr>
                <w:sz w:val="20"/>
                <w:szCs w:val="20"/>
              </w:rPr>
              <w:t>≥0.999</w:t>
            </w:r>
          </w:p>
        </w:tc>
      </w:tr>
      <w:tr w:rsidR="00352F0C" w:rsidRPr="00F1467C" w14:paraId="774E5978" w14:textId="77777777" w:rsidTr="004410EA">
        <w:trPr>
          <w:trHeight w:val="283"/>
        </w:trPr>
        <w:tc>
          <w:tcPr>
            <w:tcW w:w="0" w:type="auto"/>
          </w:tcPr>
          <w:p w14:paraId="3D49B9CB" w14:textId="77777777" w:rsidR="00352F0C" w:rsidRPr="00F1467C" w:rsidRDefault="00352F0C" w:rsidP="004410EA">
            <w:pPr>
              <w:rPr>
                <w:sz w:val="20"/>
                <w:szCs w:val="20"/>
              </w:rPr>
            </w:pPr>
            <w:proofErr w:type="spellStart"/>
            <w:r w:rsidRPr="00F1467C">
              <w:rPr>
                <w:sz w:val="20"/>
                <w:szCs w:val="20"/>
              </w:rPr>
              <w:t>MaxAoFlow</w:t>
            </w:r>
            <w:proofErr w:type="spellEnd"/>
            <w:r w:rsidRPr="00F1467C">
              <w:rPr>
                <w:sz w:val="20"/>
                <w:szCs w:val="20"/>
              </w:rPr>
              <w:t xml:space="preserve"> (cm/s)</w:t>
            </w:r>
          </w:p>
        </w:tc>
        <w:tc>
          <w:tcPr>
            <w:tcW w:w="0" w:type="auto"/>
          </w:tcPr>
          <w:p w14:paraId="506983CD" w14:textId="77777777" w:rsidR="00352F0C" w:rsidRPr="007F5665" w:rsidRDefault="00352F0C" w:rsidP="004410EA">
            <w:pPr>
              <w:jc w:val="center"/>
              <w:rPr>
                <w:sz w:val="20"/>
                <w:szCs w:val="20"/>
                <w:vertAlign w:val="superscript"/>
              </w:rPr>
            </w:pPr>
            <w:r w:rsidRPr="007F5665">
              <w:rPr>
                <w:sz w:val="20"/>
                <w:szCs w:val="20"/>
              </w:rPr>
              <w:t>0.</w:t>
            </w:r>
            <w:r>
              <w:rPr>
                <w:sz w:val="20"/>
                <w:szCs w:val="20"/>
              </w:rPr>
              <w:t>97</w:t>
            </w:r>
            <w:r w:rsidRPr="007F5665">
              <w:rPr>
                <w:sz w:val="20"/>
                <w:szCs w:val="20"/>
              </w:rPr>
              <w:t xml:space="preserve"> ±</w:t>
            </w:r>
            <w:r>
              <w:rPr>
                <w:sz w:val="20"/>
                <w:szCs w:val="20"/>
              </w:rPr>
              <w:t xml:space="preserve"> 0.11</w:t>
            </w:r>
          </w:p>
        </w:tc>
        <w:tc>
          <w:tcPr>
            <w:tcW w:w="0" w:type="auto"/>
          </w:tcPr>
          <w:p w14:paraId="7AF22E41" w14:textId="77777777" w:rsidR="00352F0C" w:rsidRPr="007F5665" w:rsidRDefault="00352F0C" w:rsidP="004410EA">
            <w:pPr>
              <w:jc w:val="center"/>
              <w:rPr>
                <w:sz w:val="20"/>
                <w:szCs w:val="20"/>
                <w:vertAlign w:val="superscript"/>
              </w:rPr>
            </w:pPr>
            <w:r>
              <w:rPr>
                <w:sz w:val="20"/>
                <w:szCs w:val="20"/>
              </w:rPr>
              <w:t>0.91</w:t>
            </w:r>
            <w:r w:rsidRPr="007F5665">
              <w:rPr>
                <w:sz w:val="20"/>
                <w:szCs w:val="20"/>
              </w:rPr>
              <w:t xml:space="preserve"> ±</w:t>
            </w:r>
            <w:r>
              <w:rPr>
                <w:sz w:val="20"/>
                <w:szCs w:val="20"/>
              </w:rPr>
              <w:t xml:space="preserve"> 0.07</w:t>
            </w:r>
            <w:r w:rsidRPr="007F5665">
              <w:rPr>
                <w:sz w:val="20"/>
                <w:szCs w:val="20"/>
              </w:rPr>
              <w:t xml:space="preserve"> </w:t>
            </w:r>
          </w:p>
        </w:tc>
        <w:tc>
          <w:tcPr>
            <w:tcW w:w="0" w:type="auto"/>
          </w:tcPr>
          <w:p w14:paraId="37E56B33" w14:textId="77777777" w:rsidR="00352F0C" w:rsidRPr="007F5665" w:rsidRDefault="00352F0C" w:rsidP="004410EA">
            <w:pPr>
              <w:jc w:val="center"/>
              <w:rPr>
                <w:sz w:val="20"/>
                <w:szCs w:val="20"/>
              </w:rPr>
            </w:pPr>
            <w:r>
              <w:rPr>
                <w:sz w:val="20"/>
                <w:szCs w:val="20"/>
              </w:rPr>
              <w:t>≥0.999</w:t>
            </w:r>
          </w:p>
        </w:tc>
      </w:tr>
      <w:tr w:rsidR="00352F0C" w:rsidRPr="00F1467C" w14:paraId="0336360B" w14:textId="77777777" w:rsidTr="004410EA">
        <w:trPr>
          <w:trHeight w:val="283"/>
        </w:trPr>
        <w:tc>
          <w:tcPr>
            <w:tcW w:w="0" w:type="auto"/>
          </w:tcPr>
          <w:p w14:paraId="13CB378C" w14:textId="77777777" w:rsidR="00352F0C" w:rsidRPr="007F5665" w:rsidRDefault="00352F0C" w:rsidP="004410EA">
            <w:pPr>
              <w:rPr>
                <w:sz w:val="20"/>
                <w:szCs w:val="20"/>
              </w:rPr>
            </w:pPr>
            <w:r w:rsidRPr="007F5665">
              <w:rPr>
                <w:sz w:val="20"/>
                <w:szCs w:val="20"/>
              </w:rPr>
              <w:t>MR, n</w:t>
            </w:r>
          </w:p>
        </w:tc>
        <w:tc>
          <w:tcPr>
            <w:tcW w:w="0" w:type="auto"/>
          </w:tcPr>
          <w:p w14:paraId="761EBF83" w14:textId="337C6CFC" w:rsidR="00352F0C" w:rsidRPr="00E311D2" w:rsidRDefault="00352F0C" w:rsidP="004410EA">
            <w:pPr>
              <w:jc w:val="center"/>
              <w:rPr>
                <w:sz w:val="20"/>
                <w:szCs w:val="20"/>
              </w:rPr>
            </w:pPr>
            <w:r>
              <w:rPr>
                <w:sz w:val="20"/>
                <w:szCs w:val="20"/>
              </w:rPr>
              <w:t>7</w:t>
            </w:r>
            <w:r w:rsidRPr="007F5665">
              <w:rPr>
                <w:sz w:val="20"/>
                <w:szCs w:val="20"/>
              </w:rPr>
              <w:t>/0/0</w:t>
            </w:r>
            <w:r w:rsidR="00DA271C">
              <w:rPr>
                <w:sz w:val="20"/>
                <w:szCs w:val="20"/>
              </w:rPr>
              <w:t>/0</w:t>
            </w:r>
          </w:p>
        </w:tc>
        <w:tc>
          <w:tcPr>
            <w:tcW w:w="0" w:type="auto"/>
          </w:tcPr>
          <w:p w14:paraId="14A5F3A3" w14:textId="476DC1B5" w:rsidR="00352F0C" w:rsidRPr="00E311D2" w:rsidRDefault="00352F0C" w:rsidP="004410EA">
            <w:pPr>
              <w:jc w:val="center"/>
              <w:rPr>
                <w:sz w:val="20"/>
                <w:szCs w:val="20"/>
              </w:rPr>
            </w:pPr>
            <w:r>
              <w:rPr>
                <w:sz w:val="20"/>
                <w:szCs w:val="20"/>
              </w:rPr>
              <w:t>8</w:t>
            </w:r>
            <w:r w:rsidRPr="007F5665">
              <w:rPr>
                <w:sz w:val="20"/>
                <w:szCs w:val="20"/>
              </w:rPr>
              <w:t>/0/0</w:t>
            </w:r>
            <w:r w:rsidR="00DA271C">
              <w:rPr>
                <w:sz w:val="20"/>
                <w:szCs w:val="20"/>
              </w:rPr>
              <w:t>/0</w:t>
            </w:r>
          </w:p>
        </w:tc>
        <w:tc>
          <w:tcPr>
            <w:tcW w:w="0" w:type="auto"/>
          </w:tcPr>
          <w:p w14:paraId="3D806F2F" w14:textId="77777777" w:rsidR="00352F0C" w:rsidRPr="007F5665" w:rsidRDefault="00352F0C" w:rsidP="004410EA">
            <w:pPr>
              <w:jc w:val="center"/>
              <w:rPr>
                <w:sz w:val="20"/>
                <w:szCs w:val="20"/>
                <w:highlight w:val="yellow"/>
              </w:rPr>
            </w:pPr>
            <w:r>
              <w:rPr>
                <w:sz w:val="20"/>
                <w:szCs w:val="20"/>
              </w:rPr>
              <w:t>≥0.999</w:t>
            </w:r>
          </w:p>
        </w:tc>
      </w:tr>
      <w:tr w:rsidR="00352F0C" w:rsidRPr="00F1467C" w14:paraId="3F1E047C" w14:textId="77777777" w:rsidTr="004410EA">
        <w:trPr>
          <w:trHeight w:val="283"/>
        </w:trPr>
        <w:tc>
          <w:tcPr>
            <w:tcW w:w="0" w:type="auto"/>
          </w:tcPr>
          <w:p w14:paraId="51C400E9" w14:textId="77777777" w:rsidR="00352F0C" w:rsidRPr="007F5665" w:rsidRDefault="00352F0C" w:rsidP="004410EA">
            <w:pPr>
              <w:rPr>
                <w:sz w:val="20"/>
                <w:szCs w:val="20"/>
              </w:rPr>
            </w:pPr>
            <w:r w:rsidRPr="007F5665">
              <w:rPr>
                <w:sz w:val="20"/>
                <w:szCs w:val="20"/>
              </w:rPr>
              <w:t>Peak E (m/s)</w:t>
            </w:r>
          </w:p>
        </w:tc>
        <w:tc>
          <w:tcPr>
            <w:tcW w:w="0" w:type="auto"/>
          </w:tcPr>
          <w:p w14:paraId="6763DE56" w14:textId="77777777" w:rsidR="00352F0C" w:rsidRPr="007F5665" w:rsidRDefault="00352F0C" w:rsidP="004410EA">
            <w:pPr>
              <w:jc w:val="center"/>
              <w:rPr>
                <w:sz w:val="20"/>
                <w:szCs w:val="20"/>
              </w:rPr>
            </w:pPr>
            <w:r>
              <w:rPr>
                <w:sz w:val="20"/>
                <w:szCs w:val="20"/>
              </w:rPr>
              <w:t xml:space="preserve">0.7 ± 0.05 </w:t>
            </w:r>
            <w:r w:rsidRPr="00CE2A2B">
              <w:rPr>
                <w:sz w:val="20"/>
                <w:szCs w:val="20"/>
                <w:vertAlign w:val="superscript"/>
              </w:rPr>
              <w:t>6</w:t>
            </w:r>
          </w:p>
        </w:tc>
        <w:tc>
          <w:tcPr>
            <w:tcW w:w="0" w:type="auto"/>
          </w:tcPr>
          <w:p w14:paraId="7D55651A" w14:textId="77777777" w:rsidR="00352F0C" w:rsidRPr="007F5665" w:rsidRDefault="00352F0C" w:rsidP="004410EA">
            <w:pPr>
              <w:jc w:val="center"/>
              <w:rPr>
                <w:sz w:val="20"/>
                <w:szCs w:val="20"/>
                <w:vertAlign w:val="superscript"/>
              </w:rPr>
            </w:pPr>
            <w:r>
              <w:rPr>
                <w:sz w:val="20"/>
                <w:szCs w:val="20"/>
              </w:rPr>
              <w:t>0.7 ± 0.04</w:t>
            </w:r>
            <w:r w:rsidRPr="007F5665">
              <w:rPr>
                <w:sz w:val="20"/>
                <w:szCs w:val="20"/>
              </w:rPr>
              <w:t xml:space="preserve"> </w:t>
            </w:r>
            <w:r w:rsidRPr="007F5665">
              <w:rPr>
                <w:sz w:val="20"/>
                <w:szCs w:val="20"/>
                <w:vertAlign w:val="superscript"/>
              </w:rPr>
              <w:t>8</w:t>
            </w:r>
          </w:p>
        </w:tc>
        <w:tc>
          <w:tcPr>
            <w:tcW w:w="0" w:type="auto"/>
          </w:tcPr>
          <w:p w14:paraId="50148ACF" w14:textId="77777777" w:rsidR="00352F0C" w:rsidRPr="007F5665" w:rsidRDefault="00352F0C" w:rsidP="004410EA">
            <w:pPr>
              <w:jc w:val="center"/>
              <w:rPr>
                <w:sz w:val="20"/>
                <w:szCs w:val="20"/>
              </w:rPr>
            </w:pPr>
            <w:r w:rsidRPr="005302B3">
              <w:rPr>
                <w:sz w:val="20"/>
                <w:szCs w:val="20"/>
              </w:rPr>
              <w:t>≥0.999</w:t>
            </w:r>
          </w:p>
        </w:tc>
      </w:tr>
      <w:tr w:rsidR="00352F0C" w:rsidRPr="00F1467C" w14:paraId="0458B301" w14:textId="77777777" w:rsidTr="004410EA">
        <w:trPr>
          <w:trHeight w:val="283"/>
        </w:trPr>
        <w:tc>
          <w:tcPr>
            <w:tcW w:w="0" w:type="auto"/>
          </w:tcPr>
          <w:p w14:paraId="7D9EE85A" w14:textId="77777777" w:rsidR="00352F0C" w:rsidRPr="007F5665" w:rsidRDefault="00352F0C" w:rsidP="004410EA">
            <w:pPr>
              <w:rPr>
                <w:sz w:val="20"/>
                <w:szCs w:val="20"/>
              </w:rPr>
            </w:pPr>
            <w:r w:rsidRPr="007F5665">
              <w:rPr>
                <w:sz w:val="20"/>
                <w:szCs w:val="20"/>
              </w:rPr>
              <w:t>Peak A (m/s)</w:t>
            </w:r>
          </w:p>
        </w:tc>
        <w:tc>
          <w:tcPr>
            <w:tcW w:w="0" w:type="auto"/>
          </w:tcPr>
          <w:p w14:paraId="5444C6B2" w14:textId="77777777" w:rsidR="00352F0C" w:rsidRPr="007F5665" w:rsidRDefault="00352F0C" w:rsidP="004410EA">
            <w:pPr>
              <w:jc w:val="center"/>
              <w:rPr>
                <w:sz w:val="20"/>
                <w:szCs w:val="20"/>
              </w:rPr>
            </w:pPr>
            <w:r>
              <w:rPr>
                <w:sz w:val="20"/>
                <w:szCs w:val="20"/>
              </w:rPr>
              <w:t xml:space="preserve">0.48 ± 0.07 </w:t>
            </w:r>
            <w:r w:rsidRPr="005302B3">
              <w:rPr>
                <w:sz w:val="20"/>
                <w:szCs w:val="20"/>
                <w:vertAlign w:val="superscript"/>
              </w:rPr>
              <w:t>6</w:t>
            </w:r>
          </w:p>
        </w:tc>
        <w:tc>
          <w:tcPr>
            <w:tcW w:w="0" w:type="auto"/>
          </w:tcPr>
          <w:p w14:paraId="6D877A32" w14:textId="77777777" w:rsidR="00352F0C" w:rsidRPr="007F5665" w:rsidRDefault="00352F0C" w:rsidP="004410EA">
            <w:pPr>
              <w:jc w:val="center"/>
              <w:rPr>
                <w:sz w:val="20"/>
                <w:szCs w:val="20"/>
                <w:vertAlign w:val="superscript"/>
              </w:rPr>
            </w:pPr>
            <w:r>
              <w:rPr>
                <w:sz w:val="20"/>
                <w:szCs w:val="20"/>
              </w:rPr>
              <w:t>0.56 ± 0.07</w:t>
            </w:r>
            <w:r w:rsidRPr="007F5665">
              <w:rPr>
                <w:sz w:val="20"/>
                <w:szCs w:val="20"/>
              </w:rPr>
              <w:t xml:space="preserve"> </w:t>
            </w:r>
            <w:r w:rsidRPr="007F5665">
              <w:rPr>
                <w:sz w:val="20"/>
                <w:szCs w:val="20"/>
                <w:vertAlign w:val="superscript"/>
              </w:rPr>
              <w:t>8</w:t>
            </w:r>
          </w:p>
        </w:tc>
        <w:tc>
          <w:tcPr>
            <w:tcW w:w="0" w:type="auto"/>
          </w:tcPr>
          <w:p w14:paraId="0167C0B6" w14:textId="77777777" w:rsidR="00352F0C" w:rsidRPr="00E648B4" w:rsidRDefault="00352F0C" w:rsidP="004410EA">
            <w:pPr>
              <w:jc w:val="center"/>
              <w:rPr>
                <w:sz w:val="20"/>
                <w:szCs w:val="20"/>
              </w:rPr>
            </w:pPr>
            <w:r>
              <w:rPr>
                <w:sz w:val="20"/>
                <w:szCs w:val="20"/>
              </w:rPr>
              <w:t>≥</w:t>
            </w:r>
            <w:r w:rsidRPr="005302B3">
              <w:rPr>
                <w:sz w:val="20"/>
                <w:szCs w:val="20"/>
              </w:rPr>
              <w:t>0.999</w:t>
            </w:r>
          </w:p>
        </w:tc>
      </w:tr>
      <w:tr w:rsidR="00352F0C" w:rsidRPr="00F1467C" w14:paraId="5A77BA28" w14:textId="77777777" w:rsidTr="004410EA">
        <w:trPr>
          <w:trHeight w:val="283"/>
        </w:trPr>
        <w:tc>
          <w:tcPr>
            <w:tcW w:w="0" w:type="auto"/>
          </w:tcPr>
          <w:p w14:paraId="59D7D945" w14:textId="77777777" w:rsidR="00352F0C" w:rsidRPr="00E648B4" w:rsidRDefault="00352F0C" w:rsidP="004410EA">
            <w:pPr>
              <w:rPr>
                <w:sz w:val="20"/>
                <w:szCs w:val="20"/>
              </w:rPr>
            </w:pPr>
            <w:r w:rsidRPr="00E648B4">
              <w:rPr>
                <w:sz w:val="20"/>
                <w:szCs w:val="20"/>
              </w:rPr>
              <w:t>EDT (ms)</w:t>
            </w:r>
          </w:p>
        </w:tc>
        <w:tc>
          <w:tcPr>
            <w:tcW w:w="0" w:type="auto"/>
          </w:tcPr>
          <w:p w14:paraId="48B72256" w14:textId="77777777" w:rsidR="00352F0C" w:rsidRPr="00E311D2" w:rsidRDefault="00352F0C" w:rsidP="004410EA">
            <w:pPr>
              <w:jc w:val="center"/>
              <w:rPr>
                <w:sz w:val="20"/>
                <w:szCs w:val="20"/>
              </w:rPr>
            </w:pPr>
            <w:r>
              <w:rPr>
                <w:sz w:val="20"/>
                <w:szCs w:val="20"/>
              </w:rPr>
              <w:t>144 ± 6.4</w:t>
            </w:r>
            <w:r w:rsidRPr="00E648B4">
              <w:rPr>
                <w:sz w:val="20"/>
                <w:szCs w:val="20"/>
              </w:rPr>
              <w:t xml:space="preserve"> </w:t>
            </w:r>
            <w:r w:rsidRPr="005302B3">
              <w:rPr>
                <w:sz w:val="20"/>
                <w:szCs w:val="20"/>
                <w:vertAlign w:val="superscript"/>
              </w:rPr>
              <w:t>6</w:t>
            </w:r>
          </w:p>
        </w:tc>
        <w:tc>
          <w:tcPr>
            <w:tcW w:w="0" w:type="auto"/>
          </w:tcPr>
          <w:p w14:paraId="34AD17E8" w14:textId="77777777" w:rsidR="00352F0C" w:rsidRPr="00E648B4" w:rsidRDefault="00352F0C" w:rsidP="004410EA">
            <w:pPr>
              <w:jc w:val="center"/>
              <w:rPr>
                <w:rFonts w:ascii="Cambria Math" w:hAnsi="Cambria Math" w:cs="Cambria Math"/>
                <w:sz w:val="20"/>
                <w:szCs w:val="20"/>
                <w:vertAlign w:val="superscript"/>
              </w:rPr>
            </w:pPr>
            <w:r>
              <w:rPr>
                <w:sz w:val="20"/>
                <w:szCs w:val="20"/>
              </w:rPr>
              <w:t>152 ± 13.5</w:t>
            </w:r>
            <w:r w:rsidRPr="00E648B4">
              <w:rPr>
                <w:sz w:val="20"/>
                <w:szCs w:val="20"/>
              </w:rPr>
              <w:t xml:space="preserve"> </w:t>
            </w:r>
            <w:r w:rsidRPr="00E648B4">
              <w:rPr>
                <w:rFonts w:ascii="Cambria Math" w:hAnsi="Cambria Math" w:cs="Cambria Math"/>
                <w:sz w:val="20"/>
                <w:szCs w:val="20"/>
                <w:vertAlign w:val="superscript"/>
              </w:rPr>
              <w:t>8</w:t>
            </w:r>
          </w:p>
        </w:tc>
        <w:tc>
          <w:tcPr>
            <w:tcW w:w="0" w:type="auto"/>
          </w:tcPr>
          <w:p w14:paraId="6F7AF0E0" w14:textId="77777777" w:rsidR="00352F0C" w:rsidRPr="00D01FEE" w:rsidRDefault="00352F0C" w:rsidP="004410EA">
            <w:pPr>
              <w:jc w:val="center"/>
              <w:rPr>
                <w:sz w:val="20"/>
                <w:szCs w:val="20"/>
              </w:rPr>
            </w:pPr>
            <w:r w:rsidRPr="005302B3">
              <w:rPr>
                <w:sz w:val="20"/>
                <w:szCs w:val="20"/>
              </w:rPr>
              <w:t>≥0.999</w:t>
            </w:r>
          </w:p>
        </w:tc>
      </w:tr>
      <w:tr w:rsidR="00352F0C" w:rsidRPr="00F1467C" w14:paraId="3771DB27" w14:textId="77777777" w:rsidTr="004410EA">
        <w:trPr>
          <w:trHeight w:val="283"/>
        </w:trPr>
        <w:tc>
          <w:tcPr>
            <w:tcW w:w="0" w:type="auto"/>
          </w:tcPr>
          <w:p w14:paraId="3E2D893E" w14:textId="05C4B25B" w:rsidR="00352F0C" w:rsidRPr="00D01FEE" w:rsidRDefault="00352F0C" w:rsidP="004410EA">
            <w:pPr>
              <w:rPr>
                <w:sz w:val="20"/>
                <w:szCs w:val="20"/>
              </w:rPr>
            </w:pPr>
            <w:r w:rsidRPr="00D01FEE">
              <w:rPr>
                <w:sz w:val="20"/>
                <w:szCs w:val="20"/>
              </w:rPr>
              <w:t>E</w:t>
            </w:r>
            <w:r w:rsidR="00C75CC4">
              <w:rPr>
                <w:sz w:val="20"/>
                <w:szCs w:val="20"/>
              </w:rPr>
              <w:t>/</w:t>
            </w:r>
            <w:r w:rsidRPr="00D01FEE">
              <w:rPr>
                <w:sz w:val="20"/>
                <w:szCs w:val="20"/>
              </w:rPr>
              <w:t>A</w:t>
            </w:r>
          </w:p>
        </w:tc>
        <w:tc>
          <w:tcPr>
            <w:tcW w:w="0" w:type="auto"/>
          </w:tcPr>
          <w:p w14:paraId="73F6DAE6" w14:textId="77777777" w:rsidR="00352F0C" w:rsidRPr="00B64D5A" w:rsidRDefault="00352F0C" w:rsidP="004410EA">
            <w:pPr>
              <w:jc w:val="center"/>
              <w:rPr>
                <w:sz w:val="20"/>
                <w:szCs w:val="20"/>
              </w:rPr>
            </w:pPr>
            <w:r>
              <w:rPr>
                <w:sz w:val="20"/>
                <w:szCs w:val="20"/>
              </w:rPr>
              <w:t xml:space="preserve">1.52 </w:t>
            </w:r>
            <w:bookmarkStart w:id="5" w:name="OLE_LINK1"/>
            <w:r>
              <w:rPr>
                <w:sz w:val="20"/>
                <w:szCs w:val="20"/>
              </w:rPr>
              <w:t>±</w:t>
            </w:r>
            <w:bookmarkEnd w:id="5"/>
            <w:r>
              <w:rPr>
                <w:sz w:val="20"/>
                <w:szCs w:val="20"/>
              </w:rPr>
              <w:t xml:space="preserve"> 0.11 </w:t>
            </w:r>
            <w:r w:rsidRPr="005302B3">
              <w:rPr>
                <w:sz w:val="20"/>
                <w:szCs w:val="20"/>
                <w:vertAlign w:val="superscript"/>
              </w:rPr>
              <w:t>6</w:t>
            </w:r>
          </w:p>
        </w:tc>
        <w:tc>
          <w:tcPr>
            <w:tcW w:w="0" w:type="auto"/>
          </w:tcPr>
          <w:p w14:paraId="60389F6A" w14:textId="77777777" w:rsidR="00352F0C" w:rsidRPr="00B64D5A" w:rsidRDefault="00352F0C" w:rsidP="004410EA">
            <w:pPr>
              <w:jc w:val="center"/>
              <w:rPr>
                <w:rFonts w:ascii="Cambria Math" w:hAnsi="Cambria Math" w:cs="Cambria Math"/>
                <w:sz w:val="20"/>
                <w:szCs w:val="20"/>
                <w:vertAlign w:val="superscript"/>
              </w:rPr>
            </w:pPr>
            <w:r>
              <w:rPr>
                <w:sz w:val="20"/>
                <w:szCs w:val="20"/>
              </w:rPr>
              <w:t>1.36 ± 0.13</w:t>
            </w:r>
            <w:r w:rsidRPr="0016744A">
              <w:rPr>
                <w:sz w:val="20"/>
                <w:szCs w:val="20"/>
              </w:rPr>
              <w:t xml:space="preserve"> </w:t>
            </w:r>
            <w:r w:rsidRPr="0016744A">
              <w:rPr>
                <w:rFonts w:ascii="Cambria Math" w:hAnsi="Cambria Math" w:cs="Cambria Math"/>
                <w:sz w:val="20"/>
                <w:szCs w:val="20"/>
                <w:vertAlign w:val="superscript"/>
              </w:rPr>
              <w:t>8</w:t>
            </w:r>
          </w:p>
        </w:tc>
        <w:tc>
          <w:tcPr>
            <w:tcW w:w="0" w:type="auto"/>
          </w:tcPr>
          <w:p w14:paraId="77489B11" w14:textId="77777777" w:rsidR="00352F0C" w:rsidRPr="0016744A" w:rsidRDefault="00352F0C" w:rsidP="004410EA">
            <w:pPr>
              <w:jc w:val="center"/>
              <w:rPr>
                <w:sz w:val="20"/>
                <w:szCs w:val="20"/>
              </w:rPr>
            </w:pPr>
            <w:r w:rsidRPr="005302B3">
              <w:rPr>
                <w:sz w:val="20"/>
                <w:szCs w:val="20"/>
              </w:rPr>
              <w:t>≥0.999</w:t>
            </w:r>
          </w:p>
        </w:tc>
      </w:tr>
      <w:tr w:rsidR="00352F0C" w:rsidRPr="00F1467C" w14:paraId="329A8116" w14:textId="77777777" w:rsidTr="004410EA">
        <w:trPr>
          <w:trHeight w:val="283"/>
        </w:trPr>
        <w:tc>
          <w:tcPr>
            <w:tcW w:w="0" w:type="auto"/>
          </w:tcPr>
          <w:p w14:paraId="25F14A4D" w14:textId="65FAF1EC" w:rsidR="00352F0C" w:rsidRPr="0016744A" w:rsidRDefault="00C75CC4" w:rsidP="004410EA">
            <w:pPr>
              <w:rPr>
                <w:sz w:val="20"/>
                <w:szCs w:val="20"/>
              </w:rPr>
            </w:pPr>
            <w:r>
              <w:rPr>
                <w:sz w:val="20"/>
                <w:szCs w:val="20"/>
              </w:rPr>
              <w:t>e</w:t>
            </w:r>
            <w:r w:rsidR="00352F0C" w:rsidRPr="0016744A">
              <w:rPr>
                <w:sz w:val="20"/>
                <w:szCs w:val="20"/>
              </w:rPr>
              <w:t>' septal (m/s)</w:t>
            </w:r>
          </w:p>
        </w:tc>
        <w:tc>
          <w:tcPr>
            <w:tcW w:w="0" w:type="auto"/>
          </w:tcPr>
          <w:p w14:paraId="34BC2B5D" w14:textId="77777777" w:rsidR="00352F0C" w:rsidRPr="00B64D5A" w:rsidRDefault="00352F0C" w:rsidP="004410EA">
            <w:pPr>
              <w:jc w:val="center"/>
              <w:rPr>
                <w:sz w:val="20"/>
                <w:szCs w:val="20"/>
              </w:rPr>
            </w:pPr>
            <w:r>
              <w:rPr>
                <w:sz w:val="20"/>
                <w:szCs w:val="20"/>
              </w:rPr>
              <w:t>0.07</w:t>
            </w:r>
            <w:r w:rsidRPr="0016744A">
              <w:rPr>
                <w:sz w:val="20"/>
                <w:szCs w:val="20"/>
              </w:rPr>
              <w:t xml:space="preserve"> ± 0.01</w:t>
            </w:r>
          </w:p>
        </w:tc>
        <w:tc>
          <w:tcPr>
            <w:tcW w:w="0" w:type="auto"/>
          </w:tcPr>
          <w:p w14:paraId="31D85BE3" w14:textId="77777777" w:rsidR="00352F0C" w:rsidRPr="00B64D5A" w:rsidRDefault="00352F0C" w:rsidP="004410EA">
            <w:pPr>
              <w:jc w:val="center"/>
              <w:rPr>
                <w:sz w:val="20"/>
                <w:szCs w:val="20"/>
              </w:rPr>
            </w:pPr>
            <w:r>
              <w:rPr>
                <w:sz w:val="20"/>
                <w:szCs w:val="20"/>
              </w:rPr>
              <w:t>0.09</w:t>
            </w:r>
            <w:r w:rsidRPr="0016744A">
              <w:rPr>
                <w:sz w:val="20"/>
                <w:szCs w:val="20"/>
              </w:rPr>
              <w:t xml:space="preserve"> ± 0.01</w:t>
            </w:r>
            <w:r>
              <w:rPr>
                <w:sz w:val="20"/>
                <w:szCs w:val="20"/>
              </w:rPr>
              <w:t xml:space="preserve"> </w:t>
            </w:r>
            <w:r w:rsidRPr="0016744A">
              <w:rPr>
                <w:sz w:val="20"/>
                <w:szCs w:val="20"/>
                <w:vertAlign w:val="superscript"/>
              </w:rPr>
              <w:t>7</w:t>
            </w:r>
          </w:p>
        </w:tc>
        <w:tc>
          <w:tcPr>
            <w:tcW w:w="0" w:type="auto"/>
          </w:tcPr>
          <w:p w14:paraId="5449E9C8" w14:textId="77777777" w:rsidR="00352F0C" w:rsidRPr="0016744A" w:rsidRDefault="00352F0C" w:rsidP="004410EA">
            <w:pPr>
              <w:jc w:val="center"/>
              <w:rPr>
                <w:sz w:val="20"/>
                <w:szCs w:val="20"/>
              </w:rPr>
            </w:pPr>
            <w:r>
              <w:rPr>
                <w:sz w:val="20"/>
                <w:szCs w:val="20"/>
              </w:rPr>
              <w:t>0.447</w:t>
            </w:r>
          </w:p>
        </w:tc>
      </w:tr>
      <w:tr w:rsidR="00352F0C" w:rsidRPr="00F1467C" w14:paraId="3ED7B77F" w14:textId="77777777" w:rsidTr="004410EA">
        <w:trPr>
          <w:trHeight w:val="283"/>
        </w:trPr>
        <w:tc>
          <w:tcPr>
            <w:tcW w:w="0" w:type="auto"/>
          </w:tcPr>
          <w:p w14:paraId="6C570441" w14:textId="671FD2A8" w:rsidR="00352F0C" w:rsidRPr="0016744A" w:rsidRDefault="00C75CC4" w:rsidP="004410EA">
            <w:pPr>
              <w:rPr>
                <w:sz w:val="20"/>
                <w:szCs w:val="20"/>
              </w:rPr>
            </w:pPr>
            <w:r>
              <w:rPr>
                <w:sz w:val="20"/>
                <w:szCs w:val="20"/>
              </w:rPr>
              <w:t>e</w:t>
            </w:r>
            <w:r w:rsidR="00352F0C" w:rsidRPr="0016744A">
              <w:rPr>
                <w:sz w:val="20"/>
                <w:szCs w:val="20"/>
              </w:rPr>
              <w:t>' lateral (m/s)</w:t>
            </w:r>
          </w:p>
        </w:tc>
        <w:tc>
          <w:tcPr>
            <w:tcW w:w="0" w:type="auto"/>
          </w:tcPr>
          <w:p w14:paraId="614B1498" w14:textId="77777777" w:rsidR="00352F0C" w:rsidRPr="0016744A" w:rsidRDefault="00352F0C" w:rsidP="004410EA">
            <w:pPr>
              <w:jc w:val="center"/>
              <w:rPr>
                <w:sz w:val="20"/>
                <w:szCs w:val="20"/>
                <w:vertAlign w:val="superscript"/>
              </w:rPr>
            </w:pPr>
            <w:r>
              <w:rPr>
                <w:sz w:val="20"/>
                <w:szCs w:val="20"/>
              </w:rPr>
              <w:t>0.14</w:t>
            </w:r>
            <w:r w:rsidRPr="0016744A">
              <w:rPr>
                <w:sz w:val="20"/>
                <w:szCs w:val="20"/>
              </w:rPr>
              <w:t xml:space="preserve"> ± 0.01</w:t>
            </w:r>
          </w:p>
        </w:tc>
        <w:tc>
          <w:tcPr>
            <w:tcW w:w="0" w:type="auto"/>
          </w:tcPr>
          <w:p w14:paraId="1861E31D" w14:textId="77777777" w:rsidR="00352F0C" w:rsidRPr="0016744A" w:rsidRDefault="00352F0C" w:rsidP="004410EA">
            <w:pPr>
              <w:jc w:val="center"/>
              <w:rPr>
                <w:sz w:val="20"/>
                <w:szCs w:val="20"/>
                <w:vertAlign w:val="superscript"/>
              </w:rPr>
            </w:pPr>
            <w:r w:rsidRPr="0016744A">
              <w:rPr>
                <w:sz w:val="20"/>
                <w:szCs w:val="20"/>
              </w:rPr>
              <w:t xml:space="preserve">0.14 ± 0.02 </w:t>
            </w:r>
            <w:r>
              <w:rPr>
                <w:sz w:val="20"/>
                <w:szCs w:val="20"/>
                <w:vertAlign w:val="superscript"/>
              </w:rPr>
              <w:t>5</w:t>
            </w:r>
          </w:p>
        </w:tc>
        <w:tc>
          <w:tcPr>
            <w:tcW w:w="0" w:type="auto"/>
          </w:tcPr>
          <w:p w14:paraId="7E52857B" w14:textId="77777777" w:rsidR="00352F0C" w:rsidRPr="0016744A" w:rsidRDefault="00352F0C" w:rsidP="004410EA">
            <w:pPr>
              <w:jc w:val="center"/>
              <w:rPr>
                <w:sz w:val="20"/>
                <w:szCs w:val="20"/>
              </w:rPr>
            </w:pPr>
            <w:r>
              <w:rPr>
                <w:sz w:val="20"/>
                <w:szCs w:val="20"/>
              </w:rPr>
              <w:t>≥0.999</w:t>
            </w:r>
          </w:p>
        </w:tc>
      </w:tr>
      <w:tr w:rsidR="00352F0C" w:rsidRPr="00F1467C" w14:paraId="41BDB3C9" w14:textId="77777777" w:rsidTr="004410EA">
        <w:trPr>
          <w:trHeight w:val="283"/>
        </w:trPr>
        <w:tc>
          <w:tcPr>
            <w:tcW w:w="0" w:type="auto"/>
          </w:tcPr>
          <w:p w14:paraId="74A747B1" w14:textId="46492EBD" w:rsidR="00352F0C" w:rsidRDefault="00352F0C" w:rsidP="004410EA">
            <w:pPr>
              <w:rPr>
                <w:sz w:val="20"/>
                <w:szCs w:val="20"/>
              </w:rPr>
            </w:pPr>
            <w:r w:rsidRPr="0016744A">
              <w:rPr>
                <w:sz w:val="20"/>
                <w:szCs w:val="20"/>
              </w:rPr>
              <w:t>E</w:t>
            </w:r>
            <w:r w:rsidR="00C75CC4">
              <w:rPr>
                <w:sz w:val="20"/>
                <w:szCs w:val="20"/>
              </w:rPr>
              <w:t>/e</w:t>
            </w:r>
            <w:r w:rsidRPr="0016744A">
              <w:rPr>
                <w:sz w:val="20"/>
                <w:szCs w:val="20"/>
              </w:rPr>
              <w:t>' sept</w:t>
            </w:r>
            <w:r>
              <w:rPr>
                <w:sz w:val="20"/>
                <w:szCs w:val="20"/>
              </w:rPr>
              <w:t>al</w:t>
            </w:r>
          </w:p>
        </w:tc>
        <w:tc>
          <w:tcPr>
            <w:tcW w:w="0" w:type="auto"/>
          </w:tcPr>
          <w:p w14:paraId="50765938" w14:textId="77777777" w:rsidR="00352F0C" w:rsidRPr="00B64D5A" w:rsidRDefault="00352F0C" w:rsidP="004410EA">
            <w:pPr>
              <w:jc w:val="center"/>
              <w:rPr>
                <w:sz w:val="20"/>
                <w:szCs w:val="20"/>
              </w:rPr>
            </w:pPr>
            <w:r>
              <w:rPr>
                <w:sz w:val="20"/>
                <w:szCs w:val="20"/>
              </w:rPr>
              <w:t xml:space="preserve">10.65 ± 0.94 </w:t>
            </w:r>
            <w:r w:rsidRPr="0016744A">
              <w:rPr>
                <w:sz w:val="20"/>
                <w:szCs w:val="20"/>
                <w:vertAlign w:val="superscript"/>
              </w:rPr>
              <w:t>6</w:t>
            </w:r>
          </w:p>
        </w:tc>
        <w:tc>
          <w:tcPr>
            <w:tcW w:w="0" w:type="auto"/>
          </w:tcPr>
          <w:p w14:paraId="6749A65D" w14:textId="77777777" w:rsidR="00352F0C" w:rsidRPr="0016744A" w:rsidRDefault="00352F0C" w:rsidP="004410EA">
            <w:pPr>
              <w:jc w:val="center"/>
              <w:rPr>
                <w:sz w:val="20"/>
                <w:szCs w:val="20"/>
                <w:vertAlign w:val="superscript"/>
              </w:rPr>
            </w:pPr>
            <w:r>
              <w:rPr>
                <w:sz w:val="20"/>
                <w:szCs w:val="20"/>
              </w:rPr>
              <w:t>8.54 ± 0.9</w:t>
            </w:r>
            <w:r w:rsidRPr="0016744A">
              <w:rPr>
                <w:sz w:val="20"/>
                <w:szCs w:val="20"/>
              </w:rPr>
              <w:t xml:space="preserve">6 </w:t>
            </w:r>
            <w:r>
              <w:rPr>
                <w:sz w:val="20"/>
                <w:szCs w:val="20"/>
                <w:vertAlign w:val="superscript"/>
              </w:rPr>
              <w:t>7</w:t>
            </w:r>
          </w:p>
        </w:tc>
        <w:tc>
          <w:tcPr>
            <w:tcW w:w="0" w:type="auto"/>
          </w:tcPr>
          <w:p w14:paraId="0F8022A4" w14:textId="77777777" w:rsidR="00352F0C" w:rsidRPr="0016744A" w:rsidRDefault="00352F0C" w:rsidP="004410EA">
            <w:pPr>
              <w:jc w:val="center"/>
              <w:rPr>
                <w:sz w:val="20"/>
                <w:szCs w:val="20"/>
              </w:rPr>
            </w:pPr>
            <w:r>
              <w:rPr>
                <w:sz w:val="20"/>
                <w:szCs w:val="20"/>
              </w:rPr>
              <w:t>0.970</w:t>
            </w:r>
          </w:p>
        </w:tc>
      </w:tr>
      <w:tr w:rsidR="00352F0C" w:rsidRPr="00F1467C" w14:paraId="3591AD94" w14:textId="77777777" w:rsidTr="004410EA">
        <w:trPr>
          <w:trHeight w:val="283"/>
        </w:trPr>
        <w:tc>
          <w:tcPr>
            <w:tcW w:w="0" w:type="auto"/>
          </w:tcPr>
          <w:p w14:paraId="25A7076E" w14:textId="1B591915" w:rsidR="00352F0C" w:rsidRPr="0016744A" w:rsidRDefault="00352F0C" w:rsidP="004410EA">
            <w:pPr>
              <w:rPr>
                <w:sz w:val="20"/>
                <w:szCs w:val="20"/>
              </w:rPr>
            </w:pPr>
            <w:r w:rsidRPr="0016744A">
              <w:rPr>
                <w:sz w:val="20"/>
                <w:szCs w:val="20"/>
              </w:rPr>
              <w:t>E</w:t>
            </w:r>
            <w:r w:rsidR="00C75CC4">
              <w:rPr>
                <w:sz w:val="20"/>
                <w:szCs w:val="20"/>
              </w:rPr>
              <w:t>/e</w:t>
            </w:r>
            <w:r w:rsidRPr="0016744A">
              <w:rPr>
                <w:sz w:val="20"/>
                <w:szCs w:val="20"/>
              </w:rPr>
              <w:t>' latera</w:t>
            </w:r>
            <w:r>
              <w:rPr>
                <w:sz w:val="20"/>
                <w:szCs w:val="20"/>
              </w:rPr>
              <w:t>l</w:t>
            </w:r>
          </w:p>
        </w:tc>
        <w:tc>
          <w:tcPr>
            <w:tcW w:w="0" w:type="auto"/>
          </w:tcPr>
          <w:p w14:paraId="13D4BF89" w14:textId="77777777" w:rsidR="00352F0C" w:rsidRPr="0016744A" w:rsidRDefault="00352F0C" w:rsidP="004410EA">
            <w:pPr>
              <w:jc w:val="center"/>
              <w:rPr>
                <w:sz w:val="20"/>
                <w:szCs w:val="20"/>
                <w:vertAlign w:val="superscript"/>
              </w:rPr>
            </w:pPr>
            <w:r>
              <w:rPr>
                <w:sz w:val="20"/>
                <w:szCs w:val="20"/>
              </w:rPr>
              <w:t>4.85 ± 0.33</w:t>
            </w:r>
            <w:r w:rsidRPr="0016744A">
              <w:rPr>
                <w:sz w:val="20"/>
                <w:szCs w:val="20"/>
              </w:rPr>
              <w:t xml:space="preserve"> </w:t>
            </w:r>
            <w:r w:rsidRPr="0016744A">
              <w:rPr>
                <w:sz w:val="20"/>
                <w:szCs w:val="20"/>
                <w:vertAlign w:val="superscript"/>
              </w:rPr>
              <w:t>6</w:t>
            </w:r>
          </w:p>
        </w:tc>
        <w:tc>
          <w:tcPr>
            <w:tcW w:w="0" w:type="auto"/>
          </w:tcPr>
          <w:p w14:paraId="63C4A390" w14:textId="77777777" w:rsidR="00352F0C" w:rsidRPr="0016744A" w:rsidRDefault="00352F0C" w:rsidP="004410EA">
            <w:pPr>
              <w:jc w:val="center"/>
              <w:rPr>
                <w:sz w:val="20"/>
                <w:szCs w:val="20"/>
                <w:vertAlign w:val="superscript"/>
              </w:rPr>
            </w:pPr>
            <w:r>
              <w:rPr>
                <w:sz w:val="20"/>
                <w:szCs w:val="20"/>
              </w:rPr>
              <w:t>4.94 ± 0.42</w:t>
            </w:r>
            <w:r w:rsidRPr="0016744A">
              <w:rPr>
                <w:sz w:val="20"/>
                <w:szCs w:val="20"/>
              </w:rPr>
              <w:t xml:space="preserve"> </w:t>
            </w:r>
            <w:r w:rsidRPr="0016744A">
              <w:rPr>
                <w:sz w:val="20"/>
                <w:szCs w:val="20"/>
                <w:vertAlign w:val="superscript"/>
              </w:rPr>
              <w:t>5</w:t>
            </w:r>
          </w:p>
        </w:tc>
        <w:tc>
          <w:tcPr>
            <w:tcW w:w="0" w:type="auto"/>
          </w:tcPr>
          <w:p w14:paraId="09C3BF61" w14:textId="77777777" w:rsidR="00352F0C" w:rsidRPr="0016744A" w:rsidRDefault="00352F0C" w:rsidP="004410EA">
            <w:pPr>
              <w:jc w:val="center"/>
              <w:rPr>
                <w:sz w:val="20"/>
                <w:szCs w:val="20"/>
              </w:rPr>
            </w:pPr>
            <w:r>
              <w:rPr>
                <w:sz w:val="20"/>
                <w:szCs w:val="20"/>
              </w:rPr>
              <w:t>≥0.999</w:t>
            </w:r>
          </w:p>
        </w:tc>
      </w:tr>
      <w:tr w:rsidR="00352F0C" w:rsidRPr="00F1467C" w14:paraId="3DBF8F1D" w14:textId="77777777" w:rsidTr="004410EA">
        <w:trPr>
          <w:trHeight w:val="283"/>
        </w:trPr>
        <w:tc>
          <w:tcPr>
            <w:tcW w:w="0" w:type="auto"/>
          </w:tcPr>
          <w:p w14:paraId="30BCC93A" w14:textId="77777777" w:rsidR="00352F0C" w:rsidRPr="0016744A" w:rsidRDefault="00352F0C" w:rsidP="004410EA">
            <w:pPr>
              <w:rPr>
                <w:sz w:val="20"/>
                <w:szCs w:val="20"/>
              </w:rPr>
            </w:pPr>
            <w:r w:rsidRPr="0016744A">
              <w:rPr>
                <w:sz w:val="20"/>
                <w:szCs w:val="20"/>
              </w:rPr>
              <w:t>TAPSE (mm)</w:t>
            </w:r>
          </w:p>
        </w:tc>
        <w:tc>
          <w:tcPr>
            <w:tcW w:w="0" w:type="auto"/>
          </w:tcPr>
          <w:p w14:paraId="55809454" w14:textId="77777777" w:rsidR="00352F0C" w:rsidRPr="00B64D5A" w:rsidRDefault="00352F0C" w:rsidP="004410EA">
            <w:pPr>
              <w:jc w:val="center"/>
              <w:rPr>
                <w:rFonts w:ascii="Cambria Math" w:hAnsi="Cambria Math" w:cs="Cambria Math"/>
                <w:sz w:val="20"/>
                <w:szCs w:val="20"/>
                <w:vertAlign w:val="superscript"/>
              </w:rPr>
            </w:pPr>
            <w:r>
              <w:rPr>
                <w:sz w:val="20"/>
                <w:szCs w:val="20"/>
              </w:rPr>
              <w:t>20 ± 0.9</w:t>
            </w:r>
            <w:r w:rsidRPr="0016744A">
              <w:rPr>
                <w:sz w:val="20"/>
                <w:szCs w:val="20"/>
              </w:rPr>
              <w:t xml:space="preserve"> </w:t>
            </w:r>
            <w:r>
              <w:rPr>
                <w:rFonts w:ascii="Cambria Math" w:hAnsi="Cambria Math" w:cs="Cambria Math"/>
                <w:sz w:val="20"/>
                <w:szCs w:val="20"/>
                <w:vertAlign w:val="superscript"/>
              </w:rPr>
              <w:t>5</w:t>
            </w:r>
          </w:p>
        </w:tc>
        <w:tc>
          <w:tcPr>
            <w:tcW w:w="0" w:type="auto"/>
          </w:tcPr>
          <w:p w14:paraId="40C747B0" w14:textId="77777777" w:rsidR="00352F0C" w:rsidRPr="0016744A" w:rsidRDefault="00352F0C" w:rsidP="004410EA">
            <w:pPr>
              <w:jc w:val="center"/>
              <w:rPr>
                <w:sz w:val="20"/>
                <w:szCs w:val="20"/>
                <w:vertAlign w:val="superscript"/>
              </w:rPr>
            </w:pPr>
            <w:r>
              <w:rPr>
                <w:sz w:val="20"/>
                <w:szCs w:val="20"/>
              </w:rPr>
              <w:t>20.4 ± 1</w:t>
            </w:r>
            <w:r w:rsidRPr="0016744A">
              <w:rPr>
                <w:sz w:val="20"/>
                <w:szCs w:val="20"/>
              </w:rPr>
              <w:t xml:space="preserve"> </w:t>
            </w:r>
            <w:r>
              <w:rPr>
                <w:sz w:val="20"/>
                <w:szCs w:val="20"/>
                <w:vertAlign w:val="superscript"/>
              </w:rPr>
              <w:t>7</w:t>
            </w:r>
          </w:p>
        </w:tc>
        <w:tc>
          <w:tcPr>
            <w:tcW w:w="0" w:type="auto"/>
          </w:tcPr>
          <w:p w14:paraId="3815F75D" w14:textId="77777777" w:rsidR="00352F0C" w:rsidRPr="0016744A" w:rsidRDefault="00352F0C" w:rsidP="004410EA">
            <w:pPr>
              <w:jc w:val="center"/>
              <w:rPr>
                <w:sz w:val="20"/>
                <w:szCs w:val="20"/>
              </w:rPr>
            </w:pPr>
            <w:r w:rsidRPr="00730C65">
              <w:rPr>
                <w:sz w:val="20"/>
                <w:szCs w:val="20"/>
              </w:rPr>
              <w:t>≥0.999</w:t>
            </w:r>
          </w:p>
        </w:tc>
      </w:tr>
    </w:tbl>
    <w:p w14:paraId="78E22DB0" w14:textId="3E6F1D05" w:rsidR="00352F0C" w:rsidRPr="00B64D5A" w:rsidRDefault="00352F0C" w:rsidP="00352F0C">
      <w:pPr>
        <w:pStyle w:val="Caption"/>
        <w:rPr>
          <w:rFonts w:cs="Times New Roman"/>
          <w:b w:val="0"/>
          <w:color w:val="auto"/>
          <w:sz w:val="16"/>
          <w:szCs w:val="16"/>
        </w:rPr>
      </w:pPr>
      <w:r w:rsidRPr="00B64D5A">
        <w:rPr>
          <w:rFonts w:cs="Times New Roman"/>
          <w:sz w:val="16"/>
          <w:szCs w:val="16"/>
        </w:rPr>
        <w:t xml:space="preserve"> </w:t>
      </w:r>
      <w:proofErr w:type="spellStart"/>
      <w:r w:rsidRPr="00B64D5A">
        <w:rPr>
          <w:rFonts w:cs="Times New Roman"/>
          <w:b w:val="0"/>
          <w:color w:val="auto"/>
          <w:sz w:val="16"/>
          <w:szCs w:val="16"/>
        </w:rPr>
        <w:t>LVIDd</w:t>
      </w:r>
      <w:proofErr w:type="spellEnd"/>
      <w:r w:rsidRPr="00B64D5A">
        <w:rPr>
          <w:rFonts w:cs="Times New Roman"/>
          <w:b w:val="0"/>
          <w:color w:val="auto"/>
          <w:sz w:val="16"/>
          <w:szCs w:val="16"/>
        </w:rPr>
        <w:t xml:space="preserve">, Left ventricular internal diameter in diastole; LVIDs, Left ventricular internal diameter in systole measured with M-mode in the right parasternal short-axis view; Volumes of LA and LV and LA area measured with SMOD method in left apical 4 chamber view; LV area in systole and diastole measured </w:t>
      </w:r>
      <w:r w:rsidRPr="00B64D5A">
        <w:rPr>
          <w:rFonts w:cs="Times New Roman"/>
          <w:b w:val="0"/>
          <w:color w:val="auto"/>
          <w:sz w:val="16"/>
          <w:szCs w:val="16"/>
        </w:rPr>
        <w:lastRenderedPageBreak/>
        <w:t xml:space="preserve">in short-axis view using 2D echocardiography. MV Peak E, early diastolic velocity; MV Peak A, atrial contraction velocity; EDT, </w:t>
      </w:r>
      <w:proofErr w:type="spellStart"/>
      <w:r w:rsidRPr="00B64D5A">
        <w:rPr>
          <w:rFonts w:cs="Times New Roman"/>
          <w:b w:val="0"/>
          <w:color w:val="auto"/>
          <w:sz w:val="16"/>
          <w:szCs w:val="16"/>
        </w:rPr>
        <w:t>transmitral</w:t>
      </w:r>
      <w:proofErr w:type="spellEnd"/>
      <w:r w:rsidRPr="00B64D5A">
        <w:rPr>
          <w:rFonts w:cs="Times New Roman"/>
          <w:b w:val="0"/>
          <w:color w:val="auto"/>
          <w:sz w:val="16"/>
          <w:szCs w:val="16"/>
        </w:rPr>
        <w:t xml:space="preserve"> flow deceleration time; E:A, Peak E and A ratio; E' (septal and lateral), isovolumic relaxation time; E/E'(septal and lateral), peak E and isovolumic relaxation time ratio; TAPSE,</w:t>
      </w:r>
      <w:r w:rsidRPr="00BC4844">
        <w:rPr>
          <w:b w:val="0"/>
          <w:color w:val="auto"/>
          <w:sz w:val="16"/>
          <w:szCs w:val="16"/>
        </w:rPr>
        <w:t xml:space="preserve"> </w:t>
      </w:r>
      <w:r w:rsidRPr="00B64D5A">
        <w:rPr>
          <w:rFonts w:cs="Times New Roman"/>
          <w:b w:val="0"/>
          <w:color w:val="auto"/>
          <w:sz w:val="16"/>
          <w:szCs w:val="16"/>
        </w:rPr>
        <w:t>tricuspid annular plane systolic excursion; MR, n, Number of pigs with mitral regurgitation (no/</w:t>
      </w:r>
      <w:r w:rsidR="00DA271C">
        <w:rPr>
          <w:rFonts w:cs="Times New Roman"/>
          <w:b w:val="0"/>
          <w:color w:val="auto"/>
          <w:sz w:val="16"/>
          <w:szCs w:val="16"/>
        </w:rPr>
        <w:t>minimal/</w:t>
      </w:r>
      <w:r w:rsidRPr="00B64D5A">
        <w:rPr>
          <w:rFonts w:cs="Times New Roman"/>
          <w:b w:val="0"/>
          <w:color w:val="auto"/>
          <w:sz w:val="16"/>
          <w:szCs w:val="16"/>
        </w:rPr>
        <w:t>mild/moderate</w:t>
      </w:r>
      <w:r w:rsidR="00DA271C">
        <w:rPr>
          <w:rFonts w:cs="Times New Roman"/>
          <w:b w:val="0"/>
          <w:color w:val="auto"/>
          <w:sz w:val="16"/>
          <w:szCs w:val="16"/>
        </w:rPr>
        <w:t xml:space="preserve"> to severe</w:t>
      </w:r>
      <w:r w:rsidRPr="00B64D5A">
        <w:rPr>
          <w:rFonts w:cs="Times New Roman"/>
          <w:b w:val="0"/>
          <w:color w:val="auto"/>
          <w:sz w:val="16"/>
          <w:szCs w:val="16"/>
        </w:rPr>
        <w:t xml:space="preserve">).Superscripts are the number of animals from which the median in question has been calculated in case of missing observations. Values are expressed in mean ± SEM. Adjusted P values are expressed in the right column (multiple Student t-tests with </w:t>
      </w:r>
      <w:proofErr w:type="spellStart"/>
      <w:r w:rsidRPr="00B64D5A">
        <w:rPr>
          <w:rFonts w:cs="Times New Roman"/>
          <w:b w:val="0"/>
          <w:color w:val="auto"/>
          <w:sz w:val="16"/>
          <w:szCs w:val="16"/>
        </w:rPr>
        <w:t>Benjamini</w:t>
      </w:r>
      <w:proofErr w:type="spellEnd"/>
      <w:r w:rsidRPr="00B64D5A">
        <w:rPr>
          <w:rFonts w:cs="Times New Roman"/>
          <w:b w:val="0"/>
          <w:color w:val="auto"/>
          <w:sz w:val="16"/>
          <w:szCs w:val="16"/>
        </w:rPr>
        <w:t xml:space="preserve">, Krieger and </w:t>
      </w:r>
      <w:proofErr w:type="spellStart"/>
      <w:r w:rsidRPr="00B64D5A">
        <w:rPr>
          <w:rFonts w:cs="Times New Roman"/>
          <w:b w:val="0"/>
          <w:color w:val="auto"/>
          <w:sz w:val="16"/>
          <w:szCs w:val="16"/>
        </w:rPr>
        <w:t>Yekutieli’s</w:t>
      </w:r>
      <w:proofErr w:type="spellEnd"/>
      <w:r w:rsidRPr="00B64D5A">
        <w:rPr>
          <w:rFonts w:cs="Times New Roman"/>
          <w:b w:val="0"/>
          <w:color w:val="auto"/>
          <w:sz w:val="16"/>
          <w:szCs w:val="16"/>
        </w:rPr>
        <w:t xml:space="preserve"> correction for multiple comparisons, Mann-Whitney test for body weight and heart rate). </w:t>
      </w:r>
    </w:p>
    <w:p w14:paraId="17FFB732" w14:textId="77777777" w:rsidR="00352F0C" w:rsidRPr="00FA1B11" w:rsidRDefault="00352F0C" w:rsidP="00352F0C">
      <w:pPr>
        <w:autoSpaceDE w:val="0"/>
        <w:autoSpaceDN w:val="0"/>
        <w:adjustRightInd w:val="0"/>
        <w:spacing w:after="0" w:line="480" w:lineRule="auto"/>
        <w:rPr>
          <w:rFonts w:cs="Times New Roman"/>
          <w:b/>
          <w:color w:val="4F81BD" w:themeColor="accent1"/>
          <w:sz w:val="20"/>
          <w:szCs w:val="20"/>
        </w:rPr>
      </w:pPr>
    </w:p>
    <w:p w14:paraId="23F3F559" w14:textId="77777777" w:rsidR="0027403B" w:rsidRPr="0027403B" w:rsidRDefault="0027403B" w:rsidP="0027403B">
      <w:pPr>
        <w:pStyle w:val="Bibliography"/>
        <w:rPr>
          <w:rFonts w:ascii="Calibri" w:hAnsi="Calibri"/>
        </w:rPr>
      </w:pPr>
      <w:r>
        <w:fldChar w:fldCharType="begin"/>
      </w:r>
      <w:r>
        <w:instrText xml:space="preserve"> ADDIN ZOTERO_BIBL {"uncited":[],"omitted":[],"custom":[]} CSL_BIBLIOGRAPHY </w:instrText>
      </w:r>
      <w:r>
        <w:fldChar w:fldCharType="separate"/>
      </w:r>
      <w:r w:rsidRPr="0027403B">
        <w:rPr>
          <w:rFonts w:ascii="Calibri" w:hAnsi="Calibri"/>
        </w:rPr>
        <w:t xml:space="preserve">1. </w:t>
      </w:r>
      <w:r w:rsidRPr="0027403B">
        <w:rPr>
          <w:rFonts w:ascii="Calibri" w:hAnsi="Calibri"/>
        </w:rPr>
        <w:tab/>
        <w:t xml:space="preserve">Andrew M, Hornberger B. Benchmarking of Machine Learning and Conventional Image Segmentation Techniques on 3D X-ray Microscopy Data. Microsc Microanal. 2018 Aug;24(S2):120–1. </w:t>
      </w:r>
    </w:p>
    <w:p w14:paraId="61181A8B" w14:textId="77777777" w:rsidR="0027403B" w:rsidRPr="0027403B" w:rsidRDefault="0027403B" w:rsidP="0027403B">
      <w:pPr>
        <w:pStyle w:val="Bibliography"/>
        <w:rPr>
          <w:rFonts w:ascii="Calibri" w:hAnsi="Calibri"/>
        </w:rPr>
      </w:pPr>
      <w:r w:rsidRPr="0027403B">
        <w:rPr>
          <w:rFonts w:ascii="Calibri" w:hAnsi="Calibri"/>
        </w:rPr>
        <w:t xml:space="preserve">2. </w:t>
      </w:r>
      <w:r w:rsidRPr="0027403B">
        <w:rPr>
          <w:rFonts w:ascii="Calibri" w:hAnsi="Calibri"/>
        </w:rPr>
        <w:tab/>
        <w:t xml:space="preserve">Volkenandt T, Freitag S, Rauscher M. Machine Learning Powered Image Segmentation. Microsc Microanal. 2018 Aug;24(S1):520–1. </w:t>
      </w:r>
    </w:p>
    <w:p w14:paraId="4823AF30" w14:textId="62E3B970" w:rsidR="00CF65B9" w:rsidRDefault="0027403B">
      <w:r>
        <w:fldChar w:fldCharType="end"/>
      </w:r>
      <w:bookmarkStart w:id="6" w:name="_GoBack"/>
      <w:bookmarkEnd w:id="6"/>
    </w:p>
    <w:sectPr w:rsidR="00CF65B9" w:rsidSect="005C761C">
      <w:footerReference w:type="default" r:id="rId6"/>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06C9" w14:textId="77777777" w:rsidR="00A815B6" w:rsidRDefault="00A815B6">
      <w:pPr>
        <w:spacing w:after="0" w:line="240" w:lineRule="auto"/>
      </w:pPr>
      <w:r>
        <w:separator/>
      </w:r>
    </w:p>
  </w:endnote>
  <w:endnote w:type="continuationSeparator" w:id="0">
    <w:p w14:paraId="7CB2AB4E" w14:textId="77777777" w:rsidR="00A815B6" w:rsidRDefault="00A8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168825"/>
      <w:docPartObj>
        <w:docPartGallery w:val="Page Numbers (Bottom of Page)"/>
        <w:docPartUnique/>
      </w:docPartObj>
    </w:sdtPr>
    <w:sdtEndPr>
      <w:rPr>
        <w:noProof/>
      </w:rPr>
    </w:sdtEndPr>
    <w:sdtContent>
      <w:p w14:paraId="3BCC68D3" w14:textId="77777777" w:rsidR="00A97740" w:rsidRDefault="00352F0C">
        <w:pPr>
          <w:pStyle w:val="Footer"/>
          <w:jc w:val="center"/>
        </w:pPr>
        <w:r>
          <w:fldChar w:fldCharType="begin"/>
        </w:r>
        <w:r>
          <w:instrText xml:space="preserve"> PAGE   \* MERGEFORMAT </w:instrText>
        </w:r>
        <w:r>
          <w:fldChar w:fldCharType="separate"/>
        </w:r>
        <w:r w:rsidR="00DC53EC">
          <w:rPr>
            <w:noProof/>
          </w:rPr>
          <w:t>7</w:t>
        </w:r>
        <w:r>
          <w:rPr>
            <w:noProof/>
          </w:rPr>
          <w:fldChar w:fldCharType="end"/>
        </w:r>
      </w:p>
    </w:sdtContent>
  </w:sdt>
  <w:p w14:paraId="2BDE310F" w14:textId="77777777" w:rsidR="00A97740" w:rsidRDefault="00A8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E1BB" w14:textId="77777777" w:rsidR="00A815B6" w:rsidRDefault="00A815B6">
      <w:pPr>
        <w:spacing w:after="0" w:line="240" w:lineRule="auto"/>
      </w:pPr>
      <w:r>
        <w:separator/>
      </w:r>
    </w:p>
  </w:footnote>
  <w:footnote w:type="continuationSeparator" w:id="0">
    <w:p w14:paraId="752C9FA8" w14:textId="77777777" w:rsidR="00A815B6" w:rsidRDefault="00A81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NDMzMzUxMzSwMDNU0lEKTi0uzszPAykwrgUAvCiUQCwAAAA="/>
  </w:docVars>
  <w:rsids>
    <w:rsidRoot w:val="00352F0C"/>
    <w:rsid w:val="0001612C"/>
    <w:rsid w:val="000E1EC9"/>
    <w:rsid w:val="00143AE5"/>
    <w:rsid w:val="00181043"/>
    <w:rsid w:val="00204DD7"/>
    <w:rsid w:val="00252899"/>
    <w:rsid w:val="0026425F"/>
    <w:rsid w:val="0027403B"/>
    <w:rsid w:val="00283C8A"/>
    <w:rsid w:val="002B44AA"/>
    <w:rsid w:val="002C2808"/>
    <w:rsid w:val="002F5E8B"/>
    <w:rsid w:val="00323449"/>
    <w:rsid w:val="003243DA"/>
    <w:rsid w:val="00351D75"/>
    <w:rsid w:val="00352F0C"/>
    <w:rsid w:val="003A425F"/>
    <w:rsid w:val="003D4A8A"/>
    <w:rsid w:val="0042217C"/>
    <w:rsid w:val="00437A84"/>
    <w:rsid w:val="0044758B"/>
    <w:rsid w:val="004478B9"/>
    <w:rsid w:val="00507B17"/>
    <w:rsid w:val="005B6B91"/>
    <w:rsid w:val="005D18A9"/>
    <w:rsid w:val="005D621A"/>
    <w:rsid w:val="00611E72"/>
    <w:rsid w:val="00625999"/>
    <w:rsid w:val="00635214"/>
    <w:rsid w:val="00636D86"/>
    <w:rsid w:val="0063747E"/>
    <w:rsid w:val="006975E7"/>
    <w:rsid w:val="006A0D44"/>
    <w:rsid w:val="00787753"/>
    <w:rsid w:val="007B5F99"/>
    <w:rsid w:val="00801E0A"/>
    <w:rsid w:val="008110A2"/>
    <w:rsid w:val="00821505"/>
    <w:rsid w:val="008C5974"/>
    <w:rsid w:val="008E2E3E"/>
    <w:rsid w:val="009072F9"/>
    <w:rsid w:val="00931EB8"/>
    <w:rsid w:val="009A06BD"/>
    <w:rsid w:val="009B1CC7"/>
    <w:rsid w:val="009F7E72"/>
    <w:rsid w:val="00A52AA9"/>
    <w:rsid w:val="00A76A50"/>
    <w:rsid w:val="00A815B6"/>
    <w:rsid w:val="00A8386B"/>
    <w:rsid w:val="00A949EB"/>
    <w:rsid w:val="00AE1A7A"/>
    <w:rsid w:val="00B43844"/>
    <w:rsid w:val="00B73FC9"/>
    <w:rsid w:val="00BA3958"/>
    <w:rsid w:val="00BA4269"/>
    <w:rsid w:val="00BA74FA"/>
    <w:rsid w:val="00BE0315"/>
    <w:rsid w:val="00C35D42"/>
    <w:rsid w:val="00C40ED6"/>
    <w:rsid w:val="00C75CC4"/>
    <w:rsid w:val="00C90E57"/>
    <w:rsid w:val="00CC144A"/>
    <w:rsid w:val="00CF65B9"/>
    <w:rsid w:val="00D04A0A"/>
    <w:rsid w:val="00D43AE5"/>
    <w:rsid w:val="00D67D42"/>
    <w:rsid w:val="00D96D7E"/>
    <w:rsid w:val="00DA271C"/>
    <w:rsid w:val="00DB267C"/>
    <w:rsid w:val="00DC53EC"/>
    <w:rsid w:val="00DE654A"/>
    <w:rsid w:val="00DF4133"/>
    <w:rsid w:val="00E03B17"/>
    <w:rsid w:val="00E05D31"/>
    <w:rsid w:val="00E54A5E"/>
    <w:rsid w:val="00E91376"/>
    <w:rsid w:val="00ED6B16"/>
    <w:rsid w:val="00EF0570"/>
    <w:rsid w:val="00F30BFC"/>
    <w:rsid w:val="00F6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598E"/>
  <w15:docId w15:val="{409AE8F3-7769-43B9-879F-B4488FC4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F0C"/>
    <w:rPr>
      <w:lang w:val="en-US"/>
    </w:rPr>
  </w:style>
  <w:style w:type="paragraph" w:styleId="Heading1">
    <w:name w:val="heading 1"/>
    <w:basedOn w:val="Normal"/>
    <w:next w:val="Normal"/>
    <w:link w:val="Heading1Char"/>
    <w:uiPriority w:val="9"/>
    <w:qFormat/>
    <w:rsid w:val="004475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75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99"/>
    <w:rPr>
      <w:rFonts w:ascii="Segoe UI" w:hAnsi="Segoe UI" w:cs="Segoe UI"/>
      <w:sz w:val="18"/>
      <w:szCs w:val="18"/>
    </w:rPr>
  </w:style>
  <w:style w:type="table" w:styleId="TableGrid">
    <w:name w:val="Table Grid"/>
    <w:basedOn w:val="TableNormal"/>
    <w:uiPriority w:val="59"/>
    <w:rsid w:val="00352F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2F0C"/>
    <w:pPr>
      <w:spacing w:line="240" w:lineRule="auto"/>
    </w:pPr>
    <w:rPr>
      <w:b/>
      <w:bCs/>
      <w:color w:val="4F81BD" w:themeColor="accent1"/>
      <w:sz w:val="18"/>
      <w:szCs w:val="18"/>
    </w:rPr>
  </w:style>
  <w:style w:type="paragraph" w:styleId="Footer">
    <w:name w:val="footer"/>
    <w:basedOn w:val="Normal"/>
    <w:link w:val="FooterChar"/>
    <w:uiPriority w:val="99"/>
    <w:unhideWhenUsed/>
    <w:rsid w:val="00352F0C"/>
    <w:pPr>
      <w:tabs>
        <w:tab w:val="center" w:pos="4986"/>
        <w:tab w:val="right" w:pos="9972"/>
      </w:tabs>
      <w:spacing w:after="0" w:line="240" w:lineRule="auto"/>
    </w:pPr>
  </w:style>
  <w:style w:type="character" w:customStyle="1" w:styleId="FooterChar">
    <w:name w:val="Footer Char"/>
    <w:basedOn w:val="DefaultParagraphFont"/>
    <w:link w:val="Footer"/>
    <w:uiPriority w:val="99"/>
    <w:rsid w:val="00352F0C"/>
    <w:rPr>
      <w:lang w:val="en-US"/>
    </w:rPr>
  </w:style>
  <w:style w:type="table" w:styleId="MediumList1-Accent1">
    <w:name w:val="Medium List 1 Accent 1"/>
    <w:basedOn w:val="TableNormal"/>
    <w:uiPriority w:val="65"/>
    <w:rsid w:val="00352F0C"/>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44758B"/>
    <w:rPr>
      <w:sz w:val="16"/>
      <w:szCs w:val="16"/>
    </w:rPr>
  </w:style>
  <w:style w:type="paragraph" w:styleId="CommentText">
    <w:name w:val="annotation text"/>
    <w:basedOn w:val="Normal"/>
    <w:link w:val="CommentTextChar"/>
    <w:uiPriority w:val="99"/>
    <w:semiHidden/>
    <w:unhideWhenUsed/>
    <w:rsid w:val="0044758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44758B"/>
    <w:rPr>
      <w:sz w:val="20"/>
      <w:szCs w:val="20"/>
    </w:rPr>
  </w:style>
  <w:style w:type="character" w:customStyle="1" w:styleId="Heading1Char">
    <w:name w:val="Heading 1 Char"/>
    <w:basedOn w:val="DefaultParagraphFont"/>
    <w:link w:val="Heading1"/>
    <w:uiPriority w:val="9"/>
    <w:rsid w:val="0044758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4758B"/>
    <w:rPr>
      <w:rFonts w:asciiTheme="majorHAnsi" w:eastAsiaTheme="majorEastAsia" w:hAnsiTheme="majorHAnsi" w:cstheme="majorBidi"/>
      <w:color w:val="365F91" w:themeColor="accent1" w:themeShade="BF"/>
      <w:sz w:val="26"/>
      <w:szCs w:val="26"/>
      <w:lang w:val="en-US"/>
    </w:rPr>
  </w:style>
  <w:style w:type="paragraph" w:styleId="Bibliography">
    <w:name w:val="Bibliography"/>
    <w:basedOn w:val="Normal"/>
    <w:next w:val="Normal"/>
    <w:uiPriority w:val="37"/>
    <w:unhideWhenUsed/>
    <w:rsid w:val="0027403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2089</Words>
  <Characters>10594</Characters>
  <Application>Microsoft Office Word</Application>
  <DocSecurity>0</DocSecurity>
  <Lines>882</Lines>
  <Paragraphs>704</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Goldin Diness</dc:creator>
  <cp:lastModifiedBy>Jonas Goldin Diness</cp:lastModifiedBy>
  <cp:revision>4</cp:revision>
  <dcterms:created xsi:type="dcterms:W3CDTF">2020-04-01T18:55:00Z</dcterms:created>
  <dcterms:modified xsi:type="dcterms:W3CDTF">2020-04-02T08:17:00Z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43823</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ZOTERO_PREF_1">
    <vt:lpwstr>&lt;data data-version="3" zotero-version="5.0.82"&gt;&lt;session id="oUfgf89b"/&gt;&lt;style id="http://www.zotero.org/styles/vancouver" locale="en-GB" hasBibliography="1" bibliographyStyleHasBeenSet="1"/&gt;&lt;prefs&gt;&lt;pref name="fieldType" value="Field"/&gt;&lt;/prefs&gt;&lt;/data&gt;</vt:lpwstr>
  </property>
</Properties>
</file>