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D018" w14:textId="30EA80F8" w:rsidR="00233574" w:rsidRPr="00643076" w:rsidRDefault="00FE5226" w:rsidP="00830518">
      <w:pPr>
        <w:spacing w:line="360" w:lineRule="auto"/>
        <w:jc w:val="left"/>
        <w:rPr>
          <w:rFonts w:ascii="Times New Roman" w:eastAsiaTheme="majorHAnsi" w:hAnsi="Times New Roman" w:cs="Times New Roman"/>
          <w:sz w:val="24"/>
          <w:szCs w:val="24"/>
          <w:lang w:val="en-GB"/>
        </w:rPr>
      </w:pPr>
      <w:r w:rsidRPr="00643076">
        <w:rPr>
          <w:rFonts w:ascii="Times New Roman" w:eastAsiaTheme="majorHAnsi" w:hAnsi="Times New Roman" w:cs="Times New Roman" w:hint="eastAsia"/>
          <w:b/>
          <w:bCs/>
          <w:sz w:val="24"/>
          <w:szCs w:val="24"/>
          <w:lang w:val="en-GB"/>
        </w:rPr>
        <w:t>T</w:t>
      </w:r>
      <w:r w:rsidRPr="00643076">
        <w:rPr>
          <w:rFonts w:ascii="Times New Roman" w:eastAsiaTheme="majorHAnsi" w:hAnsi="Times New Roman" w:cs="Times New Roman"/>
          <w:b/>
          <w:bCs/>
          <w:sz w:val="24"/>
          <w:szCs w:val="24"/>
          <w:lang w:val="en-GB"/>
        </w:rPr>
        <w:t>able</w:t>
      </w:r>
      <w:r w:rsidR="00FF4F1B" w:rsidRPr="00643076">
        <w:rPr>
          <w:rFonts w:ascii="Times New Roman" w:eastAsiaTheme="majorHAnsi" w:hAnsi="Times New Roman" w:cs="Times New Roman"/>
          <w:b/>
          <w:bCs/>
          <w:sz w:val="24"/>
          <w:szCs w:val="24"/>
          <w:lang w:val="en-GB"/>
        </w:rPr>
        <w:t xml:space="preserve"> </w:t>
      </w:r>
      <w:r w:rsidR="00FF4F1B" w:rsidRPr="00643076">
        <w:rPr>
          <w:rFonts w:ascii="Times New Roman" w:eastAsiaTheme="majorHAnsi" w:hAnsi="Times New Roman" w:cs="Times New Roman" w:hint="eastAsia"/>
          <w:b/>
          <w:bCs/>
          <w:sz w:val="24"/>
          <w:szCs w:val="24"/>
          <w:lang w:val="en-GB"/>
        </w:rPr>
        <w:t>S1</w:t>
      </w:r>
      <w:r w:rsidRPr="00643076">
        <w:rPr>
          <w:rFonts w:ascii="Times New Roman" w:eastAsiaTheme="majorHAnsi" w:hAnsi="Times New Roman" w:cs="Times New Roman"/>
          <w:b/>
          <w:bCs/>
          <w:sz w:val="24"/>
          <w:szCs w:val="24"/>
          <w:lang w:val="en-GB"/>
        </w:rPr>
        <w:t>:</w:t>
      </w:r>
      <w:r w:rsidR="00233574" w:rsidRPr="00643076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="00233574" w:rsidRPr="00643076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 xml:space="preserve">Quality scores of observational studies in the </w:t>
      </w:r>
      <w:r w:rsidR="00233574" w:rsidRPr="00643076">
        <w:rPr>
          <w:rFonts w:ascii="Times New Roman" w:eastAsiaTheme="majorHAnsi" w:hAnsi="Times New Roman" w:cs="Times New Roman"/>
          <w:sz w:val="24"/>
          <w:szCs w:val="24"/>
          <w:lang w:val="en-GB"/>
        </w:rPr>
        <w:t>meta-analysis</w:t>
      </w:r>
      <w:r w:rsidR="00233574" w:rsidRPr="00643076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 xml:space="preserve"> based on</w:t>
      </w:r>
      <w:r w:rsidR="00233574" w:rsidRPr="00643076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NOS </w:t>
      </w:r>
      <w:r w:rsidR="00233574" w:rsidRPr="00643076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scor</w:t>
      </w:r>
      <w:r w:rsidR="00233574" w:rsidRPr="00643076">
        <w:rPr>
          <w:rFonts w:ascii="Times New Roman" w:eastAsiaTheme="majorHAnsi" w:hAnsi="Times New Roman" w:cs="Times New Roman"/>
          <w:sz w:val="24"/>
          <w:szCs w:val="24"/>
          <w:lang w:val="en-GB"/>
        </w:rPr>
        <w:t>ing</w:t>
      </w:r>
      <w:r w:rsidR="00233574" w:rsidRPr="00643076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 xml:space="preserve"> system</w:t>
      </w:r>
    </w:p>
    <w:tbl>
      <w:tblPr>
        <w:tblStyle w:val="4"/>
        <w:tblW w:w="8236" w:type="dxa"/>
        <w:tblLook w:val="04A0" w:firstRow="1" w:lastRow="0" w:firstColumn="1" w:lastColumn="0" w:noHBand="0" w:noVBand="1"/>
      </w:tblPr>
      <w:tblGrid>
        <w:gridCol w:w="1487"/>
        <w:gridCol w:w="1183"/>
        <w:gridCol w:w="1009"/>
        <w:gridCol w:w="1440"/>
        <w:gridCol w:w="1849"/>
        <w:gridCol w:w="1268"/>
      </w:tblGrid>
      <w:tr w:rsidR="00233574" w:rsidRPr="00425532" w14:paraId="31C7D9AB" w14:textId="77777777" w:rsidTr="00285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9CA694" w14:textId="5FC8F860" w:rsidR="00233574" w:rsidRPr="00425532" w:rsidRDefault="00233574" w:rsidP="0083051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Study</w:t>
            </w:r>
            <w:r w:rsidR="00365EFA"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8AF541A" w14:textId="3BED5F5B" w:rsidR="00233574" w:rsidRPr="00425532" w:rsidRDefault="00233574" w:rsidP="0083051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Study</w:t>
            </w:r>
            <w:r w:rsidR="00365EFA"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93A6F90" w14:textId="77777777" w:rsidR="00233574" w:rsidRPr="00425532" w:rsidRDefault="00233574" w:rsidP="0083051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Selection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D6ECE9" w14:textId="77777777" w:rsidR="00233574" w:rsidRPr="00425532" w:rsidRDefault="00233574" w:rsidP="0083051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Comparability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D4B7B64" w14:textId="77777777" w:rsidR="00233574" w:rsidRPr="00425532" w:rsidRDefault="00233574" w:rsidP="0083051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Outcome/Exposure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3C96F84" w14:textId="77777777" w:rsidR="00233574" w:rsidRPr="00425532" w:rsidRDefault="00233574" w:rsidP="0083051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Total Scores</w:t>
            </w:r>
          </w:p>
        </w:tc>
      </w:tr>
      <w:tr w:rsidR="00233574" w:rsidRPr="00425532" w14:paraId="683760E5" w14:textId="77777777" w:rsidTr="0028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5AF6503C" w14:textId="77777777" w:rsidR="00233574" w:rsidRPr="00425532" w:rsidRDefault="00233574" w:rsidP="0083051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Oltmanns2014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3670E2D7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23BB322A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★★★★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5F8049DA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579E0CCE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★★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655E2828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3574" w:rsidRPr="00425532" w14:paraId="712620A8" w14:textId="77777777" w:rsidTr="00365EF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F8D0D48" w14:textId="77777777" w:rsidR="00233574" w:rsidRPr="00425532" w:rsidRDefault="00233574" w:rsidP="0083051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Bonella2013</w:t>
            </w:r>
          </w:p>
        </w:tc>
        <w:tc>
          <w:tcPr>
            <w:tcW w:w="0" w:type="auto"/>
            <w:shd w:val="clear" w:color="auto" w:fill="auto"/>
          </w:tcPr>
          <w:p w14:paraId="51433FB3" w14:textId="77777777" w:rsidR="00233574" w:rsidRPr="00425532" w:rsidRDefault="00233574" w:rsidP="00830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1BEF86E1" w14:textId="77777777" w:rsidR="00233574" w:rsidRPr="00425532" w:rsidRDefault="00233574" w:rsidP="00830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★★★★</w:t>
            </w:r>
          </w:p>
        </w:tc>
        <w:tc>
          <w:tcPr>
            <w:tcW w:w="0" w:type="auto"/>
            <w:shd w:val="clear" w:color="auto" w:fill="auto"/>
          </w:tcPr>
          <w:p w14:paraId="4F1618D7" w14:textId="77777777" w:rsidR="00233574" w:rsidRPr="00425532" w:rsidRDefault="00233574" w:rsidP="00830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0" w:type="auto"/>
            <w:shd w:val="clear" w:color="auto" w:fill="auto"/>
          </w:tcPr>
          <w:p w14:paraId="1DC3C54D" w14:textId="77777777" w:rsidR="00233574" w:rsidRPr="00425532" w:rsidRDefault="00233574" w:rsidP="00830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★★</w:t>
            </w:r>
          </w:p>
        </w:tc>
        <w:tc>
          <w:tcPr>
            <w:tcW w:w="0" w:type="auto"/>
            <w:shd w:val="clear" w:color="auto" w:fill="auto"/>
          </w:tcPr>
          <w:p w14:paraId="7A74E29A" w14:textId="77777777" w:rsidR="00233574" w:rsidRPr="00425532" w:rsidRDefault="00233574" w:rsidP="00830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3574" w:rsidRPr="00425532" w14:paraId="165DBDD5" w14:textId="77777777" w:rsidTr="0036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EBFD0D4" w14:textId="77777777" w:rsidR="00233574" w:rsidRPr="00425532" w:rsidRDefault="00233574" w:rsidP="0083051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Mao2018</w:t>
            </w:r>
          </w:p>
        </w:tc>
        <w:tc>
          <w:tcPr>
            <w:tcW w:w="0" w:type="auto"/>
            <w:shd w:val="clear" w:color="auto" w:fill="auto"/>
          </w:tcPr>
          <w:p w14:paraId="7FBB4255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4DECB79B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★★★★</w:t>
            </w:r>
          </w:p>
        </w:tc>
        <w:tc>
          <w:tcPr>
            <w:tcW w:w="0" w:type="auto"/>
            <w:shd w:val="clear" w:color="auto" w:fill="auto"/>
          </w:tcPr>
          <w:p w14:paraId="0D4C918C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0" w:type="auto"/>
            <w:shd w:val="clear" w:color="auto" w:fill="auto"/>
          </w:tcPr>
          <w:p w14:paraId="4D787256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★★★</w:t>
            </w:r>
          </w:p>
        </w:tc>
        <w:tc>
          <w:tcPr>
            <w:tcW w:w="0" w:type="auto"/>
            <w:shd w:val="clear" w:color="auto" w:fill="auto"/>
          </w:tcPr>
          <w:p w14:paraId="20C73C37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3574" w:rsidRPr="00425532" w14:paraId="0BE6339F" w14:textId="77777777" w:rsidTr="00365EF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5486288" w14:textId="77777777" w:rsidR="00233574" w:rsidRPr="00425532" w:rsidRDefault="00233574" w:rsidP="0083051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Ma2018</w:t>
            </w:r>
          </w:p>
        </w:tc>
        <w:tc>
          <w:tcPr>
            <w:tcW w:w="0" w:type="auto"/>
            <w:shd w:val="clear" w:color="auto" w:fill="auto"/>
          </w:tcPr>
          <w:p w14:paraId="64F8C030" w14:textId="77777777" w:rsidR="00233574" w:rsidRPr="00425532" w:rsidRDefault="00233574" w:rsidP="00830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35F1E7E6" w14:textId="77777777" w:rsidR="00233574" w:rsidRPr="00425532" w:rsidRDefault="00233574" w:rsidP="00830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★★★★</w:t>
            </w:r>
          </w:p>
        </w:tc>
        <w:tc>
          <w:tcPr>
            <w:tcW w:w="0" w:type="auto"/>
            <w:shd w:val="clear" w:color="auto" w:fill="auto"/>
          </w:tcPr>
          <w:p w14:paraId="1C5A4311" w14:textId="77777777" w:rsidR="00233574" w:rsidRPr="00425532" w:rsidRDefault="00233574" w:rsidP="00830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★★</w:t>
            </w:r>
          </w:p>
        </w:tc>
        <w:tc>
          <w:tcPr>
            <w:tcW w:w="0" w:type="auto"/>
            <w:shd w:val="clear" w:color="auto" w:fill="auto"/>
          </w:tcPr>
          <w:p w14:paraId="4DCB94DA" w14:textId="77777777" w:rsidR="00233574" w:rsidRPr="00425532" w:rsidRDefault="00233574" w:rsidP="00830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★★</w:t>
            </w:r>
          </w:p>
        </w:tc>
        <w:tc>
          <w:tcPr>
            <w:tcW w:w="0" w:type="auto"/>
            <w:shd w:val="clear" w:color="auto" w:fill="auto"/>
          </w:tcPr>
          <w:p w14:paraId="161A5972" w14:textId="77777777" w:rsidR="00233574" w:rsidRPr="00425532" w:rsidRDefault="00233574" w:rsidP="00830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574" w:rsidRPr="00425532" w14:paraId="54CBE0CF" w14:textId="77777777" w:rsidTr="0028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19572000" w14:textId="77777777" w:rsidR="00233574" w:rsidRPr="00425532" w:rsidRDefault="00233574" w:rsidP="0083051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Sakamoto2014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3E734D2F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6864CBDA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★★★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7DED6AD8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1828DBF4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Segoe UI Symbol" w:hAnsi="Segoe UI Symbol" w:cs="Segoe UI Symbol"/>
                <w:sz w:val="20"/>
                <w:szCs w:val="20"/>
              </w:rPr>
              <w:t>★★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728AE04D" w14:textId="77777777" w:rsidR="00233574" w:rsidRPr="00425532" w:rsidRDefault="00233574" w:rsidP="00830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078515E" w14:textId="6B887502" w:rsidR="00233574" w:rsidRPr="00425532" w:rsidRDefault="00233574" w:rsidP="009B3762">
      <w:pPr>
        <w:spacing w:line="360" w:lineRule="auto"/>
        <w:jc w:val="left"/>
        <w:rPr>
          <w:rFonts w:ascii="Times New Roman" w:eastAsiaTheme="majorHAnsi" w:hAnsi="Times New Roman" w:cs="Times New Roman"/>
          <w:sz w:val="20"/>
          <w:szCs w:val="20"/>
          <w:lang w:val="en-GB"/>
        </w:rPr>
      </w:pPr>
      <w:r w:rsidRPr="00425532">
        <w:rPr>
          <w:rFonts w:ascii="Times New Roman" w:eastAsiaTheme="majorHAnsi" w:hAnsi="Times New Roman" w:cs="Times New Roman"/>
          <w:sz w:val="20"/>
          <w:szCs w:val="20"/>
          <w:lang w:val="en-GB"/>
        </w:rPr>
        <w:t>Abbreviations:</w:t>
      </w:r>
      <w:r w:rsidRPr="00425532">
        <w:rPr>
          <w:rFonts w:ascii="Times New Roman" w:eastAsiaTheme="majorHAnsi" w:hAnsi="Times New Roman" w:cs="Times New Roman" w:hint="eastAsia"/>
          <w:sz w:val="20"/>
          <w:szCs w:val="20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/>
          <w:sz w:val="20"/>
          <w:szCs w:val="20"/>
          <w:lang w:val="en-GB"/>
        </w:rPr>
        <w:t xml:space="preserve">NOS: </w:t>
      </w:r>
      <w:r w:rsidRPr="00425532">
        <w:rPr>
          <w:rFonts w:ascii="Times New Roman" w:eastAsiaTheme="majorHAnsi" w:hAnsi="Times New Roman" w:cs="Times New Roman" w:hint="eastAsia"/>
          <w:sz w:val="20"/>
          <w:szCs w:val="20"/>
          <w:lang w:val="en-GB"/>
        </w:rPr>
        <w:t>Newcastle</w:t>
      </w:r>
      <w:r w:rsidRPr="00425532">
        <w:rPr>
          <w:rFonts w:ascii="Times New Roman" w:eastAsiaTheme="majorHAnsi" w:hAnsi="Times New Roman" w:cs="Times New Roman"/>
          <w:sz w:val="20"/>
          <w:szCs w:val="20"/>
          <w:lang w:val="en-GB"/>
        </w:rPr>
        <w:t>-O</w:t>
      </w:r>
      <w:r w:rsidRPr="00425532">
        <w:rPr>
          <w:rFonts w:ascii="Times New Roman" w:eastAsiaTheme="majorHAnsi" w:hAnsi="Times New Roman" w:cs="Times New Roman" w:hint="eastAsia"/>
          <w:sz w:val="20"/>
          <w:szCs w:val="20"/>
          <w:lang w:val="en-GB"/>
        </w:rPr>
        <w:t>ttawa</w:t>
      </w:r>
      <w:r w:rsidRPr="00425532">
        <w:rPr>
          <w:rFonts w:ascii="Times New Roman" w:eastAsiaTheme="majorHAnsi" w:hAnsi="Times New Roman" w:cs="Times New Roman"/>
          <w:sz w:val="20"/>
          <w:szCs w:val="20"/>
          <w:lang w:val="en-GB"/>
        </w:rPr>
        <w:t xml:space="preserve"> q</w:t>
      </w:r>
      <w:r w:rsidRPr="00425532">
        <w:rPr>
          <w:rFonts w:ascii="Times New Roman" w:eastAsiaTheme="majorHAnsi" w:hAnsi="Times New Roman" w:cs="Times New Roman" w:hint="eastAsia"/>
          <w:sz w:val="20"/>
          <w:szCs w:val="20"/>
          <w:lang w:val="en-GB"/>
        </w:rPr>
        <w:t>uality</w:t>
      </w:r>
      <w:r w:rsidRPr="00425532">
        <w:rPr>
          <w:rFonts w:ascii="Times New Roman" w:eastAsiaTheme="majorHAnsi" w:hAnsi="Times New Roman" w:cs="Times New Roman"/>
          <w:sz w:val="20"/>
          <w:szCs w:val="20"/>
          <w:lang w:val="en-GB"/>
        </w:rPr>
        <w:t xml:space="preserve"> a</w:t>
      </w:r>
      <w:r w:rsidRPr="00425532">
        <w:rPr>
          <w:rFonts w:ascii="Times New Roman" w:eastAsiaTheme="majorHAnsi" w:hAnsi="Times New Roman" w:cs="Times New Roman" w:hint="eastAsia"/>
          <w:sz w:val="20"/>
          <w:szCs w:val="20"/>
          <w:lang w:val="en-GB"/>
        </w:rPr>
        <w:t xml:space="preserve">ssessment </w:t>
      </w:r>
      <w:r w:rsidRPr="00425532">
        <w:rPr>
          <w:rFonts w:ascii="Times New Roman" w:eastAsiaTheme="majorHAnsi" w:hAnsi="Times New Roman" w:cs="Times New Roman"/>
          <w:sz w:val="20"/>
          <w:szCs w:val="20"/>
          <w:lang w:val="en-GB"/>
        </w:rPr>
        <w:t>s</w:t>
      </w:r>
      <w:r w:rsidRPr="00425532">
        <w:rPr>
          <w:rFonts w:ascii="Times New Roman" w:eastAsiaTheme="majorHAnsi" w:hAnsi="Times New Roman" w:cs="Times New Roman" w:hint="eastAsia"/>
          <w:sz w:val="20"/>
          <w:szCs w:val="20"/>
          <w:lang w:val="en-GB"/>
        </w:rPr>
        <w:t>cale</w:t>
      </w:r>
      <w:r w:rsidRPr="00425532">
        <w:rPr>
          <w:rFonts w:ascii="Times New Roman" w:eastAsiaTheme="majorHAnsi" w:hAnsi="Times New Roman" w:cs="Times New Roman"/>
          <w:sz w:val="20"/>
          <w:szCs w:val="20"/>
          <w:lang w:val="en-GB"/>
        </w:rPr>
        <w:t xml:space="preserve">, </w:t>
      </w:r>
      <w:r w:rsidRPr="00425532">
        <w:rPr>
          <w:rFonts w:ascii="Times New Roman" w:eastAsiaTheme="majorHAnsi" w:hAnsi="Times New Roman" w:cs="Times New Roman" w:hint="eastAsia"/>
          <w:sz w:val="20"/>
          <w:szCs w:val="20"/>
          <w:lang w:val="en-GB"/>
        </w:rPr>
        <w:t>Cohort</w:t>
      </w:r>
      <w:r w:rsidRPr="00425532">
        <w:rPr>
          <w:rFonts w:ascii="Times New Roman" w:eastAsiaTheme="majorHAnsi" w:hAnsi="Times New Roman" w:cs="Times New Roman"/>
          <w:sz w:val="20"/>
          <w:szCs w:val="20"/>
          <w:lang w:val="en-GB"/>
        </w:rPr>
        <w:t>: C</w:t>
      </w:r>
      <w:r w:rsidRPr="00425532">
        <w:rPr>
          <w:rFonts w:ascii="Times New Roman" w:eastAsiaTheme="majorHAnsi" w:hAnsi="Times New Roman" w:cs="Times New Roman" w:hint="eastAsia"/>
          <w:sz w:val="20"/>
          <w:szCs w:val="20"/>
          <w:lang w:val="en-GB"/>
        </w:rPr>
        <w:t>ohort study</w:t>
      </w:r>
      <w:r w:rsidRPr="00425532">
        <w:rPr>
          <w:rFonts w:ascii="Times New Roman" w:eastAsiaTheme="majorHAnsi" w:hAnsi="Times New Roman" w:cs="Times New Roman"/>
          <w:sz w:val="20"/>
          <w:szCs w:val="20"/>
          <w:lang w:val="en-GB"/>
        </w:rPr>
        <w:t>,</w:t>
      </w:r>
      <w:r w:rsidRPr="00425532">
        <w:rPr>
          <w:rFonts w:ascii="Times New Roman" w:eastAsiaTheme="majorHAnsi" w:hAnsi="Times New Roman" w:cs="Times New Roman" w:hint="eastAsia"/>
          <w:sz w:val="20"/>
          <w:szCs w:val="20"/>
          <w:lang w:val="en-GB"/>
        </w:rPr>
        <w:t xml:space="preserve"> CC</w:t>
      </w:r>
      <w:r w:rsidRPr="00425532">
        <w:rPr>
          <w:rFonts w:ascii="Times New Roman" w:eastAsiaTheme="majorHAnsi" w:hAnsi="Times New Roman" w:cs="Times New Roman"/>
          <w:sz w:val="20"/>
          <w:szCs w:val="20"/>
          <w:lang w:val="en-GB"/>
        </w:rPr>
        <w:t>: C</w:t>
      </w:r>
      <w:r w:rsidRPr="00425532">
        <w:rPr>
          <w:rFonts w:ascii="Times New Roman" w:eastAsiaTheme="majorHAnsi" w:hAnsi="Times New Roman" w:cs="Times New Roman" w:hint="eastAsia"/>
          <w:sz w:val="20"/>
          <w:szCs w:val="20"/>
          <w:lang w:val="en-GB"/>
        </w:rPr>
        <w:t xml:space="preserve">ase-control study </w:t>
      </w:r>
    </w:p>
    <w:p w14:paraId="6CFDC59C" w14:textId="77777777" w:rsidR="00254F6B" w:rsidRPr="00425532" w:rsidRDefault="00254F6B" w:rsidP="009B3762">
      <w:pPr>
        <w:spacing w:line="360" w:lineRule="auto"/>
        <w:jc w:val="left"/>
        <w:rPr>
          <w:rFonts w:ascii="Times New Roman" w:eastAsiaTheme="majorHAnsi" w:hAnsi="Times New Roman" w:cs="Times New Roman"/>
          <w:sz w:val="20"/>
          <w:szCs w:val="20"/>
          <w:lang w:val="en-GB"/>
        </w:rPr>
      </w:pPr>
    </w:p>
    <w:p w14:paraId="56C60A6A" w14:textId="65D2016F" w:rsidR="00FE5226" w:rsidRPr="00425532" w:rsidRDefault="00254F6B" w:rsidP="009B3762">
      <w:pPr>
        <w:spacing w:line="360" w:lineRule="auto"/>
        <w:jc w:val="left"/>
        <w:rPr>
          <w:rFonts w:ascii="Times New Roman" w:eastAsiaTheme="majorHAnsi" w:hAnsi="Times New Roman" w:cs="Times New Roman"/>
          <w:sz w:val="20"/>
          <w:szCs w:val="20"/>
          <w:lang w:val="en-GB"/>
        </w:rPr>
      </w:pPr>
      <w:r w:rsidRPr="00425532">
        <w:rPr>
          <w:noProof/>
        </w:rPr>
        <w:drawing>
          <wp:inline distT="0" distB="0" distL="0" distR="0" wp14:anchorId="750A5881" wp14:editId="603D0889">
            <wp:extent cx="5265420" cy="4698946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43" cy="47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5A6AF" w14:textId="04450B80" w:rsidR="00B63138" w:rsidRPr="00425532" w:rsidRDefault="00B63138" w:rsidP="00B63138">
      <w:pPr>
        <w:spacing w:line="480" w:lineRule="auto"/>
        <w:rPr>
          <w:rFonts w:ascii="Times New Roman" w:eastAsiaTheme="majorHAnsi" w:hAnsi="Times New Roman" w:cs="Times New Roman"/>
          <w:sz w:val="24"/>
          <w:szCs w:val="24"/>
          <w:lang w:val="en-GB"/>
        </w:rPr>
      </w:pPr>
      <w:r w:rsidRPr="00643076">
        <w:rPr>
          <w:rFonts w:ascii="Times New Roman" w:eastAsiaTheme="majorHAnsi" w:hAnsi="Times New Roman" w:cs="Times New Roman"/>
          <w:b/>
          <w:bCs/>
          <w:sz w:val="24"/>
          <w:szCs w:val="24"/>
          <w:lang w:val="en-GB"/>
        </w:rPr>
        <w:t xml:space="preserve">Figure </w:t>
      </w:r>
      <w:r w:rsidR="00FF4F1B" w:rsidRPr="00643076">
        <w:rPr>
          <w:rFonts w:ascii="Times New Roman" w:eastAsiaTheme="majorHAnsi" w:hAnsi="Times New Roman" w:cs="Times New Roman" w:hint="eastAsia"/>
          <w:b/>
          <w:bCs/>
          <w:sz w:val="24"/>
          <w:szCs w:val="24"/>
          <w:lang w:val="en-GB"/>
        </w:rPr>
        <w:t>S</w:t>
      </w:r>
      <w:r w:rsidRPr="00643076">
        <w:rPr>
          <w:rFonts w:ascii="Times New Roman" w:eastAsiaTheme="majorHAnsi" w:hAnsi="Times New Roman" w:cs="Times New Roman"/>
          <w:b/>
          <w:bCs/>
          <w:sz w:val="24"/>
          <w:szCs w:val="24"/>
          <w:lang w:val="en-GB"/>
        </w:rPr>
        <w:t>1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Forest plot of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 xml:space="preserve">efficacy profile 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(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outcomes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: the predicted decline in FVC% (Figure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 xml:space="preserve"> </w:t>
      </w:r>
      <w:r w:rsidR="00FF4F1B"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1-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a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)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 xml:space="preserve">and </w:t>
      </w:r>
      <w:proofErr w:type="spellStart"/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DLco</w:t>
      </w:r>
      <w:proofErr w:type="spellEnd"/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% (Figure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 xml:space="preserve"> </w:t>
      </w:r>
      <w:r w:rsidR="00FF4F1B"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1-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b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)) between </w:t>
      </w:r>
      <w:r w:rsidRPr="00425532">
        <w:rPr>
          <w:rFonts w:ascii="Times New Roman" w:eastAsia="等线 Light" w:hAnsi="Times New Roman" w:cs="Times New Roman"/>
          <w:sz w:val="24"/>
          <w:szCs w:val="24"/>
          <w:lang w:val="en-GB"/>
        </w:rPr>
        <w:t xml:space="preserve">the 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combined pirfenidone and 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lastRenderedPageBreak/>
        <w:t xml:space="preserve">acetylcysteine group and </w:t>
      </w:r>
      <w:r w:rsidRPr="00425532">
        <w:rPr>
          <w:rFonts w:ascii="Times New Roman" w:eastAsia="等线 Light" w:hAnsi="Times New Roman" w:cs="Times New Roman"/>
          <w:sz w:val="24"/>
          <w:szCs w:val="24"/>
          <w:lang w:val="en-GB"/>
        </w:rPr>
        <w:t xml:space="preserve">the 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pirfenidone alone group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with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only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oral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NAC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studies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. FVC: forced vital capacity, PFD: pirfenidone, NAC: N-acetylcysteine.</w:t>
      </w:r>
    </w:p>
    <w:p w14:paraId="1F79527D" w14:textId="77777777" w:rsidR="00254F6B" w:rsidRPr="00425532" w:rsidRDefault="00254F6B" w:rsidP="00B63138">
      <w:pPr>
        <w:spacing w:line="480" w:lineRule="auto"/>
        <w:rPr>
          <w:rFonts w:ascii="Times New Roman" w:eastAsiaTheme="majorHAnsi" w:hAnsi="Times New Roman" w:cs="Times New Roman"/>
          <w:sz w:val="24"/>
          <w:szCs w:val="24"/>
          <w:lang w:val="en-GB"/>
        </w:rPr>
      </w:pPr>
    </w:p>
    <w:p w14:paraId="7C584A8F" w14:textId="7BA1D983" w:rsidR="00B63138" w:rsidRPr="00425532" w:rsidRDefault="00254F6B" w:rsidP="00B63138">
      <w:pPr>
        <w:spacing w:line="480" w:lineRule="auto"/>
        <w:rPr>
          <w:rFonts w:ascii="Times New Roman" w:eastAsiaTheme="majorHAnsi" w:hAnsi="Times New Roman" w:cs="Times New Roman"/>
          <w:sz w:val="24"/>
          <w:szCs w:val="24"/>
          <w:lang w:val="en-GB"/>
        </w:rPr>
      </w:pPr>
      <w:r w:rsidRPr="00425532">
        <w:rPr>
          <w:noProof/>
        </w:rPr>
        <w:drawing>
          <wp:inline distT="0" distB="0" distL="0" distR="0" wp14:anchorId="4CAD37EF" wp14:editId="10341E33">
            <wp:extent cx="5273040" cy="4659247"/>
            <wp:effectExtent l="0" t="0" r="381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33" cy="466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1389F" w14:textId="02FA6C17" w:rsidR="00B63138" w:rsidRPr="00425532" w:rsidRDefault="00B63138" w:rsidP="00B63138">
      <w:pPr>
        <w:spacing w:line="480" w:lineRule="auto"/>
        <w:rPr>
          <w:rFonts w:ascii="Times New Roman" w:eastAsiaTheme="majorHAnsi" w:hAnsi="Times New Roman" w:cs="Times New Roman"/>
          <w:sz w:val="24"/>
          <w:szCs w:val="24"/>
          <w:lang w:val="en-GB"/>
        </w:rPr>
      </w:pPr>
      <w:r w:rsidRPr="00643076">
        <w:rPr>
          <w:rFonts w:ascii="Times New Roman" w:eastAsiaTheme="majorHAnsi" w:hAnsi="Times New Roman" w:cs="Times New Roman"/>
          <w:b/>
          <w:bCs/>
          <w:sz w:val="24"/>
          <w:szCs w:val="24"/>
          <w:lang w:val="en-GB"/>
        </w:rPr>
        <w:t xml:space="preserve">Figure </w:t>
      </w:r>
      <w:r w:rsidR="00FF4F1B" w:rsidRPr="00643076">
        <w:rPr>
          <w:rFonts w:ascii="Times New Roman" w:eastAsiaTheme="majorHAnsi" w:hAnsi="Times New Roman" w:cs="Times New Roman" w:hint="eastAsia"/>
          <w:b/>
          <w:bCs/>
          <w:sz w:val="24"/>
          <w:szCs w:val="24"/>
          <w:lang w:val="en-GB"/>
        </w:rPr>
        <w:t>S</w:t>
      </w:r>
      <w:r w:rsidRPr="00643076">
        <w:rPr>
          <w:rFonts w:ascii="Times New Roman" w:eastAsiaTheme="majorHAnsi" w:hAnsi="Times New Roman" w:cs="Times New Roman"/>
          <w:b/>
          <w:bCs/>
          <w:sz w:val="24"/>
          <w:szCs w:val="24"/>
          <w:lang w:val="en-GB"/>
        </w:rPr>
        <w:t>2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bookmarkStart w:id="0" w:name="_Hlk15637792"/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Forest plot of the safety profile (outcome measure: at least one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side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effect,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 xml:space="preserve">Figure </w:t>
      </w:r>
      <w:r w:rsidR="00FF4F1B"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2-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a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)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 xml:space="preserve">and 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tolerability profile (outcome measure: intolerable side effects leading to treatment discontinuation,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 xml:space="preserve">Figure </w:t>
      </w:r>
      <w:r w:rsidR="00FF4F1B"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2-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b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) between </w:t>
      </w:r>
      <w:r w:rsidRPr="00425532">
        <w:rPr>
          <w:rFonts w:ascii="Times New Roman" w:eastAsia="等线 Light" w:hAnsi="Times New Roman" w:cs="Times New Roman"/>
          <w:sz w:val="24"/>
          <w:szCs w:val="24"/>
          <w:lang w:val="en-GB"/>
        </w:rPr>
        <w:t xml:space="preserve">the 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combined pirfenidone and acetylcysteine group and </w:t>
      </w:r>
      <w:r w:rsidRPr="00425532">
        <w:rPr>
          <w:rFonts w:ascii="Times New Roman" w:eastAsia="等线 Light" w:hAnsi="Times New Roman" w:cs="Times New Roman"/>
          <w:sz w:val="24"/>
          <w:szCs w:val="24"/>
          <w:lang w:val="en-GB"/>
        </w:rPr>
        <w:t xml:space="preserve">the 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pirfenidone alone group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with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only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oral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NAC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studies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. PFD: pirfenidone, NAC: N-acetylcysteine.</w:t>
      </w:r>
    </w:p>
    <w:p w14:paraId="17D2B5F5" w14:textId="77777777" w:rsidR="00254F6B" w:rsidRPr="00425532" w:rsidRDefault="00254F6B" w:rsidP="00B63138">
      <w:pPr>
        <w:spacing w:line="480" w:lineRule="auto"/>
        <w:rPr>
          <w:rFonts w:ascii="Times New Roman" w:eastAsiaTheme="majorHAnsi" w:hAnsi="Times New Roman" w:cs="Times New Roman"/>
          <w:sz w:val="24"/>
          <w:szCs w:val="24"/>
          <w:lang w:val="en-GB"/>
        </w:rPr>
      </w:pPr>
    </w:p>
    <w:bookmarkEnd w:id="0"/>
    <w:p w14:paraId="15562287" w14:textId="1895CCF6" w:rsidR="00B63138" w:rsidRPr="00425532" w:rsidRDefault="00254F6B" w:rsidP="00B63138">
      <w:pPr>
        <w:spacing w:line="480" w:lineRule="auto"/>
        <w:rPr>
          <w:rFonts w:ascii="Times New Roman" w:eastAsiaTheme="majorHAnsi" w:hAnsi="Times New Roman" w:cs="Times New Roman"/>
          <w:sz w:val="24"/>
          <w:szCs w:val="24"/>
          <w:lang w:val="en-GB"/>
        </w:rPr>
      </w:pPr>
      <w:r w:rsidRPr="00425532">
        <w:rPr>
          <w:noProof/>
        </w:rPr>
        <w:lastRenderedPageBreak/>
        <w:drawing>
          <wp:inline distT="0" distB="0" distL="0" distR="0" wp14:anchorId="7FCA2DB5" wp14:editId="7CBA41C1">
            <wp:extent cx="5234940" cy="4948726"/>
            <wp:effectExtent l="0" t="0" r="381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70" cy="495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A9F4B" w14:textId="379EAEDC" w:rsidR="00643076" w:rsidRPr="00F50C66" w:rsidRDefault="00B63138" w:rsidP="00B63138">
      <w:pPr>
        <w:spacing w:line="480" w:lineRule="auto"/>
        <w:rPr>
          <w:rFonts w:ascii="Times New Roman" w:eastAsiaTheme="majorHAnsi" w:hAnsi="Times New Roman" w:cs="Times New Roman" w:hint="eastAsia"/>
          <w:sz w:val="24"/>
          <w:szCs w:val="24"/>
          <w:lang w:val="en-GB"/>
        </w:rPr>
      </w:pPr>
      <w:r w:rsidRPr="00643076">
        <w:rPr>
          <w:rFonts w:ascii="Times New Roman" w:eastAsiaTheme="majorHAnsi" w:hAnsi="Times New Roman" w:cs="Times New Roman"/>
          <w:b/>
          <w:bCs/>
          <w:sz w:val="24"/>
          <w:szCs w:val="24"/>
          <w:lang w:val="en-GB"/>
        </w:rPr>
        <w:t xml:space="preserve">Figure </w:t>
      </w:r>
      <w:r w:rsidR="00425532" w:rsidRPr="00643076">
        <w:rPr>
          <w:rFonts w:ascii="Times New Roman" w:eastAsiaTheme="majorHAnsi" w:hAnsi="Times New Roman" w:cs="Times New Roman" w:hint="eastAsia"/>
          <w:b/>
          <w:bCs/>
          <w:sz w:val="24"/>
          <w:szCs w:val="24"/>
          <w:lang w:val="en-GB"/>
        </w:rPr>
        <w:t>S</w:t>
      </w:r>
      <w:r w:rsidRPr="00643076">
        <w:rPr>
          <w:rFonts w:ascii="Times New Roman" w:eastAsiaTheme="majorHAnsi" w:hAnsi="Times New Roman" w:cs="Times New Roman"/>
          <w:b/>
          <w:bCs/>
          <w:sz w:val="24"/>
          <w:szCs w:val="24"/>
          <w:lang w:val="en-GB"/>
        </w:rPr>
        <w:t>3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Forest plot of </w:t>
      </w:r>
      <w:bookmarkStart w:id="1" w:name="_Hlk15940275"/>
      <w:r w:rsidR="00FE5226"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the</w:t>
      </w:r>
      <w:r w:rsidR="00FE5226"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specific safety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profile (outcome measure: gastrointestinal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side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effects (</w:t>
      </w:r>
      <w:r w:rsidR="00425532"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Figure </w:t>
      </w:r>
      <w:r w:rsidR="00425532"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</w:t>
      </w:r>
      <w:r w:rsidR="00425532"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3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-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a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)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and skin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side effects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(</w:t>
      </w:r>
      <w:r w:rsidR="00425532"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Figure </w:t>
      </w:r>
      <w:r w:rsidR="00425532"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</w:t>
      </w:r>
      <w:r w:rsidR="00425532"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3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-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b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))</w:t>
      </w:r>
      <w:bookmarkEnd w:id="1"/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between the combined pirfenidone and acetylcysteine group and the pirfenidone alone group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with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only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oral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NAC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 xml:space="preserve"> </w:t>
      </w:r>
      <w:r w:rsidRPr="00425532">
        <w:rPr>
          <w:rFonts w:ascii="Times New Roman" w:eastAsiaTheme="majorHAnsi" w:hAnsi="Times New Roman" w:cs="Times New Roman" w:hint="eastAsia"/>
          <w:sz w:val="24"/>
          <w:szCs w:val="24"/>
          <w:lang w:val="en-GB"/>
        </w:rPr>
        <w:t>studies</w:t>
      </w:r>
      <w:r w:rsidRPr="00425532">
        <w:rPr>
          <w:rFonts w:ascii="Times New Roman" w:eastAsiaTheme="majorHAnsi" w:hAnsi="Times New Roman" w:cs="Times New Roman"/>
          <w:sz w:val="24"/>
          <w:szCs w:val="24"/>
          <w:lang w:val="en-GB"/>
        </w:rPr>
        <w:t>. PFD: pirfenidone, NAC: N-acetylcysteine.</w:t>
      </w:r>
      <w:bookmarkStart w:id="2" w:name="_GoBack"/>
      <w:bookmarkEnd w:id="2"/>
    </w:p>
    <w:sectPr w:rsidR="00643076" w:rsidRPr="00F50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0sDQ3MbIwMjYzNjJU0lEKTi0uzszPAykwqgUAmCVrLCwAAAA="/>
  </w:docVars>
  <w:rsids>
    <w:rsidRoot w:val="008A4E26"/>
    <w:rsid w:val="00233574"/>
    <w:rsid w:val="00254F6B"/>
    <w:rsid w:val="002851C2"/>
    <w:rsid w:val="00365EFA"/>
    <w:rsid w:val="00425532"/>
    <w:rsid w:val="004F7252"/>
    <w:rsid w:val="00643076"/>
    <w:rsid w:val="0068140F"/>
    <w:rsid w:val="00830518"/>
    <w:rsid w:val="008A4E26"/>
    <w:rsid w:val="009726D2"/>
    <w:rsid w:val="009B3762"/>
    <w:rsid w:val="00B63138"/>
    <w:rsid w:val="00DA5028"/>
    <w:rsid w:val="00F50C66"/>
    <w:rsid w:val="00FE5226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A0EB"/>
  <w15:chartTrackingRefBased/>
  <w15:docId w15:val="{301EDCB3-3753-4572-8495-4FCE905F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2335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3">
    <w:name w:val="Hyperlink"/>
    <w:basedOn w:val="a0"/>
    <w:uiPriority w:val="99"/>
    <w:unhideWhenUsed/>
    <w:rsid w:val="00643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hanyu shi</dc:creator>
  <cp:keywords/>
  <dc:description/>
  <cp:lastModifiedBy>hanyu shi</cp:lastModifiedBy>
  <cp:revision>15</cp:revision>
  <dcterms:created xsi:type="dcterms:W3CDTF">2019-08-02T03:22:00Z</dcterms:created>
  <dcterms:modified xsi:type="dcterms:W3CDTF">2020-03-16T08:55:00Z</dcterms:modified>
</cp:coreProperties>
</file>