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9B" w:rsidRPr="00A01C81" w:rsidRDefault="00056E9B" w:rsidP="00056E9B">
      <w:pPr>
        <w:spacing w:line="480" w:lineRule="auto"/>
        <w:rPr>
          <w:rFonts w:ascii="Arial" w:hAnsi="Arial" w:cs="Arial"/>
          <w:b/>
          <w:sz w:val="22"/>
        </w:rPr>
      </w:pPr>
      <w:r w:rsidRPr="00A01C81">
        <w:rPr>
          <w:rFonts w:ascii="Arial" w:hAnsi="Arial" w:cs="Arial"/>
          <w:b/>
          <w:sz w:val="22"/>
        </w:rPr>
        <w:t>Supplementary Materials</w:t>
      </w:r>
    </w:p>
    <w:p w:rsidR="00056E9B" w:rsidRPr="00A01C81" w:rsidRDefault="00056E9B" w:rsidP="00056E9B">
      <w:pPr>
        <w:spacing w:line="480" w:lineRule="auto"/>
        <w:rPr>
          <w:rFonts w:ascii="Arial" w:hAnsi="Arial" w:cs="Arial"/>
          <w:b/>
          <w:sz w:val="22"/>
        </w:rPr>
      </w:pPr>
      <w:r w:rsidRPr="00A01C81">
        <w:rPr>
          <w:rFonts w:ascii="Arial" w:hAnsi="Arial" w:cs="Arial"/>
          <w:b/>
          <w:sz w:val="22"/>
        </w:rPr>
        <w:t>Methods:</w:t>
      </w:r>
    </w:p>
    <w:p w:rsidR="00056E9B" w:rsidRPr="008F1D7A" w:rsidRDefault="00056E9B" w:rsidP="00056E9B">
      <w:pPr>
        <w:spacing w:line="480" w:lineRule="auto"/>
        <w:ind w:firstLine="720"/>
        <w:rPr>
          <w:rFonts w:ascii="Arial" w:hAnsi="Arial" w:cs="Arial"/>
          <w:sz w:val="22"/>
        </w:rPr>
      </w:pPr>
      <w:r w:rsidRPr="0032238D">
        <w:rPr>
          <w:rFonts w:ascii="Arial" w:hAnsi="Arial" w:cs="Arial"/>
          <w:i/>
          <w:sz w:val="22"/>
        </w:rPr>
        <w:t>Image acquisition</w:t>
      </w:r>
      <w:r>
        <w:rPr>
          <w:rFonts w:ascii="Arial" w:hAnsi="Arial" w:cs="Arial"/>
          <w:i/>
          <w:sz w:val="22"/>
        </w:rPr>
        <w:t>:</w:t>
      </w:r>
      <w:r w:rsidRPr="0032238D">
        <w:rPr>
          <w:rFonts w:ascii="Arial" w:hAnsi="Arial" w:cs="Arial"/>
          <w:sz w:val="22"/>
        </w:rPr>
        <w:t xml:space="preserve"> All structural MR images were performed on </w:t>
      </w:r>
      <w:r w:rsidRPr="003F6A86" w:rsidDel="00F0756A">
        <w:rPr>
          <w:rFonts w:ascii="Arial" w:hAnsi="Arial" w:cs="Arial"/>
          <w:sz w:val="22"/>
        </w:rPr>
        <w:t xml:space="preserve">Siemens </w:t>
      </w:r>
      <w:r w:rsidRPr="003F6A86">
        <w:rPr>
          <w:rFonts w:ascii="Arial" w:hAnsi="Arial" w:cs="Arial"/>
          <w:sz w:val="22"/>
        </w:rPr>
        <w:t>Trio 3T scanner at the University of California, San Francisco Neuroscience Imaging Center</w:t>
      </w:r>
      <w:r w:rsidRPr="0032238D">
        <w:rPr>
          <w:rFonts w:ascii="Arial" w:hAnsi="Arial" w:cs="Arial"/>
          <w:sz w:val="22"/>
        </w:rPr>
        <w:t xml:space="preserve">.  </w:t>
      </w:r>
      <w:r w:rsidRPr="008F1D7A">
        <w:rPr>
          <w:rFonts w:ascii="Arial" w:hAnsi="Arial" w:cs="Arial"/>
          <w:sz w:val="22"/>
        </w:rPr>
        <w:t>A volumetric magnetization prepared rapid gradient echo sequence obtained a T1-weighted image (repetition time: 2300 ms; echo time: 2.98 ms; flip angle 9°; 160 sagittal slices; matrix size 240 x 256; voxel size = 1 mm</w:t>
      </w:r>
      <w:r w:rsidRPr="008F1D7A">
        <w:rPr>
          <w:rFonts w:ascii="Arial" w:hAnsi="Arial" w:cs="Arial"/>
          <w:sz w:val="22"/>
          <w:vertAlign w:val="superscript"/>
        </w:rPr>
        <w:t>3</w:t>
      </w:r>
      <w:r w:rsidRPr="008F1D7A">
        <w:rPr>
          <w:rFonts w:ascii="Arial" w:hAnsi="Arial" w:cs="Arial"/>
          <w:sz w:val="22"/>
        </w:rPr>
        <w:t xml:space="preserve">). </w:t>
      </w:r>
    </w:p>
    <w:p w:rsidR="00056E9B" w:rsidRPr="0032238D" w:rsidRDefault="00056E9B" w:rsidP="00056E9B">
      <w:pPr>
        <w:spacing w:line="480" w:lineRule="auto"/>
        <w:ind w:firstLine="720"/>
        <w:rPr>
          <w:rFonts w:ascii="Arial" w:hAnsi="Arial" w:cs="Arial"/>
          <w:i/>
          <w:sz w:val="22"/>
        </w:rPr>
      </w:pPr>
      <w:r w:rsidRPr="006E1CE8">
        <w:rPr>
          <w:rFonts w:ascii="Arial" w:hAnsi="Arial" w:cs="Arial"/>
          <w:i/>
          <w:sz w:val="22"/>
        </w:rPr>
        <w:t>Voxel-based morphometry:</w:t>
      </w:r>
      <w:r>
        <w:rPr>
          <w:rFonts w:ascii="Arial" w:hAnsi="Arial" w:cs="Arial"/>
          <w:sz w:val="22"/>
        </w:rPr>
        <w:t xml:space="preserve"> We compared</w:t>
      </w:r>
      <w:r w:rsidRPr="0032238D">
        <w:rPr>
          <w:rFonts w:ascii="Arial" w:hAnsi="Arial" w:cs="Arial"/>
          <w:sz w:val="22"/>
        </w:rPr>
        <w:t xml:space="preserve"> the patient to a group of 30 healthy controls matched for age, sex, </w:t>
      </w:r>
      <w:r>
        <w:rPr>
          <w:rFonts w:ascii="Arial" w:hAnsi="Arial" w:cs="Arial"/>
          <w:sz w:val="22"/>
        </w:rPr>
        <w:t xml:space="preserve">handedness, </w:t>
      </w:r>
      <w:r w:rsidRPr="0032238D">
        <w:rPr>
          <w:rFonts w:ascii="Arial" w:hAnsi="Arial" w:cs="Arial"/>
          <w:sz w:val="22"/>
        </w:rPr>
        <w:t xml:space="preserve">and scanner type. VBM was performed using </w:t>
      </w:r>
      <w:r>
        <w:rPr>
          <w:rFonts w:ascii="Arial" w:hAnsi="Arial" w:cs="Arial"/>
          <w:sz w:val="22"/>
        </w:rPr>
        <w:t xml:space="preserve">the SPM8 VBM8 toolbox </w:t>
      </w:r>
      <w:r w:rsidRPr="0032238D">
        <w:rPr>
          <w:rFonts w:ascii="Arial" w:hAnsi="Arial" w:cs="Arial"/>
          <w:sz w:val="22"/>
        </w:rPr>
        <w:t xml:space="preserve">(SPM8 </w:t>
      </w:r>
      <w:hyperlink r:id="rId5" w:history="1">
        <w:r w:rsidRPr="0032238D">
          <w:rPr>
            <w:rStyle w:val="Hyperlink"/>
            <w:rFonts w:ascii="Arial" w:hAnsi="Arial" w:cs="Arial"/>
            <w:sz w:val="22"/>
          </w:rPr>
          <w:t>http://www.fil.ion.ucl.ac.uk/spm</w:t>
        </w:r>
      </w:hyperlink>
      <w:r w:rsidRPr="0032238D">
        <w:rPr>
          <w:rFonts w:ascii="Arial" w:hAnsi="Arial" w:cs="Arial"/>
          <w:sz w:val="22"/>
        </w:rPr>
        <w:t xml:space="preserve">). T1-weighted images were preprocessed using VBM8 default estimation settings, spatially normalized using </w:t>
      </w:r>
      <w:r>
        <w:rPr>
          <w:rFonts w:ascii="Arial" w:hAnsi="Arial" w:cs="Arial"/>
          <w:sz w:val="22"/>
        </w:rPr>
        <w:t>standard</w:t>
      </w:r>
      <w:r w:rsidRPr="0032238D">
        <w:rPr>
          <w:rFonts w:ascii="Arial" w:hAnsi="Arial" w:cs="Arial"/>
          <w:sz w:val="22"/>
        </w:rPr>
        <w:t xml:space="preserve"> spatial normalization with light clean up (to remove non-brain tissue from data), modulated and normalized for non-linear warping, then segmented into gray and white matter images.  Gray matter images were smoothed using an 8 mm full</w:t>
      </w:r>
      <w:r>
        <w:rPr>
          <w:rFonts w:ascii="Arial" w:hAnsi="Arial" w:cs="Arial"/>
          <w:sz w:val="22"/>
        </w:rPr>
        <w:t>-</w:t>
      </w:r>
      <w:r w:rsidRPr="0032238D">
        <w:rPr>
          <w:rFonts w:ascii="Arial" w:hAnsi="Arial" w:cs="Arial"/>
          <w:sz w:val="22"/>
        </w:rPr>
        <w:t>width at half</w:t>
      </w:r>
      <w:r>
        <w:rPr>
          <w:rFonts w:ascii="Arial" w:hAnsi="Arial" w:cs="Arial"/>
          <w:sz w:val="22"/>
        </w:rPr>
        <w:t>-</w:t>
      </w:r>
      <w:r w:rsidRPr="0032238D">
        <w:rPr>
          <w:rFonts w:ascii="Arial" w:hAnsi="Arial" w:cs="Arial"/>
          <w:sz w:val="22"/>
        </w:rPr>
        <w:t xml:space="preserve">maximum isotropic Gaussian kernel.  </w:t>
      </w:r>
      <w:r>
        <w:rPr>
          <w:rFonts w:ascii="Arial" w:hAnsi="Arial" w:cs="Arial"/>
          <w:sz w:val="22"/>
        </w:rPr>
        <w:t>We used m</w:t>
      </w:r>
      <w:r w:rsidRPr="0032238D">
        <w:rPr>
          <w:rFonts w:ascii="Arial" w:hAnsi="Arial" w:cs="Arial"/>
          <w:sz w:val="22"/>
        </w:rPr>
        <w:t xml:space="preserve">ultiple regression </w:t>
      </w:r>
      <w:r>
        <w:rPr>
          <w:rFonts w:ascii="Arial" w:hAnsi="Arial" w:cs="Arial"/>
          <w:sz w:val="22"/>
        </w:rPr>
        <w:t>compare smoothed gray matter maps of</w:t>
      </w:r>
      <w:r w:rsidRPr="0032238D">
        <w:rPr>
          <w:rFonts w:ascii="Arial" w:hAnsi="Arial" w:cs="Arial"/>
          <w:sz w:val="22"/>
        </w:rPr>
        <w:t xml:space="preserve"> patient to the control grou</w:t>
      </w:r>
      <w:r>
        <w:rPr>
          <w:rFonts w:ascii="Arial" w:hAnsi="Arial" w:cs="Arial"/>
          <w:sz w:val="22"/>
        </w:rPr>
        <w:t>p, with age and total intracranial volume used as nuisance regressors in the model</w:t>
      </w:r>
      <w:r w:rsidRPr="0032238D">
        <w:rPr>
          <w:rFonts w:ascii="Arial" w:hAnsi="Arial" w:cs="Arial"/>
          <w:sz w:val="22"/>
        </w:rPr>
        <w:t xml:space="preserve">.  Significant clusters were </w:t>
      </w:r>
      <w:r>
        <w:rPr>
          <w:rFonts w:ascii="Arial" w:hAnsi="Arial" w:cs="Arial"/>
          <w:sz w:val="22"/>
        </w:rPr>
        <w:t>defined</w:t>
      </w:r>
      <w:r w:rsidRPr="0032238D">
        <w:rPr>
          <w:rFonts w:ascii="Arial" w:hAnsi="Arial" w:cs="Arial"/>
          <w:sz w:val="22"/>
        </w:rPr>
        <w:t xml:space="preserve"> using a </w:t>
      </w:r>
      <w:r>
        <w:rPr>
          <w:rFonts w:ascii="Arial" w:hAnsi="Arial" w:cs="Arial"/>
          <w:sz w:val="22"/>
        </w:rPr>
        <w:t>t</w:t>
      </w:r>
      <w:r w:rsidRPr="0032238D">
        <w:rPr>
          <w:rFonts w:ascii="Arial" w:hAnsi="Arial" w:cs="Arial"/>
          <w:sz w:val="22"/>
        </w:rPr>
        <w:t xml:space="preserve">-threshold </w:t>
      </w:r>
      <w:r>
        <w:rPr>
          <w:rFonts w:ascii="Arial" w:hAnsi="Arial" w:cs="Arial"/>
          <w:sz w:val="22"/>
        </w:rPr>
        <w:t xml:space="preserve">corrected </w:t>
      </w:r>
      <w:r w:rsidRPr="0032238D">
        <w:rPr>
          <w:rFonts w:ascii="Arial" w:hAnsi="Arial" w:cs="Arial"/>
          <w:sz w:val="22"/>
        </w:rPr>
        <w:t xml:space="preserve">for family-wise error at p&lt;0.05 with a minimum cluster size of 50 voxels. </w:t>
      </w:r>
    </w:p>
    <w:p w:rsidR="00056E9B" w:rsidRPr="0032238D" w:rsidRDefault="00056E9B" w:rsidP="00056E9B">
      <w:pPr>
        <w:spacing w:line="480" w:lineRule="auto"/>
        <w:ind w:firstLine="720"/>
        <w:rPr>
          <w:rFonts w:ascii="Arial" w:hAnsi="Arial"/>
          <w:color w:val="000000"/>
          <w:sz w:val="22"/>
        </w:rPr>
      </w:pPr>
      <w:r w:rsidRPr="0032238D">
        <w:rPr>
          <w:rFonts w:ascii="Arial" w:hAnsi="Arial" w:cs="Arial"/>
          <w:sz w:val="22"/>
        </w:rPr>
        <w:t xml:space="preserve">Positron Emission Tomography (PET) imaging with </w:t>
      </w:r>
      <w:r w:rsidRPr="0032238D">
        <w:rPr>
          <w:rFonts w:ascii="Arial" w:hAnsi="Arial"/>
          <w:color w:val="000000"/>
          <w:sz w:val="22"/>
        </w:rPr>
        <w:t>[</w:t>
      </w:r>
      <w:r w:rsidRPr="0032238D">
        <w:rPr>
          <w:rFonts w:ascii="Arial" w:hAnsi="Arial"/>
          <w:color w:val="000000"/>
          <w:sz w:val="22"/>
          <w:vertAlign w:val="superscript"/>
        </w:rPr>
        <w:t>18</w:t>
      </w:r>
      <w:r w:rsidRPr="0032238D">
        <w:rPr>
          <w:rFonts w:ascii="Arial" w:hAnsi="Arial"/>
          <w:color w:val="000000"/>
          <w:sz w:val="22"/>
        </w:rPr>
        <w:t xml:space="preserve">F] fluorodeoxyglucose (FDG-PET) and </w:t>
      </w:r>
      <w:r w:rsidRPr="0032238D">
        <w:rPr>
          <w:rFonts w:ascii="Arial" w:hAnsi="Arial"/>
          <w:sz w:val="22"/>
        </w:rPr>
        <w:t xml:space="preserve">beta-amyloid ligand </w:t>
      </w:r>
      <w:r w:rsidRPr="0032238D">
        <w:rPr>
          <w:rFonts w:ascii="Arial" w:hAnsi="Arial"/>
          <w:color w:val="000000"/>
          <w:sz w:val="22"/>
        </w:rPr>
        <w:t>[</w:t>
      </w:r>
      <w:r w:rsidRPr="0032238D">
        <w:rPr>
          <w:rFonts w:ascii="Arial" w:hAnsi="Arial"/>
          <w:color w:val="000000"/>
          <w:sz w:val="22"/>
          <w:vertAlign w:val="superscript"/>
        </w:rPr>
        <w:t>11</w:t>
      </w:r>
      <w:r w:rsidRPr="0032238D">
        <w:rPr>
          <w:rFonts w:ascii="Arial" w:hAnsi="Arial"/>
          <w:color w:val="000000"/>
          <w:sz w:val="22"/>
        </w:rPr>
        <w:t>C]PiB (PIB-PET) were performed on a Siemens ECAT EXACT HR scanner at Lawrence Berkeley National Laboratory</w:t>
      </w:r>
      <w:r>
        <w:rPr>
          <w:rFonts w:ascii="Arial" w:hAnsi="Arial"/>
          <w:color w:val="000000"/>
          <w:sz w:val="22"/>
        </w:rPr>
        <w:t xml:space="preserve">. 15 mCi of [11C]PIB was injected intravenously, and four 5 min frames were acquired at t=50-70 min post-injection. Following PIB acquisition, 5 mCi of [18]FDG was injected, and six 5 min frames were acquired at t=30-60 min post-injection. Image reconstruction and attenuation correction were performed as previously described </w:t>
      </w:r>
      <w:r>
        <w:rPr>
          <w:rFonts w:ascii="Arial" w:hAnsi="Arial"/>
          <w:color w:val="000000"/>
          <w:sz w:val="22"/>
        </w:rPr>
        <w:fldChar w:fldCharType="begin"/>
      </w:r>
      <w:r>
        <w:rPr>
          <w:rFonts w:ascii="Arial" w:hAnsi="Arial"/>
          <w:color w:val="000000"/>
          <w:sz w:val="22"/>
        </w:rPr>
        <w:instrText>ADDIN RW.CITE{{395 Rabinovici,GD 2011}}</w:instrText>
      </w:r>
      <w:r>
        <w:rPr>
          <w:rFonts w:ascii="Arial" w:hAnsi="Arial"/>
          <w:color w:val="000000"/>
          <w:sz w:val="22"/>
        </w:rPr>
        <w:fldChar w:fldCharType="separate"/>
      </w:r>
      <w:r w:rsidRPr="00D40538">
        <w:rPr>
          <w:rFonts w:ascii="Arial" w:hAnsi="Arial" w:cs="Arial"/>
          <w:color w:val="000000"/>
          <w:sz w:val="22"/>
        </w:rPr>
        <w:t>(Rabinovici et al., 2011)</w:t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>. 2011). PET frames were summed and normalized to mean activity in cerebellar gray matter (PIB) or pons (FDG).</w:t>
      </w:r>
    </w:p>
    <w:p w:rsidR="00056E9B" w:rsidRDefault="00056E9B" w:rsidP="00056E9B">
      <w:pPr>
        <w:rPr>
          <w:rFonts w:ascii="Arial" w:hAnsi="Arial" w:cs="Arial"/>
          <w:sz w:val="22"/>
          <w:szCs w:val="22"/>
        </w:rPr>
      </w:pPr>
    </w:p>
    <w:p w:rsidR="00056E9B" w:rsidRPr="00474A05" w:rsidRDefault="00056E9B" w:rsidP="00056E9B">
      <w:pPr>
        <w:spacing w:line="480" w:lineRule="auto"/>
        <w:rPr>
          <w:rFonts w:ascii="Arial" w:hAnsi="Arial" w:cs="Arial"/>
          <w:sz w:val="22"/>
          <w:szCs w:val="22"/>
        </w:rPr>
      </w:pPr>
      <w:r w:rsidRPr="00474A05">
        <w:rPr>
          <w:rFonts w:ascii="Arial" w:hAnsi="Arial" w:cs="Arial"/>
          <w:i/>
          <w:sz w:val="22"/>
          <w:szCs w:val="22"/>
        </w:rPr>
        <w:t>Genetic testing: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140C1">
        <w:rPr>
          <w:rFonts w:ascii="Arial" w:hAnsi="Arial" w:cs="Arial"/>
          <w:i/>
          <w:sz w:val="22"/>
          <w:szCs w:val="22"/>
        </w:rPr>
        <w:t>C9ORF72</w:t>
      </w:r>
      <w:r w:rsidRPr="00474A05">
        <w:rPr>
          <w:rFonts w:ascii="Arial" w:hAnsi="Arial" w:cs="Arial"/>
          <w:sz w:val="22"/>
          <w:szCs w:val="22"/>
        </w:rPr>
        <w:t xml:space="preserve"> repeat expansion mutations were determined using the repeat-primed PCR reaction as described in DeJesus-Hernandez et al</w:t>
      </w:r>
      <w:r>
        <w:rPr>
          <w:rFonts w:ascii="Arial" w:hAnsi="Arial" w:cs="Arial"/>
          <w:sz w:val="22"/>
          <w:szCs w:val="22"/>
        </w:rPr>
        <w:t>.</w:t>
      </w:r>
      <w:r w:rsidRPr="00474A05">
        <w:rPr>
          <w:rFonts w:ascii="Arial" w:hAnsi="Arial" w:cs="Arial"/>
          <w:sz w:val="22"/>
          <w:szCs w:val="22"/>
        </w:rPr>
        <w:t xml:space="preserve"> 2011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ADDIN RW.CITE{{173 Dejesus-Hernandez,M. 2011}}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911399">
        <w:rPr>
          <w:rFonts w:ascii="Arial" w:eastAsia="Times New Roman" w:hAnsi="Arial" w:cs="Arial"/>
          <w:sz w:val="22"/>
        </w:rPr>
        <w:t>(Dejesus-Hernandez et al., 2011)</w:t>
      </w:r>
      <w:r>
        <w:rPr>
          <w:rFonts w:ascii="Arial" w:hAnsi="Arial" w:cs="Arial"/>
          <w:sz w:val="22"/>
          <w:szCs w:val="22"/>
        </w:rPr>
        <w:fldChar w:fldCharType="end"/>
      </w:r>
      <w:r w:rsidRPr="00474A05">
        <w:rPr>
          <w:rFonts w:ascii="Arial" w:hAnsi="Arial" w:cs="Arial"/>
          <w:sz w:val="22"/>
          <w:szCs w:val="22"/>
        </w:rPr>
        <w:t>.  PCR products were run on an ABI3730 DNA Analyzer and analyzed using the Peak Scanner Software.  The characteristic "saw-tooth" pattern is indicative of the presence of a repeat expansion.</w:t>
      </w:r>
    </w:p>
    <w:p w:rsidR="00056E9B" w:rsidRDefault="00056E9B" w:rsidP="00056E9B">
      <w:pPr>
        <w:rPr>
          <w:rFonts w:ascii="Arial" w:hAnsi="Arial" w:cs="Arial"/>
          <w:sz w:val="22"/>
          <w:szCs w:val="22"/>
        </w:rPr>
      </w:pPr>
    </w:p>
    <w:p w:rsidR="00056E9B" w:rsidRPr="00B97F8F" w:rsidRDefault="00056E9B" w:rsidP="00056E9B">
      <w:pPr>
        <w:rPr>
          <w:rFonts w:ascii="Arial" w:hAnsi="Arial" w:cs="Arial"/>
          <w:sz w:val="22"/>
          <w:szCs w:val="22"/>
        </w:rPr>
      </w:pPr>
    </w:p>
    <w:p w:rsidR="00056E9B" w:rsidRPr="00B97F8F" w:rsidRDefault="00056E9B" w:rsidP="00056E9B">
      <w:pPr>
        <w:rPr>
          <w:rFonts w:ascii="Arial" w:hAnsi="Arial" w:cs="Arial"/>
          <w:sz w:val="22"/>
          <w:szCs w:val="22"/>
        </w:rPr>
      </w:pPr>
      <w:r w:rsidRPr="00B97F8F">
        <w:rPr>
          <w:rFonts w:ascii="Arial" w:hAnsi="Arial" w:cs="Arial"/>
          <w:sz w:val="22"/>
          <w:szCs w:val="22"/>
        </w:rPr>
        <w:t xml:space="preserve">Table 1. </w:t>
      </w:r>
      <w:r>
        <w:rPr>
          <w:rFonts w:ascii="Arial" w:hAnsi="Arial" w:cs="Arial"/>
          <w:sz w:val="22"/>
          <w:szCs w:val="22"/>
        </w:rPr>
        <w:t>Regions significantly atrophied in voxel-based morphometry comparison of patient &lt; 30 healthy controls</w:t>
      </w:r>
    </w:p>
    <w:tbl>
      <w:tblPr>
        <w:tblpPr w:leftFromText="180" w:rightFromText="180" w:vertAnchor="text" w:tblpY="1"/>
        <w:tblOverlap w:val="never"/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794"/>
        <w:gridCol w:w="1080"/>
        <w:gridCol w:w="1442"/>
        <w:gridCol w:w="1004"/>
      </w:tblGrid>
      <w:tr w:rsidR="00056E9B" w:rsidRPr="00B97F8F" w:rsidTr="00A54FCA">
        <w:trPr>
          <w:trHeight w:val="52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Region containing peak voxel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Extent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x,y,z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Peak T</w:t>
            </w:r>
          </w:p>
        </w:tc>
      </w:tr>
      <w:tr w:rsidR="00056E9B" w:rsidRPr="00B97F8F" w:rsidTr="00A54FCA">
        <w:trPr>
          <w:trHeight w:val="281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 Hippocampus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-26,-15,-21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13.90</w:t>
            </w:r>
          </w:p>
        </w:tc>
      </w:tr>
      <w:tr w:rsidR="00056E9B" w:rsidRPr="00B97F8F" w:rsidTr="00A54FCA">
        <w:trPr>
          <w:trHeight w:val="24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Vermis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2,-72,-21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12.80</w:t>
            </w:r>
          </w:p>
        </w:tc>
      </w:tr>
      <w:tr w:rsidR="00056E9B" w:rsidRPr="00B97F8F" w:rsidTr="00A54FCA">
        <w:trPr>
          <w:trHeight w:val="24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 Caudate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10124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-5,8,-5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12.10</w:t>
            </w:r>
          </w:p>
        </w:tc>
      </w:tr>
      <w:tr w:rsidR="00056E9B" w:rsidRPr="00B97F8F" w:rsidTr="00A54FCA">
        <w:trPr>
          <w:trHeight w:val="16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 Lingual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2798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23,-56,2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11.00</w:t>
            </w:r>
          </w:p>
        </w:tc>
      </w:tr>
      <w:tr w:rsidR="00056E9B" w:rsidRPr="00B97F8F" w:rsidTr="00A54FCA">
        <w:trPr>
          <w:trHeight w:val="124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 Cerebellum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4974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21,-33,-20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10.60</w:t>
            </w:r>
          </w:p>
        </w:tc>
      </w:tr>
      <w:tr w:rsidR="00056E9B" w:rsidRPr="00B97F8F" w:rsidTr="00A54FCA">
        <w:trPr>
          <w:trHeight w:val="73"/>
        </w:trPr>
        <w:tc>
          <w:tcPr>
            <w:tcW w:w="3255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 Middle temporal gyrus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-62,-27,-5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9.90</w:t>
            </w:r>
          </w:p>
        </w:tc>
      </w:tr>
      <w:tr w:rsidR="00056E9B" w:rsidRPr="00B97F8F" w:rsidTr="00A54FCA">
        <w:trPr>
          <w:trHeight w:val="73"/>
        </w:trPr>
        <w:tc>
          <w:tcPr>
            <w:tcW w:w="3255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 Calcarine sulcus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-15,-56,5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9.56</w:t>
            </w:r>
          </w:p>
        </w:tc>
      </w:tr>
      <w:tr w:rsidR="00056E9B" w:rsidRPr="00B97F8F" w:rsidTr="00A54FCA">
        <w:trPr>
          <w:trHeight w:val="73"/>
        </w:trPr>
        <w:tc>
          <w:tcPr>
            <w:tcW w:w="3255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 Middle temporal gyrus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63,-21,-6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9.48</w:t>
            </w:r>
          </w:p>
        </w:tc>
      </w:tr>
      <w:tr w:rsidR="00056E9B" w:rsidRPr="00B97F8F" w:rsidTr="00A54FCA">
        <w:trPr>
          <w:trHeight w:val="73"/>
        </w:trPr>
        <w:tc>
          <w:tcPr>
            <w:tcW w:w="3255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 Superior temporal gyrus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45,-14,18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9.29</w:t>
            </w:r>
          </w:p>
        </w:tc>
      </w:tr>
      <w:tr w:rsidR="00056E9B" w:rsidRPr="00B97F8F" w:rsidTr="00A54FCA">
        <w:trPr>
          <w:trHeight w:val="73"/>
        </w:trPr>
        <w:tc>
          <w:tcPr>
            <w:tcW w:w="3255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 Insula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38,-11,-2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9.14</w:t>
            </w:r>
          </w:p>
        </w:tc>
      </w:tr>
      <w:tr w:rsidR="00056E9B" w:rsidRPr="00B97F8F" w:rsidTr="00A54FCA">
        <w:trPr>
          <w:trHeight w:val="73"/>
        </w:trPr>
        <w:tc>
          <w:tcPr>
            <w:tcW w:w="3255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Anterior mid</w:t>
            </w: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cingulate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-6,17,33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9.05</w:t>
            </w:r>
          </w:p>
        </w:tc>
      </w:tr>
      <w:tr w:rsidR="00056E9B" w:rsidRPr="00B97F8F" w:rsidTr="00A54FCA">
        <w:trPr>
          <w:trHeight w:val="73"/>
        </w:trPr>
        <w:tc>
          <w:tcPr>
            <w:tcW w:w="3255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Posterior mid</w:t>
            </w: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cingulate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11,-26,42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8.84</w:t>
            </w:r>
          </w:p>
        </w:tc>
      </w:tr>
      <w:tr w:rsidR="00056E9B" w:rsidRPr="00B97F8F" w:rsidTr="00A54FCA">
        <w:trPr>
          <w:trHeight w:val="73"/>
        </w:trPr>
        <w:tc>
          <w:tcPr>
            <w:tcW w:w="3255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 Middle occipital gyrus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-44,-84,3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7.98</w:t>
            </w:r>
          </w:p>
        </w:tc>
      </w:tr>
      <w:tr w:rsidR="00056E9B" w:rsidRPr="00B97F8F" w:rsidTr="00A54FCA">
        <w:trPr>
          <w:trHeight w:val="73"/>
        </w:trPr>
        <w:tc>
          <w:tcPr>
            <w:tcW w:w="3255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 Middle temporal gyrus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-63,-12,-23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7.87</w:t>
            </w:r>
          </w:p>
        </w:tc>
      </w:tr>
      <w:tr w:rsidR="00056E9B" w:rsidRPr="00B97F8F" w:rsidTr="00A54FCA">
        <w:trPr>
          <w:trHeight w:val="73"/>
        </w:trPr>
        <w:tc>
          <w:tcPr>
            <w:tcW w:w="3255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 Superior temporal gyrus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50,-9,-3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056E9B" w:rsidRPr="00B97F8F" w:rsidRDefault="00056E9B" w:rsidP="00A54F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F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7.54</w:t>
            </w:r>
          </w:p>
        </w:tc>
      </w:tr>
    </w:tbl>
    <w:p w:rsidR="00B0792D" w:rsidRDefault="00B0792D">
      <w:bookmarkStart w:id="0" w:name="_GoBack"/>
      <w:bookmarkEnd w:id="0"/>
    </w:p>
    <w:sectPr w:rsidR="00B0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9B"/>
    <w:rsid w:val="00056E9B"/>
    <w:rsid w:val="00B0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9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6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9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6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.ion.ucl.ac.uk/s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2851</Characters>
  <Application>Microsoft Office Word</Application>
  <DocSecurity>0</DocSecurity>
  <Lines>23</Lines>
  <Paragraphs>6</Paragraphs>
  <ScaleCrop>false</ScaleCrop>
  <Company>integra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Balambigai Velayutham, Integra-PDY, IN</dc:creator>
  <cp:keywords/>
  <dc:description/>
  <cp:lastModifiedBy>Balambigai Velayutham, Integra-PDY, IN</cp:lastModifiedBy>
  <cp:revision>1</cp:revision>
  <dcterms:created xsi:type="dcterms:W3CDTF">2015-08-20T13:36:00Z</dcterms:created>
  <dcterms:modified xsi:type="dcterms:W3CDTF">2015-08-20T13:43:00Z</dcterms:modified>
</cp:coreProperties>
</file>