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2C" w:rsidRDefault="00FE59B8">
      <w:pPr>
        <w:pStyle w:val="Articletitle"/>
        <w:spacing w:line="48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Determination of </w:t>
      </w:r>
      <w:proofErr w:type="spellStart"/>
      <w:r>
        <w:rPr>
          <w:color w:val="000000"/>
          <w:sz w:val="24"/>
        </w:rPr>
        <w:t>phenolic</w:t>
      </w:r>
      <w:proofErr w:type="spellEnd"/>
      <w:r>
        <w:rPr>
          <w:color w:val="000000"/>
          <w:sz w:val="24"/>
        </w:rPr>
        <w:t xml:space="preserve"> acids </w:t>
      </w:r>
      <w:proofErr w:type="gramStart"/>
      <w:r>
        <w:rPr>
          <w:color w:val="000000"/>
          <w:sz w:val="24"/>
        </w:rPr>
        <w:t xml:space="preserve">in </w:t>
      </w:r>
      <w:r>
        <w:rPr>
          <w:sz w:val="24"/>
        </w:rPr>
        <w:t xml:space="preserve"> </w:t>
      </w:r>
      <w:r>
        <w:rPr>
          <w:sz w:val="24"/>
        </w:rPr>
        <w:t>botanical</w:t>
      </w:r>
      <w:proofErr w:type="gramEnd"/>
      <w:r>
        <w:rPr>
          <w:sz w:val="24"/>
        </w:rPr>
        <w:t xml:space="preserve"> drugs</w:t>
      </w:r>
      <w:r>
        <w:rPr>
          <w:color w:val="000000"/>
          <w:sz w:val="24"/>
        </w:rPr>
        <w:t xml:space="preserve"> by capillary electrophoresis with </w:t>
      </w:r>
      <w:bookmarkStart w:id="0" w:name="OLE_LINK2"/>
      <w:proofErr w:type="spellStart"/>
      <w:r>
        <w:rPr>
          <w:color w:val="000000"/>
          <w:sz w:val="24"/>
        </w:rPr>
        <w:t>chemiluminescence</w:t>
      </w:r>
      <w:proofErr w:type="spellEnd"/>
      <w:r>
        <w:rPr>
          <w:color w:val="000000"/>
          <w:sz w:val="24"/>
        </w:rPr>
        <w:t xml:space="preserve"> </w:t>
      </w:r>
      <w:bookmarkEnd w:id="0"/>
      <w:r>
        <w:rPr>
          <w:color w:val="000000"/>
          <w:sz w:val="24"/>
        </w:rPr>
        <w:t>detection</w:t>
      </w:r>
    </w:p>
    <w:p w:rsidR="00275D2C" w:rsidRDefault="00FE59B8">
      <w:pPr>
        <w:pStyle w:val="Authornames"/>
        <w:spacing w:line="480" w:lineRule="auto"/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Xin</w:t>
      </w:r>
      <w:proofErr w:type="spellEnd"/>
      <w:r>
        <w:rPr>
          <w:color w:val="000000"/>
          <w:sz w:val="24"/>
        </w:rPr>
        <w:t xml:space="preserve"> Chen, </w:t>
      </w:r>
      <w:proofErr w:type="spellStart"/>
      <w:r>
        <w:rPr>
          <w:color w:val="000000"/>
          <w:sz w:val="24"/>
        </w:rPr>
        <w:t>Jingxiu</w:t>
      </w:r>
      <w:proofErr w:type="spellEnd"/>
      <w:r>
        <w:rPr>
          <w:color w:val="000000"/>
          <w:sz w:val="24"/>
        </w:rPr>
        <w:t xml:space="preserve"> Mao, </w:t>
      </w:r>
      <w:proofErr w:type="spellStart"/>
      <w:r>
        <w:rPr>
          <w:color w:val="000000"/>
          <w:sz w:val="24"/>
        </w:rPr>
        <w:t>Fuyu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Wen</w:t>
      </w:r>
      <w:proofErr w:type="spellEnd"/>
      <w:r>
        <w:rPr>
          <w:color w:val="000000"/>
          <w:sz w:val="24"/>
        </w:rPr>
        <w:t xml:space="preserve">, and </w:t>
      </w:r>
      <w:proofErr w:type="spellStart"/>
      <w:r>
        <w:rPr>
          <w:color w:val="000000"/>
          <w:sz w:val="24"/>
        </w:rPr>
        <w:t>Xueqin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Xu</w:t>
      </w:r>
      <w:proofErr w:type="spellEnd"/>
      <w:r>
        <w:rPr>
          <w:color w:val="000000"/>
          <w:sz w:val="24"/>
        </w:rPr>
        <w:t>*</w:t>
      </w:r>
    </w:p>
    <w:p w:rsidR="00275D2C" w:rsidRDefault="00FE59B8">
      <w:pPr>
        <w:pStyle w:val="Affiliation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Key </w:t>
      </w:r>
      <w:r>
        <w:rPr>
          <w:color w:val="000000"/>
          <w:lang w:eastAsia="zh-CN"/>
        </w:rPr>
        <w:t>L</w:t>
      </w:r>
      <w:r>
        <w:rPr>
          <w:color w:val="000000"/>
        </w:rPr>
        <w:t xml:space="preserve">aboratory for analytical science of food safety and biology, </w:t>
      </w:r>
      <w:proofErr w:type="spellStart"/>
      <w:r>
        <w:rPr>
          <w:color w:val="000000"/>
        </w:rPr>
        <w:t>MOE</w:t>
      </w:r>
      <w:r>
        <w:rPr>
          <w:rFonts w:eastAsia="SimSun"/>
          <w:color w:val="000000"/>
        </w:rPr>
        <w:t>，</w:t>
      </w:r>
      <w:r>
        <w:rPr>
          <w:color w:val="000000"/>
        </w:rPr>
        <w:t>Fujian</w:t>
      </w:r>
      <w:proofErr w:type="spellEnd"/>
      <w:r>
        <w:rPr>
          <w:color w:val="000000"/>
        </w:rPr>
        <w:t xml:space="preserve"> Provincial Key </w:t>
      </w:r>
      <w:r>
        <w:rPr>
          <w:color w:val="000000"/>
        </w:rPr>
        <w:t>Laboratory of Analysis and Detection for Food Safety, College of Chemistry, Fuzhou University, Fuzhou, Fujian 350116, China</w:t>
      </w:r>
    </w:p>
    <w:p w:rsidR="00275D2C" w:rsidRDefault="00FE59B8">
      <w:pPr>
        <w:pStyle w:val="Correspondencedetails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*Correspondence author: </w:t>
      </w:r>
      <w:proofErr w:type="spellStart"/>
      <w:r>
        <w:rPr>
          <w:color w:val="000000"/>
        </w:rPr>
        <w:t>Xueqin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</w:t>
      </w:r>
      <w:proofErr w:type="spellEnd"/>
      <w:r>
        <w:rPr>
          <w:color w:val="000000"/>
        </w:rPr>
        <w:t xml:space="preserve"> </w:t>
      </w:r>
    </w:p>
    <w:p w:rsidR="00275D2C" w:rsidRDefault="00FE59B8">
      <w:pPr>
        <w:pStyle w:val="Correspondencedetails"/>
        <w:spacing w:line="480" w:lineRule="auto"/>
        <w:jc w:val="both"/>
        <w:rPr>
          <w:color w:val="000000"/>
        </w:rPr>
      </w:pPr>
      <w:proofErr w:type="spellStart"/>
      <w:r>
        <w:rPr>
          <w:color w:val="000000"/>
        </w:rPr>
        <w:t>Tel&amp;Fax</w:t>
      </w:r>
      <w:proofErr w:type="spellEnd"/>
      <w:r>
        <w:rPr>
          <w:color w:val="000000"/>
        </w:rPr>
        <w:t xml:space="preserve">: 86-591-22866135; E-mail: xxq@fzu.edu.cn   </w:t>
      </w:r>
    </w:p>
    <w:p w:rsidR="00275D2C" w:rsidRDefault="00FE59B8">
      <w:pPr>
        <w:pStyle w:val="Correspondencedetails"/>
        <w:spacing w:line="480" w:lineRule="auto"/>
        <w:jc w:val="both"/>
        <w:rPr>
          <w:color w:val="000000"/>
          <w:lang w:eastAsia="zh-CN"/>
        </w:rPr>
      </w:pPr>
      <w:r>
        <w:rPr>
          <w:color w:val="000000"/>
        </w:rPr>
        <w:t>Address: College of Chemistry, Fuzhou Univers</w:t>
      </w:r>
      <w:r>
        <w:rPr>
          <w:color w:val="000000"/>
        </w:rPr>
        <w:t>ity, Fuzhou, Fujian, 350116, China</w:t>
      </w:r>
    </w:p>
    <w:p w:rsidR="00275D2C" w:rsidRDefault="00FE59B8">
      <w:pPr>
        <w:adjustRightInd/>
        <w:snapToGrid/>
        <w:spacing w:line="220" w:lineRule="atLeast"/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75D2C" w:rsidRDefault="00FE59B8">
      <w:pPr>
        <w:pStyle w:val="Correspondencedetails"/>
        <w:spacing w:line="480" w:lineRule="auto"/>
        <w:jc w:val="both"/>
        <w:rPr>
          <w:rFonts w:eastAsia="SimSun"/>
          <w:color w:val="000000"/>
          <w:kern w:val="2"/>
          <w:lang w:val="en-US" w:eastAsia="zh-CN"/>
        </w:rPr>
      </w:pPr>
      <w:r>
        <w:rPr>
          <w:rFonts w:eastAsia="SimSun"/>
          <w:noProof/>
          <w:color w:val="000000"/>
          <w:kern w:val="2"/>
          <w:lang w:val="en-IN" w:eastAsia="en-IN"/>
        </w:rPr>
        <w:lastRenderedPageBreak/>
        <w:drawing>
          <wp:inline distT="0" distB="0" distL="0" distR="0">
            <wp:extent cx="5274310" cy="4521835"/>
            <wp:effectExtent l="19050" t="0" r="2540" b="0"/>
            <wp:docPr id="3" name="图片 2" descr="分离度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分离度-3.t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/>
          <w:color w:val="000000"/>
          <w:kern w:val="2"/>
          <w:lang w:val="en-US" w:eastAsia="zh-CN"/>
        </w:rPr>
        <w:t>Figure S1.</w:t>
      </w:r>
      <w:r>
        <w:rPr>
          <w:rFonts w:eastAsia="SimSun"/>
          <w:b/>
          <w:color w:val="000000"/>
          <w:kern w:val="2"/>
          <w:lang w:val="en-US" w:eastAsia="zh-CN"/>
        </w:rPr>
        <w:t xml:space="preserve"> </w:t>
      </w:r>
      <w:proofErr w:type="gramStart"/>
      <w:r>
        <w:rPr>
          <w:color w:val="000000"/>
          <w:lang w:val="en-US" w:eastAsia="zh-CN"/>
        </w:rPr>
        <w:t xml:space="preserve">The </w:t>
      </w:r>
      <w:bookmarkStart w:id="1" w:name="OLE_LINK3"/>
      <w:bookmarkStart w:id="2" w:name="OLE_LINK4"/>
      <w:r>
        <w:rPr>
          <w:color w:val="000000"/>
          <w:lang w:val="en-US" w:eastAsia="zh-CN"/>
        </w:rPr>
        <w:t xml:space="preserve">resolution </w:t>
      </w:r>
      <w:r>
        <w:rPr>
          <w:color w:val="000000"/>
        </w:rPr>
        <w:t xml:space="preserve">of </w:t>
      </w:r>
      <w:r>
        <w:rPr>
          <w:rFonts w:hint="eastAsia"/>
          <w:color w:val="000000"/>
          <w:lang w:val="en-US" w:eastAsia="zh-CN"/>
        </w:rPr>
        <w:t xml:space="preserve">the </w:t>
      </w:r>
      <w:r>
        <w:rPr>
          <w:color w:val="000000"/>
          <w:lang w:eastAsia="zh-CN"/>
        </w:rPr>
        <w:t xml:space="preserve">three </w:t>
      </w:r>
      <w:proofErr w:type="spellStart"/>
      <w:r>
        <w:rPr>
          <w:color w:val="000000"/>
        </w:rPr>
        <w:t>phenolic</w:t>
      </w:r>
      <w:proofErr w:type="spellEnd"/>
      <w:r>
        <w:rPr>
          <w:color w:val="000000"/>
        </w:rPr>
        <w:t xml:space="preserve"> acids</w:t>
      </w:r>
      <w:r>
        <w:rPr>
          <w:color w:val="000000"/>
          <w:lang w:val="en-US" w:eastAsia="zh-CN"/>
        </w:rPr>
        <w:t xml:space="preserve"> </w:t>
      </w:r>
      <w:bookmarkEnd w:id="1"/>
      <w:bookmarkEnd w:id="2"/>
      <w:r>
        <w:rPr>
          <w:color w:val="000000"/>
          <w:lang w:val="en-US" w:eastAsia="zh-CN"/>
        </w:rPr>
        <w:t>in the optimization of CE conditions.</w:t>
      </w:r>
      <w:proofErr w:type="gramEnd"/>
      <w:r>
        <w:rPr>
          <w:rFonts w:eastAsia="SimSun"/>
          <w:color w:val="000000"/>
          <w:kern w:val="2"/>
          <w:lang w:val="en-US" w:eastAsia="zh-CN"/>
        </w:rPr>
        <w:t xml:space="preserve"> </w:t>
      </w:r>
      <w:r>
        <w:rPr>
          <w:color w:val="000000"/>
          <w:lang w:val="en-US" w:eastAsia="zh-CN"/>
        </w:rPr>
        <w:t>The resolution was calculated from the following equation expressed as: R = 2 (t</w:t>
      </w:r>
      <w:r>
        <w:rPr>
          <w:color w:val="000000"/>
          <w:vertAlign w:val="subscript"/>
          <w:lang w:val="en-US" w:eastAsia="zh-CN"/>
        </w:rPr>
        <w:t>2</w:t>
      </w:r>
      <w:r>
        <w:rPr>
          <w:color w:val="000000"/>
          <w:lang w:val="en-US" w:eastAsia="zh-CN"/>
        </w:rPr>
        <w:t xml:space="preserve"> - t</w:t>
      </w:r>
      <w:r>
        <w:rPr>
          <w:color w:val="000000"/>
          <w:vertAlign w:val="subscript"/>
          <w:lang w:val="en-US" w:eastAsia="zh-CN"/>
        </w:rPr>
        <w:t>1</w:t>
      </w:r>
      <w:r>
        <w:rPr>
          <w:color w:val="000000"/>
          <w:lang w:val="en-US" w:eastAsia="zh-CN"/>
        </w:rPr>
        <w:t>) / (W</w:t>
      </w:r>
      <w:r>
        <w:rPr>
          <w:color w:val="000000"/>
          <w:vertAlign w:val="subscript"/>
          <w:lang w:val="en-US" w:eastAsia="zh-CN"/>
        </w:rPr>
        <w:t>1</w:t>
      </w:r>
      <w:r>
        <w:rPr>
          <w:color w:val="000000"/>
          <w:lang w:val="en-US" w:eastAsia="zh-CN"/>
        </w:rPr>
        <w:t xml:space="preserve"> + W</w:t>
      </w:r>
      <w:r>
        <w:rPr>
          <w:color w:val="000000"/>
          <w:vertAlign w:val="subscript"/>
          <w:lang w:val="en-US" w:eastAsia="zh-CN"/>
        </w:rPr>
        <w:t>2</w:t>
      </w:r>
      <w:r>
        <w:rPr>
          <w:color w:val="000000"/>
          <w:lang w:val="en-US" w:eastAsia="zh-CN"/>
        </w:rPr>
        <w:t>), Where t</w:t>
      </w:r>
      <w:r>
        <w:rPr>
          <w:color w:val="000000"/>
          <w:vertAlign w:val="subscript"/>
          <w:lang w:val="en-US" w:eastAsia="zh-CN"/>
        </w:rPr>
        <w:t>2</w:t>
      </w:r>
      <w:r>
        <w:rPr>
          <w:color w:val="000000"/>
          <w:lang w:val="en-US" w:eastAsia="zh-CN"/>
        </w:rPr>
        <w:t xml:space="preserve"> and t</w:t>
      </w:r>
      <w:r>
        <w:rPr>
          <w:color w:val="000000"/>
          <w:vertAlign w:val="subscript"/>
          <w:lang w:val="en-US" w:eastAsia="zh-CN"/>
        </w:rPr>
        <w:t>1</w:t>
      </w:r>
      <w:r>
        <w:rPr>
          <w:color w:val="000000"/>
          <w:lang w:val="en-US" w:eastAsia="zh-CN"/>
        </w:rPr>
        <w:t xml:space="preserve"> are the retention times of adjacent peak 1 and peak 2, respectively, and W</w:t>
      </w:r>
      <w:r>
        <w:rPr>
          <w:color w:val="000000"/>
          <w:vertAlign w:val="subscript"/>
          <w:lang w:val="en-US" w:eastAsia="zh-CN"/>
        </w:rPr>
        <w:t>1</w:t>
      </w:r>
      <w:r>
        <w:rPr>
          <w:color w:val="000000"/>
          <w:lang w:val="en-US" w:eastAsia="zh-CN"/>
        </w:rPr>
        <w:t xml:space="preserve"> and W</w:t>
      </w:r>
      <w:r>
        <w:rPr>
          <w:color w:val="000000"/>
          <w:vertAlign w:val="subscript"/>
          <w:lang w:val="en-US" w:eastAsia="zh-CN"/>
        </w:rPr>
        <w:t>2</w:t>
      </w:r>
      <w:r>
        <w:rPr>
          <w:color w:val="000000"/>
          <w:lang w:val="en-US" w:eastAsia="zh-CN"/>
        </w:rPr>
        <w:t xml:space="preserve"> are the peak base width of adjacent peak 1 and </w:t>
      </w:r>
      <w:bookmarkStart w:id="3" w:name="_GoBack"/>
      <w:bookmarkEnd w:id="3"/>
      <w:r>
        <w:rPr>
          <w:color w:val="000000"/>
          <w:lang w:val="en-US" w:eastAsia="zh-CN"/>
        </w:rPr>
        <w:t>peak 2, respectively. R</w:t>
      </w:r>
      <w:r>
        <w:rPr>
          <w:color w:val="000000"/>
          <w:vertAlign w:val="subscript"/>
          <w:lang w:val="en-US" w:eastAsia="zh-CN"/>
        </w:rPr>
        <w:t xml:space="preserve">1 </w:t>
      </w:r>
      <w:r>
        <w:rPr>
          <w:color w:val="000000"/>
          <w:lang w:val="en-US" w:eastAsia="zh-CN"/>
        </w:rPr>
        <w:t xml:space="preserve">represented </w:t>
      </w:r>
      <w:r>
        <w:rPr>
          <w:rFonts w:hint="eastAsia"/>
          <w:color w:val="000000"/>
          <w:lang w:val="en-US" w:eastAsia="zh-CN"/>
        </w:rPr>
        <w:t xml:space="preserve">the </w:t>
      </w:r>
      <w:r>
        <w:rPr>
          <w:color w:val="000000"/>
          <w:lang w:val="en-US" w:eastAsia="zh-CN"/>
        </w:rPr>
        <w:t xml:space="preserve">resolution between </w:t>
      </w:r>
      <w:proofErr w:type="spellStart"/>
      <w:r>
        <w:rPr>
          <w:color w:val="000000"/>
        </w:rPr>
        <w:t>ferulic</w:t>
      </w:r>
      <w:proofErr w:type="spellEnd"/>
      <w:r>
        <w:rPr>
          <w:color w:val="000000"/>
        </w:rPr>
        <w:t xml:space="preserve"> acid</w:t>
      </w:r>
      <w:r>
        <w:rPr>
          <w:color w:val="000000"/>
          <w:lang w:eastAsia="zh-CN"/>
        </w:rPr>
        <w:t xml:space="preserve"> and </w:t>
      </w:r>
      <w:proofErr w:type="spellStart"/>
      <w:r>
        <w:rPr>
          <w:color w:val="000000"/>
        </w:rPr>
        <w:t>chlorogenic</w:t>
      </w:r>
      <w:proofErr w:type="spellEnd"/>
      <w:r>
        <w:rPr>
          <w:color w:val="000000"/>
        </w:rPr>
        <w:t xml:space="preserve"> acid</w:t>
      </w:r>
      <w:r>
        <w:rPr>
          <w:color w:val="000000"/>
          <w:lang w:eastAsia="zh-CN"/>
        </w:rPr>
        <w:t xml:space="preserve">, </w:t>
      </w:r>
      <w:r>
        <w:rPr>
          <w:color w:val="000000"/>
          <w:lang w:val="en-US" w:eastAsia="zh-CN"/>
        </w:rPr>
        <w:t>R</w:t>
      </w:r>
      <w:r>
        <w:rPr>
          <w:color w:val="000000"/>
          <w:vertAlign w:val="subscript"/>
          <w:lang w:val="en-US" w:eastAsia="zh-CN"/>
        </w:rPr>
        <w:t xml:space="preserve">2 </w:t>
      </w:r>
      <w:r>
        <w:rPr>
          <w:color w:val="000000"/>
          <w:lang w:val="en-US" w:eastAsia="zh-CN"/>
        </w:rPr>
        <w:t xml:space="preserve">represented </w:t>
      </w:r>
      <w:r>
        <w:rPr>
          <w:rFonts w:hint="eastAsia"/>
          <w:color w:val="000000"/>
          <w:lang w:val="en-US" w:eastAsia="zh-CN"/>
        </w:rPr>
        <w:t xml:space="preserve">the </w:t>
      </w:r>
      <w:r>
        <w:rPr>
          <w:color w:val="000000"/>
          <w:lang w:val="en-US" w:eastAsia="zh-CN"/>
        </w:rPr>
        <w:t xml:space="preserve">resolution </w:t>
      </w:r>
      <w:r>
        <w:rPr>
          <w:color w:val="000000"/>
          <w:lang w:val="en-US" w:eastAsia="zh-CN"/>
        </w:rPr>
        <w:t xml:space="preserve">between </w:t>
      </w:r>
      <w:proofErr w:type="spellStart"/>
      <w:r>
        <w:rPr>
          <w:color w:val="000000"/>
        </w:rPr>
        <w:t>chlorogenic</w:t>
      </w:r>
      <w:proofErr w:type="spellEnd"/>
      <w:r>
        <w:rPr>
          <w:color w:val="000000"/>
        </w:rPr>
        <w:t xml:space="preserve"> acid</w:t>
      </w:r>
      <w:r>
        <w:rPr>
          <w:color w:val="000000"/>
          <w:lang w:eastAsia="zh-CN"/>
        </w:rPr>
        <w:t xml:space="preserve"> and </w:t>
      </w:r>
      <w:r>
        <w:rPr>
          <w:color w:val="000000"/>
        </w:rPr>
        <w:t>salicylic acid</w:t>
      </w:r>
      <w:r>
        <w:rPr>
          <w:color w:val="000000"/>
          <w:lang w:eastAsia="zh-CN"/>
        </w:rPr>
        <w:t>.</w:t>
      </w:r>
    </w:p>
    <w:p w:rsidR="00275D2C" w:rsidRDefault="00FE59B8">
      <w:pPr>
        <w:adjustRightInd/>
        <w:snapToGrid/>
        <w:spacing w:line="220" w:lineRule="atLeast"/>
        <w:rPr>
          <w:rFonts w:ascii="Times New Roman" w:eastAsia="等线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75D2C" w:rsidRDefault="00FE59B8">
      <w:pPr>
        <w:pStyle w:val="Correspondencedetails"/>
        <w:spacing w:line="480" w:lineRule="auto"/>
        <w:jc w:val="both"/>
        <w:rPr>
          <w:color w:val="000000"/>
          <w:lang w:eastAsia="zh-CN"/>
        </w:rPr>
      </w:pPr>
      <w:r>
        <w:rPr>
          <w:noProof/>
          <w:color w:val="000000"/>
          <w:lang w:val="en-IN" w:eastAsia="en-I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5274310" cy="2371725"/>
            <wp:effectExtent l="19050" t="0" r="2540" b="0"/>
            <wp:wrapSquare wrapText="bothSides"/>
            <wp:docPr id="6" name="图片 5" descr="RS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RSD.t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 xml:space="preserve">Figure S2. </w:t>
      </w:r>
      <w:proofErr w:type="gramStart"/>
      <w:r>
        <w:rPr>
          <w:rStyle w:val="fontstyle01"/>
          <w:rFonts w:ascii="Times New Roman" w:hAnsi="Times New Roman"/>
          <w:lang w:eastAsia="zh-CN"/>
        </w:rPr>
        <w:t>T</w:t>
      </w:r>
      <w:r>
        <w:rPr>
          <w:rStyle w:val="fontstyle01"/>
          <w:rFonts w:ascii="Times New Roman" w:hAnsi="Times New Roman"/>
        </w:rPr>
        <w:t xml:space="preserve">he </w:t>
      </w:r>
      <w:proofErr w:type="spellStart"/>
      <w:r>
        <w:rPr>
          <w:color w:val="000000"/>
        </w:rPr>
        <w:t>electropherograms</w:t>
      </w:r>
      <w:proofErr w:type="spellEnd"/>
      <w:r>
        <w:rPr>
          <w:color w:val="000000"/>
        </w:rPr>
        <w:t xml:space="preserve"> of</w:t>
      </w:r>
      <w:r>
        <w:rPr>
          <w:color w:val="000000"/>
          <w:lang w:eastAsia="zh-CN"/>
        </w:rPr>
        <w:t xml:space="preserve"> (A)</w:t>
      </w:r>
      <w:r>
        <w:rPr>
          <w:color w:val="000000"/>
        </w:rPr>
        <w:t xml:space="preserve"> intra-day</w:t>
      </w:r>
      <w:r>
        <w:rPr>
          <w:color w:val="000000"/>
          <w:lang w:eastAsia="zh-CN"/>
        </w:rPr>
        <w:t xml:space="preserve"> </w:t>
      </w:r>
      <w:r>
        <w:rPr>
          <w:color w:val="000000"/>
        </w:rPr>
        <w:t xml:space="preserve">and </w:t>
      </w:r>
      <w:r>
        <w:rPr>
          <w:color w:val="000000"/>
          <w:lang w:eastAsia="zh-CN"/>
        </w:rPr>
        <w:t>(B)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</w:rPr>
        <w:t xml:space="preserve">inter-day for </w:t>
      </w:r>
      <w:proofErr w:type="spellStart"/>
      <w:r>
        <w:rPr>
          <w:color w:val="000000"/>
        </w:rPr>
        <w:t>phenolic</w:t>
      </w:r>
      <w:proofErr w:type="spellEnd"/>
      <w:r>
        <w:rPr>
          <w:color w:val="000000"/>
        </w:rPr>
        <w:t xml:space="preserve"> acids.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  <w:lang w:val="en-US"/>
        </w:rPr>
        <w:t xml:space="preserve">Running buffer: 20 </w:t>
      </w:r>
      <w:proofErr w:type="spellStart"/>
      <w:r>
        <w:rPr>
          <w:color w:val="000000"/>
          <w:lang w:val="en-US"/>
        </w:rPr>
        <w:t>mmol</w:t>
      </w:r>
      <w:proofErr w:type="spellEnd"/>
      <w:r>
        <w:rPr>
          <w:color w:val="000000"/>
          <w:lang w:val="en-US"/>
        </w:rPr>
        <w:t>/L borate buffer (pH 9.1).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Other conditions as in Figure 2A.</w:t>
      </w:r>
      <w:proofErr w:type="gramEnd"/>
      <w:r>
        <w:rPr>
          <w:color w:val="000000"/>
          <w:lang w:val="en-US"/>
        </w:rPr>
        <w:t xml:space="preserve"> </w:t>
      </w:r>
      <w:bookmarkStart w:id="4" w:name="OLE_LINK85"/>
      <w:bookmarkStart w:id="5" w:name="OLE_LINK84"/>
      <w:r>
        <w:t xml:space="preserve">Peak names: 1: </w:t>
      </w:r>
      <w:proofErr w:type="spellStart"/>
      <w:r>
        <w:t>ferulic</w:t>
      </w:r>
      <w:proofErr w:type="spellEnd"/>
      <w:r>
        <w:t xml:space="preserve"> acid, 2: </w:t>
      </w:r>
      <w:proofErr w:type="spellStart"/>
      <w:r>
        <w:t>chlorogenic</w:t>
      </w:r>
      <w:proofErr w:type="spellEnd"/>
      <w:r>
        <w:t xml:space="preserve"> acid, 3: salicylic acid. The concentrations of </w:t>
      </w:r>
      <w:proofErr w:type="spellStart"/>
      <w:r>
        <w:t>ferulic</w:t>
      </w:r>
      <w:proofErr w:type="spellEnd"/>
      <w:r>
        <w:t xml:space="preserve"> acid, </w:t>
      </w:r>
      <w:proofErr w:type="spellStart"/>
      <w:r>
        <w:t>chlorogenic</w:t>
      </w:r>
      <w:proofErr w:type="spellEnd"/>
      <w:r>
        <w:t xml:space="preserve"> acid, </w:t>
      </w:r>
      <w:proofErr w:type="gramStart"/>
      <w:r>
        <w:t>salicylic</w:t>
      </w:r>
      <w:proofErr w:type="gramEnd"/>
      <w:r>
        <w:t xml:space="preserve"> acid </w:t>
      </w:r>
      <w:r>
        <w:rPr>
          <w:rFonts w:hint="eastAsia"/>
          <w:lang w:val="en-US" w:eastAsia="zh-CN"/>
        </w:rPr>
        <w:t>are</w:t>
      </w:r>
      <w:r>
        <w:t xml:space="preserve"> 269, 258 and 258 </w:t>
      </w:r>
      <w:proofErr w:type="spellStart"/>
      <w:r>
        <w:t>μg</w:t>
      </w:r>
      <w:proofErr w:type="spellEnd"/>
      <w:r>
        <w:t>/</w:t>
      </w:r>
      <w:proofErr w:type="spellStart"/>
      <w:r>
        <w:t>mL</w:t>
      </w:r>
      <w:proofErr w:type="spellEnd"/>
      <w:r>
        <w:t>, respectively.</w:t>
      </w:r>
      <w:bookmarkEnd w:id="4"/>
      <w:bookmarkEnd w:id="5"/>
    </w:p>
    <w:p w:rsidR="00275D2C" w:rsidRDefault="00FE59B8">
      <w:pPr>
        <w:adjustRightInd/>
        <w:snapToGrid/>
        <w:spacing w:line="220" w:lineRule="atLeast"/>
        <w:rPr>
          <w:rFonts w:ascii="Times New Roman" w:eastAsia="等线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75D2C" w:rsidRDefault="00FE59B8">
      <w:pPr>
        <w:pStyle w:val="Correspondencedetails"/>
        <w:spacing w:line="480" w:lineRule="auto"/>
        <w:jc w:val="both"/>
        <w:rPr>
          <w:color w:val="000000"/>
          <w:lang w:eastAsia="zh-CN"/>
        </w:rPr>
      </w:pPr>
      <w:r>
        <w:rPr>
          <w:noProof/>
          <w:color w:val="000000"/>
          <w:lang w:val="en-IN" w:eastAsia="en-IN"/>
        </w:rPr>
        <w:lastRenderedPageBreak/>
        <w:drawing>
          <wp:inline distT="0" distB="0" distL="0" distR="0">
            <wp:extent cx="5274310" cy="2186940"/>
            <wp:effectExtent l="19050" t="0" r="2540" b="0"/>
            <wp:docPr id="2" name="图片 1" descr="合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合图.t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Figure S3. (A) T</w:t>
      </w:r>
      <w:r>
        <w:rPr>
          <w:color w:val="000000"/>
        </w:rPr>
        <w:t xml:space="preserve">he </w:t>
      </w:r>
      <w:proofErr w:type="spellStart"/>
      <w:r>
        <w:rPr>
          <w:color w:val="000000"/>
          <w:lang w:val="en-US"/>
        </w:rPr>
        <w:t>electrophoretograms</w:t>
      </w:r>
      <w:proofErr w:type="spellEnd"/>
      <w:r>
        <w:rPr>
          <w:color w:val="000000"/>
          <w:lang w:val="en-US"/>
        </w:rPr>
        <w:t xml:space="preserve"> of</w:t>
      </w:r>
      <w:r>
        <w:rPr>
          <w:color w:val="000000"/>
        </w:rPr>
        <w:t xml:space="preserve"> different sample concentration</w:t>
      </w:r>
      <w:r>
        <w:rPr>
          <w:rFonts w:hint="eastAsia"/>
          <w:color w:val="000000"/>
          <w:lang w:val="en-US" w:eastAsia="zh-CN"/>
        </w:rPr>
        <w:t>.</w:t>
      </w:r>
      <w:r>
        <w:rPr>
          <w:rFonts w:eastAsia="Microsoft YaHei"/>
          <w:color w:val="000000"/>
          <w:lang w:val="en-US" w:eastAsia="zh-CN"/>
        </w:rPr>
        <w:t xml:space="preserve"> </w:t>
      </w:r>
      <w:proofErr w:type="gramStart"/>
      <w:r>
        <w:rPr>
          <w:color w:val="000000"/>
          <w:lang w:val="en-US" w:eastAsia="zh-CN"/>
        </w:rPr>
        <w:t xml:space="preserve">Running buffer: 20 </w:t>
      </w:r>
      <w:proofErr w:type="spellStart"/>
      <w:r>
        <w:rPr>
          <w:color w:val="000000"/>
          <w:lang w:val="en-US" w:eastAsia="zh-CN"/>
        </w:rPr>
        <w:t>mmol</w:t>
      </w:r>
      <w:proofErr w:type="spellEnd"/>
      <w:r>
        <w:rPr>
          <w:color w:val="000000"/>
          <w:lang w:val="en-US" w:eastAsia="zh-CN"/>
        </w:rPr>
        <w:t>/L borate buffer (pH 9.1).</w:t>
      </w:r>
      <w:proofErr w:type="gramEnd"/>
      <w:r>
        <w:rPr>
          <w:color w:val="000000"/>
          <w:lang w:val="en-US" w:eastAsia="zh-CN"/>
        </w:rPr>
        <w:t xml:space="preserve"> </w:t>
      </w:r>
      <w:proofErr w:type="gramStart"/>
      <w:r>
        <w:rPr>
          <w:color w:val="000000"/>
          <w:lang w:val="en-US" w:eastAsia="zh-CN"/>
        </w:rPr>
        <w:t>Other conditions as in Figure 2A.</w:t>
      </w:r>
      <w:proofErr w:type="gramEnd"/>
      <w:r>
        <w:rPr>
          <w:color w:val="000000"/>
          <w:lang w:val="en-US" w:eastAsia="zh-CN"/>
        </w:rPr>
        <w:t xml:space="preserve"> Peak names: 1: </w:t>
      </w:r>
      <w:proofErr w:type="spellStart"/>
      <w:r>
        <w:rPr>
          <w:color w:val="000000"/>
          <w:lang w:val="en-US" w:eastAsia="zh-CN"/>
        </w:rPr>
        <w:t>ferulic</w:t>
      </w:r>
      <w:proofErr w:type="spellEnd"/>
      <w:r>
        <w:rPr>
          <w:color w:val="000000"/>
          <w:lang w:val="en-US" w:eastAsia="zh-CN"/>
        </w:rPr>
        <w:t xml:space="preserve"> acid, 2: </w:t>
      </w:r>
      <w:proofErr w:type="spellStart"/>
      <w:r>
        <w:rPr>
          <w:color w:val="000000"/>
          <w:lang w:val="en-US" w:eastAsia="zh-CN"/>
        </w:rPr>
        <w:t>chlorogenic</w:t>
      </w:r>
      <w:proofErr w:type="spellEnd"/>
      <w:r>
        <w:rPr>
          <w:color w:val="000000"/>
          <w:lang w:val="en-US" w:eastAsia="zh-CN"/>
        </w:rPr>
        <w:t xml:space="preserve"> acid, 3: salicylic acid. (B) </w:t>
      </w:r>
      <w:r>
        <w:rPr>
          <w:color w:val="000000"/>
        </w:rPr>
        <w:t>The line</w:t>
      </w:r>
      <w:r>
        <w:rPr>
          <w:color w:val="000000"/>
          <w:lang w:eastAsia="zh-CN"/>
        </w:rPr>
        <w:t>a</w:t>
      </w:r>
      <w:r>
        <w:rPr>
          <w:color w:val="000000"/>
        </w:rPr>
        <w:t xml:space="preserve">r relationship between </w:t>
      </w:r>
      <w:bookmarkStart w:id="6" w:name="OLE_LINK83"/>
      <w:proofErr w:type="spellStart"/>
      <w:r>
        <w:rPr>
          <w:color w:val="000000"/>
          <w:lang w:val="en-US"/>
        </w:rPr>
        <w:t>chemiluminescence</w:t>
      </w:r>
      <w:bookmarkEnd w:id="6"/>
      <w:proofErr w:type="spellEnd"/>
      <w:r>
        <w:rPr>
          <w:color w:val="000000"/>
        </w:rPr>
        <w:t xml:space="preserve"> intensity and </w:t>
      </w:r>
      <w:proofErr w:type="spellStart"/>
      <w:r>
        <w:rPr>
          <w:color w:val="000000"/>
          <w:lang w:eastAsia="zh-CN"/>
        </w:rPr>
        <w:t>analytes</w:t>
      </w:r>
      <w:proofErr w:type="spellEnd"/>
      <w:r>
        <w:rPr>
          <w:color w:val="000000"/>
        </w:rPr>
        <w:t xml:space="preserve"> concentration</w:t>
      </w:r>
      <w:r>
        <w:rPr>
          <w:color w:val="000000"/>
          <w:lang w:eastAsia="zh-CN"/>
        </w:rPr>
        <w:t>.</w:t>
      </w:r>
      <w:r>
        <w:rPr>
          <w:rFonts w:eastAsia="Microsoft YaHei"/>
          <w:color w:val="000000"/>
          <w:lang w:val="en-US" w:eastAsia="zh-CN"/>
        </w:rPr>
        <w:t xml:space="preserve"> </w:t>
      </w:r>
      <w:proofErr w:type="gramStart"/>
      <w:r>
        <w:rPr>
          <w:color w:val="000000"/>
          <w:lang w:val="en-US" w:eastAsia="zh-CN"/>
        </w:rPr>
        <w:t>Running bu</w:t>
      </w:r>
      <w:r>
        <w:rPr>
          <w:color w:val="000000"/>
          <w:lang w:val="en-US" w:eastAsia="zh-CN"/>
        </w:rPr>
        <w:t xml:space="preserve">ffer: 20 </w:t>
      </w:r>
      <w:proofErr w:type="spellStart"/>
      <w:r>
        <w:rPr>
          <w:color w:val="000000"/>
          <w:lang w:val="en-US" w:eastAsia="zh-CN"/>
        </w:rPr>
        <w:t>mmol</w:t>
      </w:r>
      <w:proofErr w:type="spellEnd"/>
      <w:r>
        <w:rPr>
          <w:color w:val="000000"/>
          <w:lang w:val="en-US" w:eastAsia="zh-CN"/>
        </w:rPr>
        <w:t>/L borate buffer (pH 9.1).</w:t>
      </w:r>
      <w:proofErr w:type="gramEnd"/>
      <w:r>
        <w:rPr>
          <w:color w:val="000000"/>
          <w:lang w:val="en-US" w:eastAsia="zh-CN"/>
        </w:rPr>
        <w:t xml:space="preserve"> </w:t>
      </w:r>
      <w:proofErr w:type="gramStart"/>
      <w:r>
        <w:rPr>
          <w:color w:val="000000"/>
          <w:lang w:val="en-US" w:eastAsia="zh-CN"/>
        </w:rPr>
        <w:t>Other conditions as in Figure 2A.</w:t>
      </w:r>
      <w:proofErr w:type="gramEnd"/>
    </w:p>
    <w:sectPr w:rsidR="00275D2C" w:rsidSect="00275D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A5106"/>
    <w:rsid w:val="000A6BB9"/>
    <w:rsid w:val="00113096"/>
    <w:rsid w:val="001A3CD9"/>
    <w:rsid w:val="001A6183"/>
    <w:rsid w:val="001F28BE"/>
    <w:rsid w:val="00275D2C"/>
    <w:rsid w:val="00323B43"/>
    <w:rsid w:val="00331AF3"/>
    <w:rsid w:val="00345981"/>
    <w:rsid w:val="003D37D8"/>
    <w:rsid w:val="003E34A0"/>
    <w:rsid w:val="00412F47"/>
    <w:rsid w:val="00426133"/>
    <w:rsid w:val="004358AB"/>
    <w:rsid w:val="004502AF"/>
    <w:rsid w:val="004E4D50"/>
    <w:rsid w:val="00534B7D"/>
    <w:rsid w:val="00566BF9"/>
    <w:rsid w:val="0057519B"/>
    <w:rsid w:val="005B2C70"/>
    <w:rsid w:val="00645CB4"/>
    <w:rsid w:val="007830E8"/>
    <w:rsid w:val="007B78E2"/>
    <w:rsid w:val="00840D71"/>
    <w:rsid w:val="00871E77"/>
    <w:rsid w:val="008B7726"/>
    <w:rsid w:val="00931070"/>
    <w:rsid w:val="00AF5A77"/>
    <w:rsid w:val="00B16056"/>
    <w:rsid w:val="00B6200C"/>
    <w:rsid w:val="00B85619"/>
    <w:rsid w:val="00BC5FE6"/>
    <w:rsid w:val="00C541C7"/>
    <w:rsid w:val="00C854FF"/>
    <w:rsid w:val="00CB7A2F"/>
    <w:rsid w:val="00D31D50"/>
    <w:rsid w:val="00D534A8"/>
    <w:rsid w:val="00D96B1A"/>
    <w:rsid w:val="00DA7A7F"/>
    <w:rsid w:val="00E052D1"/>
    <w:rsid w:val="00F0493D"/>
    <w:rsid w:val="00F21F7E"/>
    <w:rsid w:val="00F27817"/>
    <w:rsid w:val="00F66647"/>
    <w:rsid w:val="00FD5C4B"/>
    <w:rsid w:val="00FE59B8"/>
    <w:rsid w:val="09E57BAD"/>
    <w:rsid w:val="42596BDD"/>
    <w:rsid w:val="657B2743"/>
    <w:rsid w:val="7660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2C"/>
    <w:pPr>
      <w:adjustRightInd w:val="0"/>
      <w:snapToGrid w:val="0"/>
      <w:spacing w:line="240" w:lineRule="auto"/>
    </w:pPr>
    <w:rPr>
      <w:rFonts w:ascii="Tahoma" w:eastAsia="Microsoft YaHei" w:hAnsi="Tahoma" w:cstheme="minorBid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5D2C"/>
    <w:pPr>
      <w:spacing w:after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275D2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75D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75D2C"/>
    <w:rPr>
      <w:rFonts w:ascii="Tahoma" w:hAnsi="Tahoma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75D2C"/>
    <w:rPr>
      <w:rFonts w:ascii="Tahoma" w:hAnsi="Tahoma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275D2C"/>
    <w:rPr>
      <w:rFonts w:ascii="Tahoma" w:hAnsi="Tahoma"/>
      <w:sz w:val="18"/>
      <w:szCs w:val="18"/>
    </w:rPr>
  </w:style>
  <w:style w:type="paragraph" w:customStyle="1" w:styleId="Articletitle">
    <w:name w:val="Article title"/>
    <w:basedOn w:val="Normal"/>
    <w:next w:val="Normal"/>
    <w:qFormat/>
    <w:rsid w:val="00275D2C"/>
    <w:pPr>
      <w:adjustRightInd/>
      <w:snapToGrid/>
      <w:spacing w:after="120" w:line="360" w:lineRule="auto"/>
    </w:pPr>
    <w:rPr>
      <w:rFonts w:ascii="Times New Roman" w:eastAsia="等线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275D2C"/>
    <w:pPr>
      <w:adjustRightInd/>
      <w:snapToGrid/>
      <w:spacing w:before="240" w:after="0" w:line="360" w:lineRule="auto"/>
    </w:pPr>
    <w:rPr>
      <w:rFonts w:ascii="Times New Roman" w:eastAsia="等线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275D2C"/>
    <w:pPr>
      <w:adjustRightInd/>
      <w:snapToGrid/>
      <w:spacing w:before="240" w:after="0" w:line="360" w:lineRule="auto"/>
    </w:pPr>
    <w:rPr>
      <w:rFonts w:ascii="Times New Roman" w:eastAsia="等线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275D2C"/>
    <w:pPr>
      <w:adjustRightInd/>
      <w:snapToGrid/>
      <w:spacing w:before="240" w:after="0" w:line="360" w:lineRule="auto"/>
    </w:pPr>
    <w:rPr>
      <w:rFonts w:ascii="Times New Roman" w:eastAsia="等线" w:hAnsi="Times New Roman" w:cs="Times New Roman"/>
      <w:sz w:val="24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275D2C"/>
    <w:pPr>
      <w:adjustRightInd/>
      <w:snapToGrid/>
      <w:spacing w:before="240" w:after="0" w:line="360" w:lineRule="auto"/>
    </w:pPr>
    <w:rPr>
      <w:rFonts w:ascii="Times New Roman" w:eastAsia="等线" w:hAnsi="Times New Roman" w:cs="Times New Roman"/>
      <w:szCs w:val="24"/>
      <w:lang w:val="en-GB" w:eastAsia="en-GB"/>
    </w:rPr>
  </w:style>
  <w:style w:type="character" w:customStyle="1" w:styleId="fontstyle01">
    <w:name w:val="fontstyle01"/>
    <w:basedOn w:val="DefaultParagraphFont"/>
    <w:qFormat/>
    <w:rsid w:val="00275D2C"/>
    <w:rPr>
      <w:rFonts w:ascii="Times-Roman" w:hAnsi="Times-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xxq</dc:creator>
  <cp:lastModifiedBy>manju</cp:lastModifiedBy>
  <cp:revision>2</cp:revision>
  <dcterms:created xsi:type="dcterms:W3CDTF">2020-06-25T13:47:00Z</dcterms:created>
  <dcterms:modified xsi:type="dcterms:W3CDTF">2020-06-25T13:47:00Z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